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05373">
      <w:pPr>
        <w:pStyle w:val="6"/>
        <w:spacing w:before="120" w:after="120"/>
        <w:rPr>
          <w:rStyle w:val="7"/>
          <w:b w:val="0"/>
          <w:bCs w:val="0"/>
        </w:rPr>
      </w:pPr>
      <w:r>
        <w:rPr>
          <w:rStyle w:val="7"/>
          <w:rFonts w:hint="eastAsia"/>
          <w:b w:val="0"/>
          <w:bCs w:val="0"/>
        </w:rPr>
        <w:t>货物和服务需求书</w:t>
      </w:r>
    </w:p>
    <w:p w14:paraId="61EE2CA8">
      <w:pPr>
        <w:spacing w:after="60" w:line="360" w:lineRule="auto"/>
        <w:jc w:val="center"/>
        <w:rPr>
          <w:b/>
          <w:color w:val="FF0000"/>
          <w:sz w:val="28"/>
          <w:szCs w:val="28"/>
        </w:rPr>
      </w:pPr>
      <w:r>
        <w:rPr>
          <w:rFonts w:hint="eastAsia"/>
          <w:b/>
          <w:color w:val="FF0000"/>
          <w:sz w:val="28"/>
          <w:szCs w:val="28"/>
        </w:rPr>
        <w:t>（商务要求部分）</w:t>
      </w:r>
    </w:p>
    <w:tbl>
      <w:tblPr>
        <w:tblStyle w:val="4"/>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76"/>
        <w:gridCol w:w="7371"/>
      </w:tblGrid>
      <w:tr w14:paraId="067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5" w:type="dxa"/>
            <w:vAlign w:val="center"/>
          </w:tcPr>
          <w:p w14:paraId="79835876">
            <w:pPr>
              <w:spacing w:after="60"/>
              <w:jc w:val="center"/>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序号</w:t>
            </w:r>
          </w:p>
        </w:tc>
        <w:tc>
          <w:tcPr>
            <w:tcW w:w="1276" w:type="dxa"/>
            <w:vAlign w:val="center"/>
          </w:tcPr>
          <w:p w14:paraId="3EE59011">
            <w:pPr>
              <w:spacing w:after="60"/>
              <w:jc w:val="center"/>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具体内容</w:t>
            </w:r>
          </w:p>
        </w:tc>
        <w:tc>
          <w:tcPr>
            <w:tcW w:w="7371" w:type="dxa"/>
            <w:vAlign w:val="center"/>
          </w:tcPr>
          <w:p w14:paraId="07D4B6EB">
            <w:pPr>
              <w:spacing w:after="60"/>
              <w:jc w:val="center"/>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要求</w:t>
            </w:r>
          </w:p>
        </w:tc>
      </w:tr>
      <w:tr w14:paraId="4889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5" w:type="dxa"/>
            <w:vAlign w:val="center"/>
          </w:tcPr>
          <w:p w14:paraId="128160B5">
            <w:pPr>
              <w:spacing w:after="60" w:line="360" w:lineRule="auto"/>
              <w:jc w:val="center"/>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一</w:t>
            </w:r>
          </w:p>
        </w:tc>
        <w:tc>
          <w:tcPr>
            <w:tcW w:w="1276" w:type="dxa"/>
            <w:vAlign w:val="center"/>
          </w:tcPr>
          <w:p w14:paraId="0867AC1D">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报价要求</w:t>
            </w:r>
          </w:p>
        </w:tc>
        <w:tc>
          <w:tcPr>
            <w:tcW w:w="7371" w:type="dxa"/>
            <w:vAlign w:val="center"/>
          </w:tcPr>
          <w:p w14:paraId="0C429C65">
            <w:pPr>
              <w:spacing w:before="120"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color w:val="000000"/>
                <w:szCs w:val="21"/>
              </w:rPr>
              <w:t>（1）本项目预算金额：</w:t>
            </w:r>
            <w:r>
              <w:rPr>
                <w:rFonts w:hint="eastAsia" w:cs="宋体" w:asciiTheme="minorEastAsia" w:hAnsiTheme="minorEastAsia" w:eastAsiaTheme="minorEastAsia"/>
                <w:color w:val="000000"/>
                <w:szCs w:val="21"/>
                <w:lang w:bidi="ar"/>
              </w:rPr>
              <w:t>响应报价超过预算金额的视为无效响应。</w:t>
            </w:r>
          </w:p>
          <w:p w14:paraId="72768995">
            <w:pPr>
              <w:pStyle w:val="8"/>
              <w:spacing w:after="60" w:line="360" w:lineRule="auto"/>
              <w:ind w:firstLine="0" w:firstLineChars="0"/>
              <w:rPr>
                <w:rFonts w:hint="eastAsia" w:cs="宋体" w:asciiTheme="minorEastAsia" w:hAnsiTheme="minorEastAsia"/>
                <w:b/>
                <w:color w:val="000000"/>
                <w:szCs w:val="21"/>
              </w:rPr>
            </w:pPr>
            <w:r>
              <w:rPr>
                <w:rFonts w:hint="eastAsia" w:cs="宋体" w:asciiTheme="minorEastAsia" w:hAnsiTheme="minorEastAsia"/>
                <w:b/>
                <w:color w:val="000000"/>
                <w:szCs w:val="21"/>
              </w:rPr>
              <w:t>（2）响应总价：</w:t>
            </w:r>
            <w:r>
              <w:rPr>
                <w:rFonts w:hint="eastAsia" w:cs="宋体" w:asciiTheme="minorEastAsia" w:hAnsiTheme="minorEastAsia"/>
                <w:color w:val="000000"/>
                <w:szCs w:val="21"/>
                <w:lang w:bidi="ar"/>
              </w:rPr>
              <w:t>必须是完成该项目的一切费用总和，包括设备费、运输费、装卸费、保险费、技术培训费、设备安装费、调试费、售后服务费、国家规定的各项税费等。</w:t>
            </w:r>
          </w:p>
        </w:tc>
      </w:tr>
      <w:tr w14:paraId="1DD2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5" w:type="dxa"/>
            <w:vAlign w:val="center"/>
          </w:tcPr>
          <w:p w14:paraId="4D4A72E3">
            <w:pPr>
              <w:spacing w:after="60" w:line="360" w:lineRule="auto"/>
              <w:jc w:val="center"/>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二</w:t>
            </w:r>
          </w:p>
        </w:tc>
        <w:tc>
          <w:tcPr>
            <w:tcW w:w="1276" w:type="dxa"/>
            <w:vAlign w:val="center"/>
          </w:tcPr>
          <w:p w14:paraId="3C264263">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color w:val="000000"/>
                <w:szCs w:val="21"/>
              </w:rPr>
              <w:t>交货要求</w:t>
            </w:r>
          </w:p>
        </w:tc>
        <w:tc>
          <w:tcPr>
            <w:tcW w:w="7371" w:type="dxa"/>
            <w:vAlign w:val="center"/>
          </w:tcPr>
          <w:p w14:paraId="22CD943A">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（1）交货地点（货物安装地点）</w:t>
            </w:r>
          </w:p>
          <w:p w14:paraId="43BC3AC1">
            <w:pPr>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产品交付、检验、安装使用地点在</w:t>
            </w:r>
            <w:r>
              <w:rPr>
                <w:rFonts w:hint="eastAsia" w:cs="宋体" w:asciiTheme="minorEastAsia" w:hAnsiTheme="minorEastAsia" w:eastAsiaTheme="minorEastAsia"/>
                <w:color w:val="000000"/>
                <w:szCs w:val="21"/>
                <w:u w:val="single"/>
              </w:rPr>
              <w:t>采购人指定地点</w:t>
            </w:r>
            <w:r>
              <w:rPr>
                <w:rFonts w:hint="eastAsia" w:cs="宋体" w:asciiTheme="minorEastAsia" w:hAnsiTheme="minorEastAsia" w:eastAsiaTheme="minorEastAsia"/>
                <w:color w:val="000000"/>
                <w:szCs w:val="21"/>
              </w:rPr>
              <w:t>。</w:t>
            </w:r>
          </w:p>
          <w:p w14:paraId="2726D51B">
            <w:pPr>
              <w:spacing w:after="60" w:line="360" w:lineRule="auto"/>
              <w:rPr>
                <w:rFonts w:hint="eastAsia" w:cs="宋体" w:asciiTheme="minorEastAsia" w:hAnsiTheme="minorEastAsia" w:eastAsiaTheme="minorEastAsia"/>
                <w:b/>
                <w:color w:val="000000"/>
                <w:szCs w:val="21"/>
                <w:u w:val="single"/>
              </w:rPr>
            </w:pPr>
            <w:r>
              <w:rPr>
                <w:rFonts w:hint="eastAsia" w:cs="宋体" w:asciiTheme="minorEastAsia" w:hAnsiTheme="minorEastAsia" w:eastAsiaTheme="minorEastAsia"/>
                <w:b/>
                <w:color w:val="000000"/>
                <w:szCs w:val="21"/>
              </w:rPr>
              <w:t>（2）包装要求</w:t>
            </w:r>
          </w:p>
          <w:p w14:paraId="17CA423B">
            <w:pPr>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以保证货物的完好无损为标准。</w:t>
            </w:r>
          </w:p>
          <w:p w14:paraId="455B879B">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（3）交货时间</w:t>
            </w:r>
          </w:p>
          <w:p w14:paraId="636E2BA9">
            <w:pPr>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签订合同后</w:t>
            </w:r>
            <w:r>
              <w:rPr>
                <w:rFonts w:hint="eastAsia" w:cs="宋体" w:asciiTheme="minorEastAsia" w:hAnsiTheme="minorEastAsia" w:eastAsiaTheme="minorEastAsia"/>
                <w:color w:val="000000"/>
                <w:szCs w:val="21"/>
                <w:u w:val="single"/>
              </w:rPr>
              <w:t xml:space="preserve"> 30 </w:t>
            </w:r>
            <w:r>
              <w:rPr>
                <w:rFonts w:hint="eastAsia" w:cs="宋体" w:asciiTheme="minorEastAsia" w:hAnsiTheme="minorEastAsia" w:eastAsiaTheme="minorEastAsia"/>
                <w:color w:val="000000"/>
                <w:szCs w:val="21"/>
              </w:rPr>
              <w:t>（天）日历日内。（日历日为自然天，包括双休日及法定节假日，不等同于工作日；投标文件中的交货期条款为不可负偏离条款，若投标文件中响应的交货期超过招标文件规定期限时，其投标文件按投标无效处理。）</w:t>
            </w:r>
          </w:p>
          <w:p w14:paraId="148DD0E2">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（4）付款方式</w:t>
            </w:r>
          </w:p>
          <w:p w14:paraId="1F932374">
            <w:pPr>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按深圳市南山区财政局有关规定执行。</w:t>
            </w:r>
          </w:p>
          <w:p w14:paraId="6AC3D934">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（5）设备运输、安装</w:t>
            </w:r>
          </w:p>
          <w:p w14:paraId="76708557">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color w:val="000000"/>
                <w:szCs w:val="21"/>
              </w:rPr>
              <w:t>1</w:t>
            </w:r>
            <w:r>
              <w:rPr>
                <w:rFonts w:hint="eastAsia" w:cs="宋体" w:asciiTheme="minorEastAsia" w:hAnsiTheme="minorEastAsia" w:eastAsiaTheme="minorEastAsia"/>
                <w:bCs/>
                <w:color w:val="000000"/>
                <w:szCs w:val="21"/>
              </w:rPr>
              <w:t>、</w:t>
            </w:r>
            <w:r>
              <w:rPr>
                <w:rFonts w:hint="eastAsia" w:cs="宋体" w:asciiTheme="minorEastAsia" w:hAnsiTheme="minorEastAsia" w:eastAsiaTheme="minorEastAsia"/>
                <w:color w:val="000000"/>
                <w:szCs w:val="21"/>
              </w:rPr>
              <w:t>设备运输：合同中所有的设备均须由中标人自行运往设备安装场所，不论设备从何处购置、采用何种方式运输，采购单位不承担任何责任及相关费用。中标人应自行处理设备质量和数量短缺等问题。</w:t>
            </w:r>
          </w:p>
          <w:p w14:paraId="55B8588F">
            <w:pPr>
              <w:spacing w:after="60" w:line="360" w:lineRule="auto"/>
              <w:textAlignment w:val="baseline"/>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bCs/>
                <w:color w:val="000000"/>
                <w:szCs w:val="21"/>
              </w:rPr>
              <w:t>、</w:t>
            </w:r>
            <w:r>
              <w:rPr>
                <w:rFonts w:hint="eastAsia" w:cs="宋体" w:asciiTheme="minorEastAsia" w:hAnsiTheme="minorEastAsia" w:eastAsiaTheme="minorEastAsia"/>
                <w:color w:val="000000"/>
                <w:szCs w:val="21"/>
              </w:rPr>
              <w:t>中标人应派有经验的技术人员到现场进行安装、直到设备正常使用，其费用由中标人负担。</w:t>
            </w:r>
          </w:p>
          <w:p w14:paraId="1C2A4CD4">
            <w:pPr>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hint="eastAsia" w:cs="宋体" w:asciiTheme="minorEastAsia" w:hAnsiTheme="minorEastAsia" w:eastAsiaTheme="minorEastAsia"/>
                <w:bCs/>
                <w:color w:val="000000"/>
                <w:szCs w:val="21"/>
              </w:rPr>
              <w:t>、</w:t>
            </w:r>
            <w:r>
              <w:rPr>
                <w:rFonts w:hint="eastAsia" w:cs="宋体" w:asciiTheme="minorEastAsia" w:hAnsiTheme="minorEastAsia" w:eastAsiaTheme="minorEastAsia"/>
                <w:color w:val="000000"/>
                <w:szCs w:val="21"/>
              </w:rPr>
              <w:t>中标人应提供安装中全部所需的工具。</w:t>
            </w:r>
          </w:p>
        </w:tc>
      </w:tr>
      <w:tr w14:paraId="7332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35" w:type="dxa"/>
            <w:vMerge w:val="restart"/>
            <w:vAlign w:val="center"/>
          </w:tcPr>
          <w:p w14:paraId="21AABD74">
            <w:pPr>
              <w:spacing w:after="60" w:line="360" w:lineRule="auto"/>
              <w:jc w:val="center"/>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三</w:t>
            </w:r>
          </w:p>
        </w:tc>
        <w:tc>
          <w:tcPr>
            <w:tcW w:w="1276" w:type="dxa"/>
            <w:vMerge w:val="restart"/>
            <w:vAlign w:val="center"/>
          </w:tcPr>
          <w:p w14:paraId="2E32CDD4">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bCs/>
                <w:color w:val="000000"/>
                <w:szCs w:val="21"/>
              </w:rPr>
              <w:t>验收要求</w:t>
            </w:r>
          </w:p>
        </w:tc>
        <w:tc>
          <w:tcPr>
            <w:tcW w:w="7371" w:type="dxa"/>
            <w:vAlign w:val="center"/>
          </w:tcPr>
          <w:p w14:paraId="6E0F0AD1">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bCs/>
                <w:color w:val="000000"/>
                <w:szCs w:val="21"/>
              </w:rPr>
              <w:t>（1）</w:t>
            </w:r>
            <w:r>
              <w:rPr>
                <w:rFonts w:hint="eastAsia" w:cs="宋体" w:asciiTheme="minorEastAsia" w:hAnsiTheme="minorEastAsia" w:eastAsiaTheme="minorEastAsia"/>
                <w:bCs/>
                <w:color w:val="000000"/>
                <w:szCs w:val="21"/>
              </w:rPr>
              <w:t>当满足以下条件时，采购单位才向中标人签发验收报告：</w:t>
            </w:r>
          </w:p>
          <w:p w14:paraId="521ED4BB">
            <w:pPr>
              <w:tabs>
                <w:tab w:val="left" w:pos="1620"/>
              </w:tabs>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1、中标人已按照合同规定提供了全部产品及完整的技术资料。</w:t>
            </w:r>
          </w:p>
          <w:p w14:paraId="03D3FDDA">
            <w:pPr>
              <w:tabs>
                <w:tab w:val="left" w:pos="1620"/>
              </w:tabs>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2、货物符合投标文件的技术规格要求，性能满足要求。</w:t>
            </w:r>
          </w:p>
          <w:p w14:paraId="76BE4798">
            <w:pPr>
              <w:tabs>
                <w:tab w:val="left" w:pos="1620"/>
              </w:tabs>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3、货物具备产品合格证。</w:t>
            </w:r>
          </w:p>
          <w:p w14:paraId="7CCD8348">
            <w:pPr>
              <w:tabs>
                <w:tab w:val="left" w:pos="1050"/>
                <w:tab w:val="left" w:pos="1260"/>
              </w:tabs>
              <w:spacing w:after="60" w:line="360"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4、所有货物必须符合国家环保标准，项目中如有家具产品必须符合深圳市《低挥发性有机物含量涂料技术规范》（SZJG54-2017）标准（以最新标准为准）。</w:t>
            </w:r>
          </w:p>
        </w:tc>
      </w:tr>
      <w:tr w14:paraId="2821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35" w:type="dxa"/>
            <w:vMerge w:val="continue"/>
            <w:vAlign w:val="center"/>
          </w:tcPr>
          <w:p w14:paraId="6F5D91B3">
            <w:pPr>
              <w:spacing w:after="60" w:line="360" w:lineRule="auto"/>
              <w:jc w:val="center"/>
              <w:rPr>
                <w:rFonts w:hint="eastAsia" w:cs="宋体" w:asciiTheme="minorEastAsia" w:hAnsiTheme="minorEastAsia" w:eastAsiaTheme="minorEastAsia"/>
                <w:bCs/>
                <w:color w:val="000000"/>
                <w:szCs w:val="21"/>
              </w:rPr>
            </w:pPr>
          </w:p>
        </w:tc>
        <w:tc>
          <w:tcPr>
            <w:tcW w:w="1276" w:type="dxa"/>
            <w:vMerge w:val="continue"/>
            <w:vAlign w:val="center"/>
          </w:tcPr>
          <w:p w14:paraId="73AB7896">
            <w:pPr>
              <w:spacing w:after="60" w:line="360" w:lineRule="auto"/>
              <w:rPr>
                <w:rFonts w:hint="eastAsia" w:cs="宋体" w:asciiTheme="minorEastAsia" w:hAnsiTheme="minorEastAsia" w:eastAsiaTheme="minorEastAsia"/>
                <w:b/>
                <w:bCs/>
                <w:color w:val="000000"/>
                <w:szCs w:val="21"/>
              </w:rPr>
            </w:pPr>
          </w:p>
        </w:tc>
        <w:tc>
          <w:tcPr>
            <w:tcW w:w="7371" w:type="dxa"/>
            <w:vAlign w:val="center"/>
          </w:tcPr>
          <w:p w14:paraId="143DF660">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color w:val="000000"/>
                <w:szCs w:val="21"/>
              </w:rPr>
              <w:t>（2）</w:t>
            </w:r>
            <w:r>
              <w:rPr>
                <w:rFonts w:hint="eastAsia" w:cs="宋体" w:asciiTheme="minorEastAsia" w:hAnsiTheme="minorEastAsia" w:eastAsiaTheme="minorEastAsia"/>
                <w:color w:val="000000"/>
                <w:szCs w:val="21"/>
              </w:rPr>
              <w:t>由采购单位和供货商共同进行验收</w:t>
            </w:r>
            <w:r>
              <w:rPr>
                <w:rFonts w:hint="eastAsia" w:cs="宋体" w:asciiTheme="minorEastAsia" w:hAnsiTheme="minorEastAsia" w:eastAsiaTheme="minorEastAsia"/>
                <w:b/>
                <w:color w:val="000000"/>
                <w:szCs w:val="21"/>
              </w:rPr>
              <w:t>。</w:t>
            </w:r>
          </w:p>
        </w:tc>
      </w:tr>
      <w:tr w14:paraId="372C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5" w:type="dxa"/>
            <w:vMerge w:val="continue"/>
            <w:vAlign w:val="center"/>
          </w:tcPr>
          <w:p w14:paraId="273729D5">
            <w:pPr>
              <w:spacing w:after="60" w:line="360" w:lineRule="auto"/>
              <w:jc w:val="center"/>
              <w:rPr>
                <w:rFonts w:hint="eastAsia" w:cs="宋体" w:asciiTheme="minorEastAsia" w:hAnsiTheme="minorEastAsia" w:eastAsiaTheme="minorEastAsia"/>
                <w:bCs/>
                <w:color w:val="000000"/>
                <w:szCs w:val="21"/>
              </w:rPr>
            </w:pPr>
          </w:p>
        </w:tc>
        <w:tc>
          <w:tcPr>
            <w:tcW w:w="1276" w:type="dxa"/>
            <w:vMerge w:val="continue"/>
            <w:vAlign w:val="center"/>
          </w:tcPr>
          <w:p w14:paraId="0A4CA653">
            <w:pPr>
              <w:spacing w:after="60" w:line="360" w:lineRule="auto"/>
              <w:rPr>
                <w:rFonts w:hint="eastAsia" w:cs="宋体" w:asciiTheme="minorEastAsia" w:hAnsiTheme="minorEastAsia" w:eastAsiaTheme="minorEastAsia"/>
                <w:b/>
                <w:bCs/>
                <w:color w:val="000000"/>
                <w:szCs w:val="21"/>
              </w:rPr>
            </w:pPr>
          </w:p>
        </w:tc>
        <w:tc>
          <w:tcPr>
            <w:tcW w:w="7371" w:type="dxa"/>
            <w:vAlign w:val="center"/>
          </w:tcPr>
          <w:p w14:paraId="39957EBE">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bCs/>
                <w:color w:val="000000"/>
                <w:szCs w:val="21"/>
              </w:rPr>
              <w:t>（3）</w:t>
            </w:r>
            <w:r>
              <w:rPr>
                <w:rFonts w:hint="eastAsia" w:cs="宋体" w:asciiTheme="minorEastAsia" w:hAnsiTheme="minorEastAsia" w:eastAsiaTheme="minorEastAsia"/>
                <w:bCs/>
                <w:color w:val="000000"/>
                <w:szCs w:val="21"/>
              </w:rPr>
              <w:t>经双方检验认可后，签署验收报告，产品质保期自验收合格之日起算，由中标人提供产品保修文件。</w:t>
            </w:r>
          </w:p>
        </w:tc>
      </w:tr>
      <w:tr w14:paraId="067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35" w:type="dxa"/>
            <w:vMerge w:val="restart"/>
            <w:vAlign w:val="center"/>
          </w:tcPr>
          <w:p w14:paraId="2F500427">
            <w:pPr>
              <w:spacing w:after="60" w:line="360" w:lineRule="auto"/>
              <w:jc w:val="center"/>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四</w:t>
            </w:r>
          </w:p>
        </w:tc>
        <w:tc>
          <w:tcPr>
            <w:tcW w:w="1276" w:type="dxa"/>
            <w:vMerge w:val="restart"/>
            <w:vAlign w:val="center"/>
          </w:tcPr>
          <w:p w14:paraId="2BBC0F3B">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color w:val="000000"/>
                <w:szCs w:val="21"/>
              </w:rPr>
              <w:t>售后服务要求</w:t>
            </w:r>
          </w:p>
        </w:tc>
        <w:tc>
          <w:tcPr>
            <w:tcW w:w="7371" w:type="dxa"/>
            <w:vAlign w:val="center"/>
          </w:tcPr>
          <w:p w14:paraId="68A113B6">
            <w:pPr>
              <w:spacing w:after="60"/>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（1）质保期：</w:t>
            </w:r>
            <w:r>
              <w:rPr>
                <w:rFonts w:hint="eastAsia" w:cs="宋体" w:asciiTheme="minorEastAsia" w:hAnsiTheme="minorEastAsia" w:eastAsiaTheme="minorEastAsia"/>
                <w:color w:val="000000"/>
                <w:szCs w:val="21"/>
              </w:rPr>
              <w:t xml:space="preserve"> 1年（以验收合格之日起计算）</w:t>
            </w:r>
            <w:r>
              <w:rPr>
                <w:rFonts w:hint="eastAsia" w:cs="宋体" w:asciiTheme="minorEastAsia" w:hAnsiTheme="minorEastAsia" w:eastAsiaTheme="minorEastAsia"/>
                <w:b/>
                <w:color w:val="000000"/>
                <w:szCs w:val="21"/>
              </w:rPr>
              <w:t xml:space="preserve">。 </w:t>
            </w:r>
          </w:p>
        </w:tc>
      </w:tr>
      <w:tr w14:paraId="7E7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5" w:type="dxa"/>
            <w:vMerge w:val="continue"/>
            <w:vAlign w:val="center"/>
          </w:tcPr>
          <w:p w14:paraId="2F924C00">
            <w:pPr>
              <w:spacing w:after="60" w:line="360" w:lineRule="auto"/>
              <w:jc w:val="center"/>
              <w:rPr>
                <w:rFonts w:hint="eastAsia" w:cs="宋体" w:asciiTheme="minorEastAsia" w:hAnsiTheme="minorEastAsia" w:eastAsiaTheme="minorEastAsia"/>
                <w:bCs/>
                <w:color w:val="000000"/>
                <w:szCs w:val="21"/>
              </w:rPr>
            </w:pPr>
          </w:p>
        </w:tc>
        <w:tc>
          <w:tcPr>
            <w:tcW w:w="1276" w:type="dxa"/>
            <w:vMerge w:val="continue"/>
            <w:vAlign w:val="center"/>
          </w:tcPr>
          <w:p w14:paraId="1A7A6429">
            <w:pPr>
              <w:spacing w:after="60" w:line="360" w:lineRule="auto"/>
              <w:rPr>
                <w:rFonts w:hint="eastAsia" w:cs="宋体" w:asciiTheme="minorEastAsia" w:hAnsiTheme="minorEastAsia" w:eastAsiaTheme="minorEastAsia"/>
                <w:bCs/>
                <w:color w:val="000000"/>
                <w:szCs w:val="21"/>
              </w:rPr>
            </w:pPr>
          </w:p>
        </w:tc>
        <w:tc>
          <w:tcPr>
            <w:tcW w:w="7371" w:type="dxa"/>
            <w:vAlign w:val="center"/>
          </w:tcPr>
          <w:p w14:paraId="6461294C">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（2）响应时间：</w:t>
            </w:r>
            <w:r>
              <w:rPr>
                <w:rFonts w:hint="eastAsia" w:cs="宋体" w:asciiTheme="minorEastAsia" w:hAnsiTheme="minorEastAsia" w:eastAsiaTheme="minorEastAsia"/>
                <w:color w:val="000000"/>
                <w:szCs w:val="21"/>
              </w:rPr>
              <w:t>在质保期以内，接到用户通知时，专业技术人员不超过24小时内上门服务，保证24小时不间断售后技术服务支持；修复时间：48小时。</w:t>
            </w:r>
          </w:p>
        </w:tc>
      </w:tr>
      <w:tr w14:paraId="571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35" w:type="dxa"/>
            <w:vMerge w:val="continue"/>
            <w:vAlign w:val="center"/>
          </w:tcPr>
          <w:p w14:paraId="307C90F3">
            <w:pPr>
              <w:spacing w:after="60" w:line="360" w:lineRule="auto"/>
              <w:jc w:val="center"/>
              <w:rPr>
                <w:rFonts w:hint="eastAsia" w:cs="宋体" w:asciiTheme="minorEastAsia" w:hAnsiTheme="minorEastAsia" w:eastAsiaTheme="minorEastAsia"/>
                <w:bCs/>
                <w:color w:val="000000"/>
                <w:szCs w:val="21"/>
              </w:rPr>
            </w:pPr>
          </w:p>
        </w:tc>
        <w:tc>
          <w:tcPr>
            <w:tcW w:w="1276" w:type="dxa"/>
            <w:vMerge w:val="continue"/>
            <w:vAlign w:val="center"/>
          </w:tcPr>
          <w:p w14:paraId="35D17925">
            <w:pPr>
              <w:spacing w:after="60" w:line="360" w:lineRule="auto"/>
              <w:rPr>
                <w:rFonts w:hint="eastAsia" w:cs="宋体" w:asciiTheme="minorEastAsia" w:hAnsiTheme="minorEastAsia" w:eastAsiaTheme="minorEastAsia"/>
                <w:bCs/>
                <w:color w:val="000000"/>
                <w:szCs w:val="21"/>
              </w:rPr>
            </w:pPr>
          </w:p>
        </w:tc>
        <w:tc>
          <w:tcPr>
            <w:tcW w:w="7371" w:type="dxa"/>
            <w:vAlign w:val="center"/>
          </w:tcPr>
          <w:p w14:paraId="40214321">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（3）免费培训：</w:t>
            </w:r>
            <w:r>
              <w:rPr>
                <w:rFonts w:hint="eastAsia" w:cs="宋体" w:asciiTheme="minorEastAsia" w:hAnsiTheme="minorEastAsia" w:eastAsiaTheme="minorEastAsia"/>
                <w:color w:val="000000"/>
                <w:szCs w:val="21"/>
              </w:rPr>
              <w:t>中标供应商免费在现场对采购单位技术人员进行设备操作培训，保证使用人员能够熟练掌握各种设备和软件等常规使用方法，以及小故障的判断与解决。</w:t>
            </w:r>
          </w:p>
        </w:tc>
      </w:tr>
      <w:tr w14:paraId="7C0D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5" w:type="dxa"/>
            <w:vAlign w:val="center"/>
          </w:tcPr>
          <w:p w14:paraId="7865C730">
            <w:pPr>
              <w:spacing w:after="60" w:line="360" w:lineRule="auto"/>
              <w:jc w:val="center"/>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五</w:t>
            </w:r>
          </w:p>
        </w:tc>
        <w:tc>
          <w:tcPr>
            <w:tcW w:w="1276" w:type="dxa"/>
            <w:vAlign w:val="center"/>
          </w:tcPr>
          <w:p w14:paraId="73977059">
            <w:pPr>
              <w:spacing w:after="60" w:line="360" w:lineRule="auto"/>
              <w:rPr>
                <w:rFonts w:hint="eastAsia" w:cs="宋体" w:asciiTheme="minorEastAsia" w:hAnsiTheme="minorEastAsia" w:eastAsiaTheme="minorEastAsia"/>
                <w:bCs/>
                <w:color w:val="000000"/>
                <w:szCs w:val="21"/>
              </w:rPr>
            </w:pPr>
            <w:r>
              <w:rPr>
                <w:rFonts w:hint="eastAsia" w:cs="宋体" w:asciiTheme="minorEastAsia" w:hAnsiTheme="minorEastAsia" w:eastAsiaTheme="minorEastAsia"/>
                <w:b/>
                <w:color w:val="000000"/>
                <w:szCs w:val="21"/>
              </w:rPr>
              <w:t>其他要求</w:t>
            </w:r>
          </w:p>
        </w:tc>
        <w:tc>
          <w:tcPr>
            <w:tcW w:w="7371" w:type="dxa"/>
            <w:vAlign w:val="center"/>
          </w:tcPr>
          <w:p w14:paraId="13BE068A">
            <w:pPr>
              <w:spacing w:after="60" w:line="360" w:lineRule="auto"/>
              <w:rPr>
                <w:rFonts w:hint="eastAsia" w:cs="宋体" w:asciiTheme="minorEastAsia" w:hAnsiTheme="minorEastAsia" w:eastAsiaTheme="minorEastAsia"/>
                <w:b/>
                <w:color w:val="000000"/>
                <w:szCs w:val="21"/>
              </w:rPr>
            </w:pPr>
            <w:r>
              <w:rPr>
                <w:rFonts w:hint="eastAsia" w:cs="宋体" w:asciiTheme="minorEastAsia" w:hAnsiTheme="minorEastAsia" w:eastAsiaTheme="minorEastAsia"/>
                <w:color w:val="000000"/>
                <w:szCs w:val="21"/>
              </w:rPr>
              <w:t>日常维护：在质保期内，中标人每学期开学前必须至少免费安排1次对所有设备进行检修、保养服务。</w:t>
            </w:r>
          </w:p>
        </w:tc>
      </w:tr>
    </w:tbl>
    <w:p w14:paraId="3C704F60">
      <w:pPr>
        <w:pStyle w:val="8"/>
        <w:widowControl/>
        <w:spacing w:after="25" w:line="360" w:lineRule="auto"/>
        <w:ind w:left="426" w:firstLine="0" w:firstLineChars="0"/>
        <w:jc w:val="left"/>
        <w:rPr>
          <w:rFonts w:hint="eastAsia" w:ascii="宋体" w:hAnsi="宋体"/>
          <w:color w:val="000000"/>
          <w:szCs w:val="21"/>
        </w:rPr>
      </w:pPr>
    </w:p>
    <w:p w14:paraId="787A57B7">
      <w:pPr>
        <w:pStyle w:val="8"/>
        <w:widowControl/>
        <w:spacing w:after="25" w:line="360" w:lineRule="auto"/>
        <w:ind w:left="426" w:firstLine="0" w:firstLineChars="0"/>
        <w:jc w:val="left"/>
        <w:rPr>
          <w:rFonts w:hint="eastAsia" w:ascii="宋体" w:hAnsi="宋体"/>
          <w:color w:val="000000"/>
          <w:szCs w:val="21"/>
        </w:rPr>
      </w:pPr>
    </w:p>
    <w:p w14:paraId="49A0D37E">
      <w:pPr>
        <w:pStyle w:val="8"/>
        <w:widowControl/>
        <w:spacing w:after="25" w:line="360" w:lineRule="auto"/>
        <w:ind w:left="426" w:firstLine="0" w:firstLineChars="0"/>
        <w:jc w:val="left"/>
        <w:rPr>
          <w:rFonts w:hint="eastAsia" w:ascii="宋体" w:hAnsi="宋体"/>
          <w:color w:val="000000"/>
          <w:szCs w:val="21"/>
        </w:rPr>
      </w:pPr>
    </w:p>
    <w:p w14:paraId="2679702E">
      <w:pPr>
        <w:pStyle w:val="8"/>
        <w:widowControl/>
        <w:spacing w:after="25" w:line="360" w:lineRule="auto"/>
        <w:ind w:left="426" w:firstLine="0" w:firstLineChars="0"/>
        <w:jc w:val="left"/>
        <w:rPr>
          <w:rFonts w:hint="eastAsia" w:ascii="宋体" w:hAnsi="宋体"/>
          <w:color w:val="000000"/>
          <w:szCs w:val="21"/>
        </w:rPr>
      </w:pPr>
    </w:p>
    <w:p w14:paraId="488E76CE">
      <w:pPr>
        <w:pStyle w:val="8"/>
        <w:widowControl/>
        <w:spacing w:after="25" w:line="360" w:lineRule="auto"/>
        <w:ind w:left="426" w:firstLine="0" w:firstLineChars="0"/>
        <w:jc w:val="left"/>
        <w:rPr>
          <w:rFonts w:hint="eastAsia" w:ascii="宋体" w:hAnsi="宋体"/>
          <w:color w:val="000000"/>
          <w:szCs w:val="21"/>
        </w:rPr>
      </w:pPr>
    </w:p>
    <w:p w14:paraId="27065460">
      <w:pPr>
        <w:pStyle w:val="8"/>
        <w:widowControl/>
        <w:spacing w:after="25" w:line="360" w:lineRule="auto"/>
        <w:ind w:left="426" w:firstLine="0" w:firstLineChars="0"/>
        <w:jc w:val="left"/>
        <w:rPr>
          <w:rFonts w:hint="eastAsia" w:ascii="宋体" w:hAnsi="宋体"/>
          <w:color w:val="000000"/>
          <w:szCs w:val="21"/>
        </w:rPr>
      </w:pPr>
    </w:p>
    <w:p w14:paraId="767611C0">
      <w:pPr>
        <w:pStyle w:val="8"/>
        <w:widowControl/>
        <w:spacing w:after="25" w:line="360" w:lineRule="auto"/>
        <w:ind w:left="426" w:firstLine="0" w:firstLineChars="0"/>
        <w:jc w:val="left"/>
        <w:rPr>
          <w:rFonts w:hint="eastAsia" w:ascii="宋体" w:hAnsi="宋体"/>
          <w:color w:val="000000"/>
          <w:szCs w:val="21"/>
        </w:rPr>
      </w:pPr>
    </w:p>
    <w:p w14:paraId="07FEF66D">
      <w:pPr>
        <w:pStyle w:val="8"/>
        <w:widowControl/>
        <w:spacing w:after="25" w:line="360" w:lineRule="auto"/>
        <w:ind w:left="426" w:firstLine="0" w:firstLineChars="0"/>
        <w:jc w:val="left"/>
        <w:rPr>
          <w:rFonts w:hint="eastAsia" w:ascii="宋体" w:hAnsi="宋体"/>
          <w:color w:val="000000"/>
          <w:szCs w:val="21"/>
        </w:rPr>
      </w:pPr>
    </w:p>
    <w:p w14:paraId="4E944E89">
      <w:pPr>
        <w:pStyle w:val="8"/>
        <w:widowControl/>
        <w:spacing w:after="25" w:line="360" w:lineRule="auto"/>
        <w:ind w:left="426" w:firstLine="0" w:firstLineChars="0"/>
        <w:jc w:val="left"/>
        <w:rPr>
          <w:rFonts w:hint="eastAsia" w:ascii="宋体" w:hAnsi="宋体"/>
          <w:color w:val="000000"/>
          <w:szCs w:val="21"/>
        </w:rPr>
      </w:pPr>
    </w:p>
    <w:p w14:paraId="4B169FD6">
      <w:pPr>
        <w:pStyle w:val="8"/>
        <w:widowControl/>
        <w:spacing w:after="25" w:line="360" w:lineRule="auto"/>
        <w:ind w:left="426" w:firstLine="0" w:firstLineChars="0"/>
        <w:jc w:val="left"/>
        <w:rPr>
          <w:rFonts w:hint="eastAsia" w:ascii="宋体" w:hAnsi="宋体"/>
          <w:color w:val="000000"/>
          <w:szCs w:val="21"/>
        </w:rPr>
      </w:pPr>
    </w:p>
    <w:p w14:paraId="707EE4A6">
      <w:pPr>
        <w:pStyle w:val="8"/>
        <w:widowControl/>
        <w:spacing w:after="25" w:line="360" w:lineRule="auto"/>
        <w:ind w:left="426" w:firstLine="0" w:firstLineChars="0"/>
        <w:jc w:val="left"/>
        <w:rPr>
          <w:rFonts w:hint="eastAsia" w:ascii="宋体" w:hAnsi="宋体"/>
          <w:color w:val="000000"/>
          <w:szCs w:val="21"/>
        </w:rPr>
      </w:pPr>
    </w:p>
    <w:p w14:paraId="33B620CE">
      <w:pPr>
        <w:pStyle w:val="8"/>
        <w:widowControl/>
        <w:spacing w:after="25" w:line="360" w:lineRule="auto"/>
        <w:ind w:left="426" w:firstLine="0" w:firstLineChars="0"/>
        <w:jc w:val="left"/>
        <w:rPr>
          <w:rFonts w:hint="eastAsia" w:ascii="宋体" w:hAnsi="宋体"/>
          <w:color w:val="000000"/>
          <w:szCs w:val="21"/>
        </w:rPr>
      </w:pPr>
    </w:p>
    <w:p w14:paraId="681FC932">
      <w:pPr>
        <w:pStyle w:val="8"/>
        <w:widowControl/>
        <w:spacing w:after="25" w:line="360" w:lineRule="auto"/>
        <w:ind w:left="426" w:firstLine="0" w:firstLineChars="0"/>
        <w:jc w:val="left"/>
        <w:rPr>
          <w:rFonts w:hint="eastAsia" w:ascii="宋体" w:hAnsi="宋体"/>
          <w:color w:val="000000"/>
          <w:szCs w:val="21"/>
        </w:rPr>
      </w:pPr>
    </w:p>
    <w:p w14:paraId="29962F3E">
      <w:pPr>
        <w:pStyle w:val="8"/>
        <w:widowControl/>
        <w:spacing w:after="25" w:line="360" w:lineRule="auto"/>
        <w:ind w:left="426" w:firstLine="0" w:firstLineChars="0"/>
        <w:jc w:val="left"/>
        <w:rPr>
          <w:rFonts w:hint="eastAsia" w:ascii="宋体" w:hAnsi="宋体"/>
          <w:color w:val="000000"/>
          <w:szCs w:val="21"/>
        </w:rPr>
      </w:pPr>
    </w:p>
    <w:p w14:paraId="03198952">
      <w:pPr>
        <w:pStyle w:val="8"/>
        <w:widowControl/>
        <w:spacing w:after="25" w:line="360" w:lineRule="auto"/>
        <w:ind w:left="426" w:firstLine="0" w:firstLineChars="0"/>
        <w:jc w:val="left"/>
        <w:rPr>
          <w:rFonts w:hint="eastAsia" w:ascii="宋体" w:hAnsi="宋体"/>
          <w:color w:val="000000"/>
          <w:szCs w:val="21"/>
        </w:rPr>
      </w:pPr>
    </w:p>
    <w:p w14:paraId="2B2D43BC">
      <w:pPr>
        <w:pStyle w:val="8"/>
        <w:widowControl/>
        <w:spacing w:after="25" w:line="360" w:lineRule="auto"/>
        <w:ind w:left="426" w:firstLine="0" w:firstLineChars="0"/>
        <w:jc w:val="left"/>
        <w:rPr>
          <w:rFonts w:hint="eastAsia" w:ascii="宋体" w:hAnsi="宋体"/>
          <w:color w:val="000000"/>
          <w:szCs w:val="21"/>
        </w:rPr>
      </w:pPr>
    </w:p>
    <w:p w14:paraId="5E4554BB">
      <w:pPr>
        <w:pStyle w:val="8"/>
        <w:widowControl/>
        <w:spacing w:after="25" w:line="360" w:lineRule="auto"/>
        <w:ind w:left="426" w:firstLine="0" w:firstLineChars="0"/>
        <w:jc w:val="left"/>
        <w:rPr>
          <w:rFonts w:hint="eastAsia" w:ascii="宋体" w:hAnsi="宋体"/>
          <w:color w:val="000000"/>
          <w:szCs w:val="21"/>
        </w:rPr>
      </w:pPr>
    </w:p>
    <w:p w14:paraId="6A42C396">
      <w:pPr>
        <w:pStyle w:val="8"/>
        <w:widowControl/>
        <w:spacing w:after="25" w:line="360" w:lineRule="auto"/>
        <w:ind w:left="426" w:firstLine="0" w:firstLineChars="0"/>
        <w:jc w:val="left"/>
        <w:rPr>
          <w:rFonts w:hint="eastAsia" w:ascii="宋体" w:hAnsi="宋体"/>
          <w:color w:val="000000"/>
          <w:szCs w:val="21"/>
        </w:rPr>
      </w:pPr>
    </w:p>
    <w:p w14:paraId="3BA1F2F0">
      <w:pPr>
        <w:spacing w:after="60" w:line="360" w:lineRule="auto"/>
        <w:jc w:val="center"/>
        <w:rPr>
          <w:b/>
          <w:color w:val="FF0000"/>
          <w:sz w:val="28"/>
          <w:szCs w:val="28"/>
        </w:rPr>
      </w:pPr>
      <w:r>
        <w:rPr>
          <w:rFonts w:hint="eastAsia"/>
          <w:b/>
          <w:color w:val="FF0000"/>
          <w:sz w:val="28"/>
          <w:szCs w:val="28"/>
        </w:rPr>
        <w:t>（技术要求部分）</w:t>
      </w:r>
    </w:p>
    <w:p w14:paraId="4EF1AB97">
      <w:pPr>
        <w:pStyle w:val="8"/>
        <w:numPr>
          <w:ilvl w:val="0"/>
          <w:numId w:val="1"/>
        </w:numPr>
        <w:autoSpaceDE w:val="0"/>
        <w:autoSpaceDN w:val="0"/>
        <w:adjustRightInd w:val="0"/>
        <w:spacing w:after="60" w:line="360" w:lineRule="auto"/>
        <w:ind w:firstLineChars="0"/>
        <w:jc w:val="left"/>
        <w:rPr>
          <w:rFonts w:ascii="宋体" w:cs="宋体" w:hAnsiTheme="minorHAnsi"/>
          <w:b/>
          <w:color w:val="000000"/>
          <w:kern w:val="0"/>
          <w:szCs w:val="21"/>
        </w:rPr>
      </w:pPr>
      <w:r>
        <w:rPr>
          <w:rFonts w:hint="eastAsia" w:ascii="宋体" w:cs="宋体" w:hAnsiTheme="minorHAnsi"/>
          <w:b/>
          <w:color w:val="000000"/>
          <w:kern w:val="0"/>
          <w:szCs w:val="21"/>
        </w:rPr>
        <w:t>项目基本信息</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000"/>
        <w:gridCol w:w="712"/>
        <w:gridCol w:w="712"/>
        <w:gridCol w:w="2139"/>
        <w:gridCol w:w="1276"/>
      </w:tblGrid>
      <w:tr w14:paraId="3EC8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Align w:val="center"/>
          </w:tcPr>
          <w:p w14:paraId="724F214C">
            <w:pPr>
              <w:spacing w:after="60"/>
              <w:jc w:val="center"/>
              <w:rPr>
                <w:rFonts w:hint="eastAsia" w:ascii="宋体" w:hAnsi="宋体"/>
                <w:szCs w:val="21"/>
              </w:rPr>
            </w:pPr>
            <w:r>
              <w:rPr>
                <w:rFonts w:hint="eastAsia" w:ascii="宋体" w:hAnsi="宋体"/>
                <w:szCs w:val="21"/>
              </w:rPr>
              <w:t>序号</w:t>
            </w:r>
          </w:p>
        </w:tc>
        <w:tc>
          <w:tcPr>
            <w:tcW w:w="1761" w:type="pct"/>
            <w:vAlign w:val="center"/>
          </w:tcPr>
          <w:p w14:paraId="60BD6621">
            <w:pPr>
              <w:spacing w:after="60"/>
              <w:jc w:val="center"/>
              <w:rPr>
                <w:rFonts w:hint="eastAsia" w:ascii="宋体" w:hAnsi="宋体"/>
                <w:szCs w:val="21"/>
              </w:rPr>
            </w:pPr>
            <w:r>
              <w:rPr>
                <w:rFonts w:hint="eastAsia" w:ascii="宋体" w:hAnsi="宋体"/>
                <w:szCs w:val="21"/>
              </w:rPr>
              <w:t>标的名称</w:t>
            </w:r>
          </w:p>
        </w:tc>
        <w:tc>
          <w:tcPr>
            <w:tcW w:w="418" w:type="pct"/>
            <w:vAlign w:val="center"/>
          </w:tcPr>
          <w:p w14:paraId="5D03F433">
            <w:pPr>
              <w:spacing w:after="60"/>
              <w:jc w:val="center"/>
              <w:rPr>
                <w:rFonts w:hint="eastAsia" w:ascii="宋体" w:hAnsi="宋体"/>
                <w:szCs w:val="21"/>
              </w:rPr>
            </w:pPr>
            <w:r>
              <w:rPr>
                <w:rFonts w:hint="eastAsia" w:ascii="宋体" w:hAnsi="宋体"/>
                <w:szCs w:val="21"/>
              </w:rPr>
              <w:t>数量</w:t>
            </w:r>
          </w:p>
        </w:tc>
        <w:tc>
          <w:tcPr>
            <w:tcW w:w="418" w:type="pct"/>
            <w:vAlign w:val="center"/>
          </w:tcPr>
          <w:p w14:paraId="7BBC3E29">
            <w:pPr>
              <w:spacing w:after="60"/>
              <w:jc w:val="center"/>
              <w:rPr>
                <w:rFonts w:hint="eastAsia" w:ascii="宋体" w:hAnsi="宋体"/>
                <w:szCs w:val="21"/>
              </w:rPr>
            </w:pPr>
            <w:r>
              <w:rPr>
                <w:rFonts w:hint="eastAsia" w:ascii="宋体" w:hAnsi="宋体"/>
                <w:szCs w:val="21"/>
              </w:rPr>
              <w:t>单位</w:t>
            </w:r>
          </w:p>
        </w:tc>
        <w:tc>
          <w:tcPr>
            <w:tcW w:w="1256" w:type="pct"/>
            <w:vAlign w:val="center"/>
          </w:tcPr>
          <w:p w14:paraId="7FA9B1D6">
            <w:pPr>
              <w:spacing w:after="60"/>
              <w:jc w:val="center"/>
              <w:rPr>
                <w:rFonts w:hint="eastAsia" w:ascii="宋体" w:hAnsi="宋体"/>
                <w:szCs w:val="21"/>
              </w:rPr>
            </w:pPr>
            <w:r>
              <w:rPr>
                <w:rFonts w:hint="eastAsia" w:ascii="宋体" w:hAnsi="宋体"/>
                <w:szCs w:val="21"/>
              </w:rPr>
              <w:t>预算控制金额（元）</w:t>
            </w:r>
          </w:p>
        </w:tc>
        <w:tc>
          <w:tcPr>
            <w:tcW w:w="749" w:type="pct"/>
            <w:vAlign w:val="center"/>
          </w:tcPr>
          <w:p w14:paraId="2C186431">
            <w:pPr>
              <w:spacing w:after="60"/>
              <w:jc w:val="center"/>
              <w:rPr>
                <w:rFonts w:hint="eastAsia" w:ascii="宋体" w:hAnsi="宋体"/>
                <w:szCs w:val="21"/>
              </w:rPr>
            </w:pPr>
            <w:r>
              <w:rPr>
                <w:rFonts w:hint="eastAsia" w:ascii="宋体" w:hAnsi="宋体"/>
                <w:szCs w:val="21"/>
              </w:rPr>
              <w:t>备注</w:t>
            </w:r>
          </w:p>
        </w:tc>
      </w:tr>
      <w:tr w14:paraId="7E1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2AE1971A">
            <w:pPr>
              <w:spacing w:after="60"/>
              <w:jc w:val="center"/>
              <w:rPr>
                <w:rFonts w:hint="eastAsia" w:ascii="宋体" w:hAnsi="宋体"/>
                <w:szCs w:val="21"/>
              </w:rPr>
            </w:pPr>
            <w:r>
              <w:rPr>
                <w:rFonts w:hint="eastAsia" w:ascii="宋体" w:hAnsi="宋体"/>
                <w:szCs w:val="21"/>
              </w:rPr>
              <w:t>1</w:t>
            </w:r>
          </w:p>
        </w:tc>
        <w:tc>
          <w:tcPr>
            <w:tcW w:w="1761" w:type="pct"/>
            <w:vAlign w:val="center"/>
          </w:tcPr>
          <w:p w14:paraId="2B6E7E6A">
            <w:pPr>
              <w:spacing w:before="50" w:after="60"/>
              <w:jc w:val="center"/>
              <w:rPr>
                <w:rFonts w:hint="eastAsia" w:ascii="宋体" w:hAnsi="宋体"/>
                <w:szCs w:val="21"/>
              </w:rPr>
            </w:pPr>
            <w:r>
              <w:rPr>
                <w:rFonts w:hint="eastAsia" w:ascii="宋体" w:hAnsi="宋体"/>
                <w:szCs w:val="21"/>
              </w:rPr>
              <w:t>广播室设备采购</w:t>
            </w:r>
          </w:p>
        </w:tc>
        <w:tc>
          <w:tcPr>
            <w:tcW w:w="418" w:type="pct"/>
            <w:vAlign w:val="center"/>
          </w:tcPr>
          <w:p w14:paraId="48F4644D">
            <w:pPr>
              <w:spacing w:after="60"/>
              <w:jc w:val="center"/>
              <w:rPr>
                <w:rFonts w:hint="eastAsia" w:ascii="宋体" w:hAnsi="宋体"/>
                <w:szCs w:val="21"/>
              </w:rPr>
            </w:pPr>
            <w:r>
              <w:rPr>
                <w:rFonts w:ascii="宋体" w:hAnsi="宋体"/>
                <w:szCs w:val="21"/>
              </w:rPr>
              <w:t>1</w:t>
            </w:r>
          </w:p>
        </w:tc>
        <w:tc>
          <w:tcPr>
            <w:tcW w:w="418" w:type="pct"/>
            <w:vAlign w:val="center"/>
          </w:tcPr>
          <w:p w14:paraId="62B8B5DD">
            <w:pPr>
              <w:spacing w:before="50" w:after="60"/>
              <w:jc w:val="center"/>
              <w:rPr>
                <w:rFonts w:hint="eastAsia" w:ascii="宋体" w:hAnsi="宋体"/>
                <w:szCs w:val="21"/>
                <w:lang w:val="zh-CN"/>
              </w:rPr>
            </w:pPr>
            <w:r>
              <w:rPr>
                <w:rFonts w:hint="eastAsia" w:ascii="宋体" w:hAnsi="宋体"/>
                <w:szCs w:val="21"/>
                <w:lang w:val="zh-CN"/>
              </w:rPr>
              <w:t>项</w:t>
            </w:r>
          </w:p>
        </w:tc>
        <w:tc>
          <w:tcPr>
            <w:tcW w:w="1256" w:type="pct"/>
            <w:vAlign w:val="center"/>
          </w:tcPr>
          <w:p w14:paraId="6325BB98">
            <w:pPr>
              <w:spacing w:before="50" w:after="60"/>
              <w:jc w:val="center"/>
              <w:rPr>
                <w:rFonts w:hint="eastAsia" w:ascii="宋体" w:hAnsi="宋体"/>
                <w:szCs w:val="21"/>
              </w:rPr>
            </w:pPr>
            <w:r>
              <w:rPr>
                <w:rFonts w:hint="eastAsia" w:ascii="宋体" w:hAnsi="宋体"/>
                <w:szCs w:val="21"/>
              </w:rPr>
              <w:t>361200</w:t>
            </w:r>
          </w:p>
        </w:tc>
        <w:tc>
          <w:tcPr>
            <w:tcW w:w="749" w:type="pct"/>
            <w:vAlign w:val="center"/>
          </w:tcPr>
          <w:p w14:paraId="399AAE08">
            <w:pPr>
              <w:spacing w:before="50" w:after="60"/>
              <w:jc w:val="center"/>
              <w:rPr>
                <w:rFonts w:hint="eastAsia" w:ascii="宋体" w:hAnsi="宋体"/>
                <w:szCs w:val="21"/>
                <w:lang w:val="zh-CN"/>
              </w:rPr>
            </w:pPr>
            <w:r>
              <w:rPr>
                <w:rFonts w:hint="eastAsia" w:ascii="宋体" w:hAnsi="宋体" w:cs="宋体"/>
                <w:kern w:val="0"/>
                <w:szCs w:val="21"/>
              </w:rPr>
              <w:t>拒绝进口</w:t>
            </w:r>
          </w:p>
        </w:tc>
      </w:tr>
    </w:tbl>
    <w:p w14:paraId="10E6387F">
      <w:pPr>
        <w:autoSpaceDE w:val="0"/>
        <w:autoSpaceDN w:val="0"/>
        <w:adjustRightInd w:val="0"/>
        <w:spacing w:after="60" w:line="360" w:lineRule="auto"/>
        <w:ind w:firstLine="527" w:firstLineChars="250"/>
        <w:jc w:val="left"/>
        <w:rPr>
          <w:rFonts w:ascii="宋体" w:cs="宋体" w:hAnsiTheme="minorHAnsi"/>
          <w:b/>
          <w:color w:val="000000"/>
          <w:kern w:val="0"/>
          <w:szCs w:val="21"/>
        </w:rPr>
      </w:pPr>
      <w:r>
        <w:rPr>
          <w:rFonts w:hint="eastAsia" w:ascii="宋体" w:hAnsi="宋体" w:cs="宋体"/>
          <w:b/>
          <w:color w:val="FF0000"/>
          <w:szCs w:val="21"/>
          <w:highlight w:val="yellow"/>
        </w:rPr>
        <w:t>本项目核心产品为：★</w:t>
      </w:r>
      <w:r>
        <w:rPr>
          <w:rFonts w:hint="eastAsia" w:ascii="宋体" w:hAnsi="宋体" w:cs="宋体"/>
          <w:b/>
          <w:color w:val="FF0000"/>
          <w:szCs w:val="21"/>
          <w:highlight w:val="yellow"/>
          <w:u w:val="single"/>
        </w:rPr>
        <w:t xml:space="preserve"> 波束形成定向扩声音箱</w:t>
      </w:r>
    </w:p>
    <w:p w14:paraId="159CB1C3">
      <w:pPr>
        <w:autoSpaceDE w:val="0"/>
        <w:autoSpaceDN w:val="0"/>
        <w:adjustRightInd w:val="0"/>
        <w:spacing w:after="60" w:line="360" w:lineRule="auto"/>
        <w:ind w:firstLine="527" w:firstLineChars="250"/>
        <w:jc w:val="left"/>
        <w:rPr>
          <w:rFonts w:ascii="宋体" w:cs="宋体" w:hAnsiTheme="minorHAnsi"/>
          <w:b/>
          <w:color w:val="000000"/>
          <w:kern w:val="0"/>
          <w:szCs w:val="21"/>
        </w:rPr>
      </w:pPr>
      <w:r>
        <w:rPr>
          <w:rFonts w:hint="eastAsia" w:ascii="宋体" w:cs="宋体" w:hAnsiTheme="minorHAnsi"/>
          <w:b/>
          <w:color w:val="000000"/>
          <w:kern w:val="0"/>
          <w:szCs w:val="21"/>
        </w:rPr>
        <w:t>注意事项：</w:t>
      </w:r>
    </w:p>
    <w:p w14:paraId="63884D57">
      <w:pPr>
        <w:pStyle w:val="8"/>
        <w:numPr>
          <w:ilvl w:val="0"/>
          <w:numId w:val="2"/>
        </w:numPr>
        <w:autoSpaceDE w:val="0"/>
        <w:autoSpaceDN w:val="0"/>
        <w:adjustRightInd w:val="0"/>
        <w:spacing w:after="60" w:line="360" w:lineRule="auto"/>
        <w:ind w:left="0" w:firstLine="426" w:firstLineChars="0"/>
        <w:jc w:val="left"/>
        <w:rPr>
          <w:rFonts w:hint="eastAsia" w:cs="宋体" w:asciiTheme="minorEastAsia" w:hAnsiTheme="minorEastAsia"/>
          <w:color w:val="000000"/>
          <w:kern w:val="0"/>
          <w:szCs w:val="21"/>
        </w:rPr>
      </w:pPr>
      <w:r>
        <w:rPr>
          <w:rFonts w:hint="eastAsia" w:ascii="宋体" w:hAnsi="宋体" w:cs="宋体"/>
          <w:color w:val="FF0000"/>
          <w:szCs w:val="21"/>
        </w:rPr>
        <w:t>该清单中重要设备要求供应商必须填写设备的品牌、规格型号（如不按要求填报、漏报或错报作投标无效处理）。</w:t>
      </w:r>
    </w:p>
    <w:p w14:paraId="375C4096">
      <w:pPr>
        <w:pStyle w:val="8"/>
        <w:numPr>
          <w:ilvl w:val="0"/>
          <w:numId w:val="2"/>
        </w:numPr>
        <w:autoSpaceDE w:val="0"/>
        <w:autoSpaceDN w:val="0"/>
        <w:adjustRightInd w:val="0"/>
        <w:spacing w:after="60" w:line="360" w:lineRule="auto"/>
        <w:ind w:left="0" w:firstLine="426" w:firstLineChars="0"/>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招标人提供的清单中材料所涉及品牌或型号（如有），仅供投标人参考。投标人在投标时可以选用其它品牌，但所选用的品牌产品要在实质上相当于或不低于参照品牌技术性能的要求，并且使采购人满意。 </w:t>
      </w:r>
    </w:p>
    <w:p w14:paraId="69267D8D">
      <w:pPr>
        <w:pStyle w:val="8"/>
        <w:numPr>
          <w:ilvl w:val="0"/>
          <w:numId w:val="2"/>
        </w:numPr>
        <w:autoSpaceDE w:val="0"/>
        <w:autoSpaceDN w:val="0"/>
        <w:adjustRightInd w:val="0"/>
        <w:spacing w:after="60" w:line="360" w:lineRule="auto"/>
        <w:ind w:left="0" w:firstLine="426" w:firstLineChars="0"/>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提供相同品牌产品且通过资格审查、符合性审查的不同投标人参加同一合同项下投标的，按一家投标人计算，评审后得分最高的同品牌投标人获得中标人推荐资格;评审得分相同的，以投标报价最低的获得中标人推荐资格。</w:t>
      </w:r>
    </w:p>
    <w:p w14:paraId="04AB79DF">
      <w:pPr>
        <w:pStyle w:val="8"/>
        <w:numPr>
          <w:ilvl w:val="0"/>
          <w:numId w:val="2"/>
        </w:numPr>
        <w:autoSpaceDE w:val="0"/>
        <w:autoSpaceDN w:val="0"/>
        <w:adjustRightInd w:val="0"/>
        <w:spacing w:after="60" w:line="360" w:lineRule="auto"/>
        <w:ind w:left="0" w:firstLine="426" w:firstLineChars="0"/>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 非单一产品采购项目，采购人应当根据采购项目技术构成、产品价格比重等合理确定核心产品，并在招标文件中载明。多家投标人提供的核心产品品牌相同的，按第2条款规定处理。</w:t>
      </w:r>
    </w:p>
    <w:p w14:paraId="416F05DA">
      <w:pPr>
        <w:pStyle w:val="8"/>
        <w:numPr>
          <w:ilvl w:val="0"/>
          <w:numId w:val="2"/>
        </w:numPr>
        <w:autoSpaceDE w:val="0"/>
        <w:autoSpaceDN w:val="0"/>
        <w:adjustRightInd w:val="0"/>
        <w:spacing w:after="60" w:line="360" w:lineRule="auto"/>
        <w:ind w:left="0" w:firstLine="426" w:firstLineChars="0"/>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 标注 ★ 号的条款为重要技术要求，投标文件中对标注 ★ 号的条款不响应或任何的不满足（负偏离），将导致废标。</w:t>
      </w:r>
    </w:p>
    <w:p w14:paraId="5B404B9E">
      <w:pPr>
        <w:pStyle w:val="8"/>
        <w:numPr>
          <w:ilvl w:val="0"/>
          <w:numId w:val="2"/>
        </w:numPr>
        <w:autoSpaceDE w:val="0"/>
        <w:autoSpaceDN w:val="0"/>
        <w:adjustRightInd w:val="0"/>
        <w:spacing w:after="60" w:line="360" w:lineRule="auto"/>
        <w:ind w:left="0" w:firstLine="426" w:firstLineChars="0"/>
        <w:jc w:val="left"/>
      </w:pPr>
      <w:r>
        <w:rPr>
          <w:rFonts w:hint="eastAsia" w:cs="宋体" w:asciiTheme="minorEastAsia" w:hAnsiTheme="minorEastAsia"/>
          <w:color w:val="000000"/>
          <w:kern w:val="0"/>
          <w:szCs w:val="21"/>
        </w:rPr>
        <w:t xml:space="preserve"> 以下内容若有标注“▲”的条款均为非不可偏离条款，仅作为综合评分时的重要依据。 </w:t>
      </w:r>
    </w:p>
    <w:p w14:paraId="4CA1DAEB">
      <w:pPr>
        <w:pStyle w:val="8"/>
        <w:spacing w:after="60" w:line="360" w:lineRule="auto"/>
        <w:ind w:left="420" w:firstLine="0" w:firstLineChars="0"/>
        <w:rPr>
          <w:rFonts w:hint="eastAsia" w:ascii="宋体" w:hAnsi="宋体" w:eastAsia="宋体" w:cs="Times New Roman"/>
          <w:b/>
          <w:bCs/>
          <w:color w:val="000000"/>
          <w:sz w:val="24"/>
          <w:szCs w:val="32"/>
        </w:rPr>
      </w:pPr>
    </w:p>
    <w:p w14:paraId="78584023">
      <w:pPr>
        <w:pStyle w:val="2"/>
        <w:rPr>
          <w:rFonts w:ascii="宋体" w:cs="宋体" w:hAnsiTheme="minorHAnsi"/>
          <w:b/>
          <w:color w:val="000000"/>
          <w:kern w:val="0"/>
          <w:szCs w:val="21"/>
        </w:rPr>
      </w:pPr>
      <w:r>
        <w:rPr>
          <w:rFonts w:hint="eastAsia" w:ascii="宋体" w:cs="宋体" w:hAnsiTheme="minorHAnsi"/>
          <w:b/>
          <w:color w:val="000000"/>
          <w:kern w:val="0"/>
          <w:szCs w:val="21"/>
        </w:rPr>
        <w:t>（二）设备清单及参数要求：</w:t>
      </w:r>
    </w:p>
    <w:tbl>
      <w:tblPr>
        <w:tblStyle w:val="4"/>
        <w:tblW w:w="9477" w:type="dxa"/>
        <w:tblInd w:w="-354" w:type="dxa"/>
        <w:tblLayout w:type="fixed"/>
        <w:tblCellMar>
          <w:top w:w="0" w:type="dxa"/>
          <w:left w:w="108" w:type="dxa"/>
          <w:bottom w:w="0" w:type="dxa"/>
          <w:right w:w="108" w:type="dxa"/>
        </w:tblCellMar>
      </w:tblPr>
      <w:tblGrid>
        <w:gridCol w:w="1036"/>
        <w:gridCol w:w="1427"/>
        <w:gridCol w:w="5483"/>
        <w:gridCol w:w="750"/>
        <w:gridCol w:w="781"/>
      </w:tblGrid>
      <w:tr w14:paraId="18747B44">
        <w:tblPrEx>
          <w:tblCellMar>
            <w:top w:w="0" w:type="dxa"/>
            <w:left w:w="108" w:type="dxa"/>
            <w:bottom w:w="0" w:type="dxa"/>
            <w:right w:w="108" w:type="dxa"/>
          </w:tblCellMar>
        </w:tblPrEx>
        <w:trPr>
          <w:trHeight w:val="402"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0ED9A36E">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427" w:type="dxa"/>
            <w:tcBorders>
              <w:top w:val="single" w:color="000000" w:sz="4" w:space="0"/>
              <w:left w:val="single" w:color="000000" w:sz="4" w:space="0"/>
              <w:bottom w:val="single" w:color="000000" w:sz="4" w:space="0"/>
              <w:right w:val="single" w:color="000000" w:sz="4" w:space="0"/>
            </w:tcBorders>
            <w:vAlign w:val="center"/>
          </w:tcPr>
          <w:p w14:paraId="4E5F7DD0">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设备名称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06A8003">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技术参数</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BDB8B3">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9637B0E">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4FD9395F">
        <w:tblPrEx>
          <w:tblCellMar>
            <w:top w:w="0" w:type="dxa"/>
            <w:left w:w="108" w:type="dxa"/>
            <w:bottom w:w="0" w:type="dxa"/>
            <w:right w:w="108" w:type="dxa"/>
          </w:tblCellMar>
        </w:tblPrEx>
        <w:trPr>
          <w:trHeight w:val="801" w:hRule="atLeast"/>
        </w:trPr>
        <w:tc>
          <w:tcPr>
            <w:tcW w:w="9477" w:type="dxa"/>
            <w:gridSpan w:val="5"/>
            <w:tcBorders>
              <w:top w:val="single" w:color="000000" w:sz="4" w:space="0"/>
              <w:left w:val="single" w:color="000000" w:sz="4" w:space="0"/>
              <w:bottom w:val="single" w:color="000000" w:sz="4" w:space="0"/>
              <w:right w:val="single" w:color="000000" w:sz="4" w:space="0"/>
            </w:tcBorders>
            <w:noWrap/>
            <w:vAlign w:val="center"/>
          </w:tcPr>
          <w:p w14:paraId="47A99580">
            <w:pPr>
              <w:spacing w:after="60"/>
              <w:rPr>
                <w:rFonts w:hint="eastAsia" w:ascii="宋体" w:hAnsi="宋体" w:cs="宋体"/>
                <w:b/>
                <w:bCs/>
                <w:color w:val="000000"/>
                <w:szCs w:val="21"/>
              </w:rPr>
            </w:pPr>
            <w:r>
              <w:rPr>
                <w:rFonts w:hint="eastAsia" w:ascii="宋体" w:hAnsi="宋体" w:cs="宋体"/>
                <w:b/>
                <w:bCs/>
                <w:color w:val="000000"/>
                <w:kern w:val="0"/>
                <w:szCs w:val="21"/>
                <w:lang w:bidi="ar"/>
              </w:rPr>
              <w:t>机房设备</w:t>
            </w:r>
          </w:p>
        </w:tc>
      </w:tr>
      <w:tr w14:paraId="1B2D42AB">
        <w:tblPrEx>
          <w:tblCellMar>
            <w:top w:w="0" w:type="dxa"/>
            <w:left w:w="108" w:type="dxa"/>
            <w:bottom w:w="0" w:type="dxa"/>
            <w:right w:w="108" w:type="dxa"/>
          </w:tblCellMar>
        </w:tblPrEx>
        <w:trPr>
          <w:trHeight w:val="801"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E49A">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C1CA">
            <w:pPr>
              <w:widowControl/>
              <w:spacing w:after="60"/>
              <w:jc w:val="center"/>
              <w:textAlignment w:val="center"/>
              <w:rPr>
                <w:rFonts w:hint="eastAsia" w:ascii="宋体" w:hAnsi="宋体" w:cs="宋体"/>
                <w:color w:val="333333"/>
                <w:szCs w:val="21"/>
              </w:rPr>
            </w:pPr>
            <w:r>
              <w:rPr>
                <w:rFonts w:hint="eastAsia" w:ascii="宋体" w:hAnsi="宋体" w:cs="宋体"/>
                <w:color w:val="333333"/>
                <w:kern w:val="0"/>
                <w:szCs w:val="21"/>
                <w:lang w:bidi="ar"/>
              </w:rPr>
              <w:t>广播服务器主机</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0DB0">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1、IP网络数字广播服务器软件的运行载体，是广播的控制中心，对整个广播系统进行实时有效的管理；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2、采用工业级工控机机箱设计，机箱采用钢结构，有较高的防磁、防尘、防冲击的能力；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3、支持专用千兆网传输，可同时传输上百套节目源；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4、工业级专用主板设计，处理速度更快，运作性能更强，可以长时期不断电稳定工作；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5、Apache WEB服务器，功能强大，支持多用户同时访问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6、应用数据和媒体文件采用数据库管理，安全可靠，任务数不受限制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7、专业流媒体服务器，支持标准流媒体格式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8、服务器软件采用后台系统服务运行，是企业级的标准服务器工作模式，开机，系统即可自动运行，相比运行在界面前台的软件具有更高的稳定性和可靠性。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9、扩展增加备用工控机可实现服务器软件数据共享，备用工控机能实时检测主用工控机的工作状态，并实现故障自动主备切换，可完整替代主用工控机的管理控制功能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技术参数：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1、屏幕尺寸:不小于15英寸；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2、软件操作平台 ：LINUX/免病毒侵入/高可靠性；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3、集成推拉式键盘及触摸鼠标；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4、屏幕颜色:TFT24位真彩色；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5、工作环境:环境温度：5℃~40℃；相对湿度：≧75%；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6、主板：集成千兆网卡；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7、CPU:六核六线程，主频2.8GHZ；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8、内存: DDR4  4G；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9、光驱：内置笔记本光驱；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10、内置120G固态硬盘，具有抗震动、抗摔、读写速度快、功耗低等特点；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11、电源：400W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12、液晶显示屏：TFT-LCD电容液晶触摸屏，分辨率1280*800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13、标准接口:1×RJ45接口；2×USB(3.0)；4×USB(2.0)；1*VGA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14、系统音频信号信噪比 ：LINE：70dB；MIC：60dB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15、系统音频信号失真度： 1KHz&lt;0.5%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16、系统音频信号标准输入电平 ：LINE：300mV； MIC：5mV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17、系统音频信号标准输出电平 ：0dBV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18、自身耗电量 ：AC～220V/50Hz/300W</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518B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0C9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73EC3E33">
        <w:tblPrEx>
          <w:tblCellMar>
            <w:top w:w="0" w:type="dxa"/>
            <w:left w:w="108" w:type="dxa"/>
            <w:bottom w:w="0" w:type="dxa"/>
            <w:right w:w="108" w:type="dxa"/>
          </w:tblCellMar>
        </w:tblPrEx>
        <w:trPr>
          <w:trHeight w:val="27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1FA">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51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广播主机软件</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F143">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1、支持批量修改终端的本地音量（IP前置、IP功放除外）；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2、支持用户停用功能；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3、直接支持android手机客户端控制（WIFI环境）；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4、支持自定义节假日作息停播功能（支持当天停播，第二天自动恢复播放；支持节日自动停播，无须人工手动停止作息方案）；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5、软件支持linux平台；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6、服务器软件支持文字转语音功能，可选中文（男、女声） 英文（男、女）、对文字信息转语音播放速率可任意调整、同时可设置音量大小及播放优先级；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7、广播软件自动识别终端：当网络终端IP地址已配置好，系统将自动检测识别显示在广播软件配置栏 上，无须逐个配置终端IP地址步骤；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8、软件支持第三方平台嵌入式开发，提供标准的SDK开发包，实现与其他系统平台整合（例如楼宇访客系统、监控视频系统等）；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9、标准TCP/IP网络协议，安装于连接以太网的计算机；自动播放及定时功能，可以实现定时定点定区域定曲目播放，实现无人值守；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服务器负责音频流点播服务、计划任务处理、终端管理和权限管理等功能。管理节目库资源，为所有网络适配器提供定时播放和实时点播媒体服务，响应各网络适配器的播放请求，为各IE客户端提供数据接口服务。可以容纳万首节目，方便重复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11、具有:基本参数、设置时间、备份还原、终端管理、终端分区、文件管理、目录管理、报警映射、报警分区、遥控任务、作息方案、文件广播、采播管理、电话采播；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12、支持网络电台、终端功放、查看任务、管理用户、用户组管理、查看日志、注册服务等功能操作界面；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13、软件采用稳定的B/S架构、所有软件集中安装在服务器、管理者或分控人员可通过浏览器直接（访问端口可自定义、默认80）以特定的用户身份操作管理整个广播系统、不再安装任何软件；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14、支持跨互联网访问：无须到电信或移动另外租赁服务器，端口映射直接在主服务器端完成，终端不需要做任何映射；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15、分用户显示文件广播任务；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16、任务级别设定；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17、注册方式，序列号注册方式，绑定服务器硬件；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18、支持终端温湿显示，便于时刻关注终端的工作状态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19、支持检测终端左右声道连接是否正常，便于售后检查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20、支持监控联动，监控检测事件报警如 ，（穿越警戒面，进入警戒区，离开警戒区。。。。）；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21、支持后台查询历史播音语音文件包,可以查看，下载；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▲内含TTS文字转语音广播功能，TTS文字转语音广播软件具备自主知识产权，提供软件著作权登记证书复印件加。盖制造商原章</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7EBF">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0BF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r>
      <w:tr w14:paraId="0E2B1322">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1633">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D1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电源管理器</w:t>
            </w:r>
          </w:p>
        </w:tc>
        <w:tc>
          <w:tcPr>
            <w:tcW w:w="5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B287">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▲内置软件通过国家版权局颁发的电源时序器过载保护软件著作权证书；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▲电源稳压保护软件著作权证书、提供复印件加盖制造商鲜章；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▲为保证产品质量稳定生产厂商需提供带有CMA iIac-MRA CNAS标识官网可查的检测报告加盖厂商公章；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1、按顺序开启或关闭16路受控设备的电源可以通过定时器自动控制或人工控制,LED指示；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2、插座总容量达4.5KVA，每路端口电流容量可达2KVA；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3、电源插座输出容量：总容量220V，20A；每个插座最大输出电流为10A；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4、定时器控制信号：短路信号、220V电源信号、RS485信号；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▲5、额定电源电压220V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▲6、额定电源频率50Hz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▲7、额定电流或功耗60W</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0BB9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93B7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5BFC0174">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BD18">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0EF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前置放大器</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45A">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1、▲≥10路线路输入（非平衡）、1路卡侬线路输入（平衡），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2、▲≥4路线路输出，2路录音输出，1路卡侬线路输出（平衡）；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3、3路话筒输入、前话筒具有默音功能，默音大小可自由调节；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4、各分路音量单独调节,统一输出音量调节控制，高低音调节；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5、▲内置提示声“叮咚”可用于检测线路及喊话时提示；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6、≥5路线路输入具有通道开关，完全屏蔽分路信号干扰互通；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7、支持U盘播放，TF卡播放，FM播放，手机蓝牙播放；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8、支持48V幻像供电；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9、具有手动选择接地开关，杜绝静电噪音；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10、支持电平显示输入信号的强弱；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11、▲提供厂家官网设备截图出具高清彩页、加盖公章。</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458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DB5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7D07A68C">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41B">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5</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CF4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网络音频采集器</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622">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▲生产厂商需提供第三方检测报告佐证以下参数并加盖公章；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1 线路输入接口 3路莲花座、立体声:线路输出接口1路莲花座、立体声；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2 EQ 调节功能 5段均衡调节，4种固定场景音效设置；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3 短路输入接口 接收到短路信号自动触发打开预设分区广播；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4 GPS 天线接口  可接收GPS卫星时钟，接到时钟同步到服务器校时；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5 U盘播放功能 可自动读取到U盘内音乐文件进行播放；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6 TF卡播放功能 可自动读取到TF卡内音乐文件进行播放；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7 FM收音功能 可接收无线电广播播放；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8 蓝牙播放功能 可与手机或电脑蓝牙进行配对播放；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9 快捷采集功能 可设置10路自定义快捷按键，实现一键对预设分区发送采集音源；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10 地址配置功能 不需要安装软件，联网通过WEB登录设备进行远程设置，电脑、手机均可配置。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D34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0CB6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62A5C04">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464B">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16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网络寻呼话筒</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C3A">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▲内置软件提供国家版权局颁发的低噪音拾音系统软件著作权证书扫描件或复印件；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▲提供厂家官网设备截图出具高清彩页、加盖公章；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▲生产厂商需提供第三方检测报告佐证以下参数并加盖公章；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 显示屏 7英寸电容式触摸屏；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短路输入接口 接收到短路信号自动触发打开预设分区广播、线路输入接口；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凤凰端子、立体声;线路输出接口、凤凰端子立体声；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3、语言显示 繁体中文、简体中文、英文；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EQ调节功能 5段均衡调节，4种固定场景音效设置；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 寻呼功能 单点寻呼、多点寻呼、全区寻呼；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点播功能 单点点播、多点点播、全区点播；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 对讲功能 分别能与网络广播控制台、彩屏终端、手机APP、一键对讲终端对讲，可设置自动接听对方发起的对讲；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地址配置功能 不需要安装软件，联网通过WEB登录设备进行远程设置，电脑、手机、本机均可配置；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9、 一键报警功能 紧急按键按下进行全区呼叫，优先级别最高。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653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E48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76B3405E">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EAE9">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7</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9DE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机房监听音响</w:t>
            </w:r>
          </w:p>
        </w:tc>
        <w:tc>
          <w:tcPr>
            <w:tcW w:w="5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5AD1">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▲生产厂商需提供第三方检测报告佐证以下参数并加盖公章；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1、线路输入接口 凤凰端子、左右声道;线路输出接口风凰端子、左有声道；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2、100V输入接口 接收功放功率信号实现网络断开或断电时自动播放100V 信号；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3、欧姆接口 可外接一只15W定阻副音箱；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4、地址配置功能 不需要安装软件，联网通过WEB登录设备进行远程设置，电脑、手机均可配置；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5、U盘播放功能 可该取U盘内音乐播放；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6、本地播放功能 可接入音源扩音，可插入话简扩声，可设置网络音源优先或混音输出；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7、EQ调节功能 5段均衡调节，4种固定场景音效设置；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8、消防联动 24V强切输出。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D67F">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A66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340661AC">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55B94CC2">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8</w:t>
            </w:r>
          </w:p>
        </w:tc>
        <w:tc>
          <w:tcPr>
            <w:tcW w:w="1427" w:type="dxa"/>
            <w:tcBorders>
              <w:top w:val="single" w:color="000000" w:sz="4" w:space="0"/>
              <w:left w:val="single" w:color="000000" w:sz="4" w:space="0"/>
              <w:bottom w:val="single" w:color="000000" w:sz="4" w:space="0"/>
              <w:right w:val="single" w:color="000000" w:sz="4" w:space="0"/>
            </w:tcBorders>
            <w:vAlign w:val="center"/>
          </w:tcPr>
          <w:p w14:paraId="40C29CFF">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广播数字主机遥控器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050DB968">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1、标准RJ45 以太网接口，支持10/100M 快速自适应,支持跨广域网；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2、设备采用工业级高速嵌入式ARM 处理器，运行稳定可靠；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3、内置高性能超再生无线接收模块与无线解码器，能实现较远距离收发；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4、8 个快捷任务按键，可预设8 路快捷任务，可实时对单个或多个终端进行文件广播；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5、4 个功能按键，可对当前快捷任务实现上一曲、下一曲、音量加、音量减等操作；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6、快捷任务支持多级别任务优先级操作 2A 保险丝接口AC~220 电源接口315-433MZH 天线接口；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7、通信接口标准RJ45 接口，快速自适应10/100M；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8、功耗遥控器：≦1W；接收器：≦8W；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9、工作电压遥控器：DC_9V 电池; 接收器：交流AC~220V±10％,50-60HZ；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10、静态电流≦10mA；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11、工作电流600mA ~ 950mA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12、工作温度-20℃ ~ +80℃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13、接收灵敏度≥-103dBm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14、工作频率315MHz ~ 433MHz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15、传输距离1000m≦ 距离≥500m（无阻挡）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16、编码方式焊点编码（固定码）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17、设备尺寸遥控器：127*41*20mm；接收器：150*127*41mm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18、遥控距离可扩展至无限远.</w:t>
            </w:r>
          </w:p>
        </w:tc>
        <w:tc>
          <w:tcPr>
            <w:tcW w:w="750" w:type="dxa"/>
            <w:tcBorders>
              <w:top w:val="single" w:color="000000" w:sz="4" w:space="0"/>
              <w:left w:val="single" w:color="000000" w:sz="4" w:space="0"/>
              <w:bottom w:val="single" w:color="000000" w:sz="4" w:space="0"/>
              <w:right w:val="single" w:color="000000" w:sz="4" w:space="0"/>
            </w:tcBorders>
            <w:vAlign w:val="center"/>
          </w:tcPr>
          <w:p w14:paraId="7A8E8B4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vAlign w:val="center"/>
          </w:tcPr>
          <w:p w14:paraId="4982A52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31925CF5">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73DDC62B">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9</w:t>
            </w:r>
          </w:p>
        </w:tc>
        <w:tc>
          <w:tcPr>
            <w:tcW w:w="1427" w:type="dxa"/>
            <w:tcBorders>
              <w:top w:val="single" w:color="000000" w:sz="4" w:space="0"/>
              <w:left w:val="single" w:color="000000" w:sz="4" w:space="0"/>
              <w:bottom w:val="single" w:color="000000" w:sz="4" w:space="0"/>
              <w:right w:val="single" w:color="000000" w:sz="4" w:space="0"/>
            </w:tcBorders>
            <w:vAlign w:val="center"/>
          </w:tcPr>
          <w:p w14:paraId="1E0852C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数字IP网络前置解码器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405CC9E7">
            <w:pPr>
              <w:widowControl/>
              <w:spacing w:after="60"/>
              <w:jc w:val="left"/>
              <w:textAlignment w:val="center"/>
              <w:rPr>
                <w:rFonts w:hint="eastAsia" w:ascii="宋体" w:hAnsi="宋体" w:cs="宋体"/>
                <w:color w:val="000000"/>
                <w:szCs w:val="21"/>
              </w:rPr>
            </w:pPr>
            <w:r>
              <w:rPr>
                <w:rFonts w:hint="eastAsia" w:ascii="宋体" w:hAnsi="宋体" w:cs="宋体"/>
                <w:color w:val="000000"/>
                <w:kern w:val="0"/>
                <w:szCs w:val="21"/>
                <w:lang w:bidi="ar"/>
              </w:rPr>
              <w:t>功能特点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1、支持安卓系统手机控制、升级等特色功能；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2、内置web服务器、提供IE访问支持\支持手机或电脑IE浏览器修改地址；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3、网络音频接收解码、同时支持本地话筒、线路输入，音量调节；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4、远程优先功能，自动强插；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5、标准1U面板设计；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6、采用嵌入式ARM处理器、高速解码；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7、内置网络IP解码模块、支持TCP/IP、UDP、IGMP 协议, 实现网络化传输CD音质的音频；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8、2路话筒（MIC）和1路线路（AUX）音频输入，支持高低音音色调整；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9、内置1路智能电源管理，根据音频任务自动控制外接功率放大器的电源；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10、1路标准音频信号辅助输出，方便扩展连接功率放大器；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11、内置WEB服务器、提供浏览器远程配置和升级功能；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12、本地音量及网络音量独立调节 、支持本地音频及网络音频混合输出；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13、支持U盘播放、U盘升级。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1、支持协议 TCP/IP，UDP，IGMP（组播），RTP,RTSP</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2、网络接口: RJ45、10M/100M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3、音频格式:MP3支持码流: 32K-256K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4、灵敏度: 92dB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5、模拟音频输入  MIC输入:10MV 6.3MM单声道插座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 LINE输入:立体声1V p-p,10K 莲花插座   线路输出立体声1V p-p,1K 莲花插座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7、采样率 8K~48KHz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8、传输速率 10Mbps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9、音频模式 16位立体声CD音质  高级铝面板，采用先进的抛光；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10、输出频率 20Hz~16KHz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11、谐波失真 ≤%3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12、信噪比 ＞70dB   辅助线路输入电平 2×400mV 标准RCA端子   音源输出电平 8×775mV 标准RCA端子   音源输出阻抗 1KΩ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13、工作温度 -20℃~+60℃  工作湿度 10%~90%  功耗 ≤40W  输入电源 AC220V/50Hz</w:t>
            </w:r>
          </w:p>
        </w:tc>
        <w:tc>
          <w:tcPr>
            <w:tcW w:w="750" w:type="dxa"/>
            <w:tcBorders>
              <w:top w:val="single" w:color="000000" w:sz="4" w:space="0"/>
              <w:left w:val="single" w:color="000000" w:sz="4" w:space="0"/>
              <w:bottom w:val="single" w:color="000000" w:sz="4" w:space="0"/>
              <w:right w:val="single" w:color="000000" w:sz="4" w:space="0"/>
            </w:tcBorders>
            <w:vAlign w:val="center"/>
          </w:tcPr>
          <w:p w14:paraId="42BA777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vAlign w:val="center"/>
          </w:tcPr>
          <w:p w14:paraId="0684D95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05E8D765">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5704FCFE">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10</w:t>
            </w:r>
          </w:p>
        </w:tc>
        <w:tc>
          <w:tcPr>
            <w:tcW w:w="1427" w:type="dxa"/>
            <w:tcBorders>
              <w:top w:val="single" w:color="000000" w:sz="4" w:space="0"/>
              <w:left w:val="single" w:color="000000" w:sz="4" w:space="0"/>
              <w:bottom w:val="single" w:color="000000" w:sz="4" w:space="0"/>
              <w:right w:val="single" w:color="000000" w:sz="4" w:space="0"/>
            </w:tcBorders>
            <w:vAlign w:val="center"/>
          </w:tcPr>
          <w:p w14:paraId="756A7BE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数字反馈抑制器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111F5E4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1、模拟输入 2CH-XLR和1/4“TRS(母)输入，电子平衡/不平衡；</w:t>
            </w:r>
          </w:p>
          <w:p w14:paraId="7B6F8C4C">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2、输入阻抗 平衡47Ω，不平衡20KΩ</w:t>
            </w:r>
          </w:p>
          <w:p w14:paraId="016631A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3、最大线路电平输入 +18dBμ</w:t>
            </w:r>
          </w:p>
          <w:p w14:paraId="488B98D4">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4、模拟输出 2CH-XLR和1/4“TRS(母)输出，电子平衡/不平衡；</w:t>
            </w:r>
          </w:p>
          <w:p w14:paraId="2E72C99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5、输出阻抗 平衡&gt;120Ω，不平衡&gt;60Ω</w:t>
            </w:r>
          </w:p>
          <w:p w14:paraId="04ACA397">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6、最大输出电平 +20dBμ</w:t>
            </w:r>
          </w:p>
          <w:p w14:paraId="6E0C8363">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7、剩余噪声输出电压：≦-90dBm;</w:t>
            </w:r>
          </w:p>
          <w:p w14:paraId="71195B42">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8、通道间的串音衰减：≦-50dB；</w:t>
            </w:r>
          </w:p>
          <w:p w14:paraId="74CEDB33">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9、频率响应 20Hz-20KHz，±0.3dB</w:t>
            </w:r>
          </w:p>
          <w:p w14:paraId="3EBC26D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10、信噪比 &gt;105dB(A)</w:t>
            </w:r>
          </w:p>
          <w:p w14:paraId="532AF4EC">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11、动态范围 103dB</w:t>
            </w:r>
          </w:p>
          <w:p w14:paraId="3202F460">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12、总谐波失真+噪声 0.005％,1KHz；20Hz-10KHz，&lt;0.01％；10KHz-20KHz，&lt;0.025％</w:t>
            </w:r>
          </w:p>
          <w:p w14:paraId="3665DD45">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13、工作电压 110V/220V/AC 50Hz/60Hz</w:t>
            </w:r>
          </w:p>
          <w:p w14:paraId="7CE66419">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14、毛重 2.7千克</w:t>
            </w:r>
          </w:p>
          <w:p w14:paraId="2D9B1097">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15、包装尺寸 560×260×90mm</w:t>
            </w:r>
          </w:p>
          <w:p w14:paraId="30D82DEC">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16、2吋TFT彩屏，中英文可选；</w:t>
            </w:r>
          </w:p>
          <w:p w14:paraId="706691FF">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17、反馈加移频设计方案，移频4档可选；</w:t>
            </w:r>
          </w:p>
          <w:p w14:paraId="29FBC69E">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18、每通道设8个陷波器,工作频率20-20KHZ，自动扫描啸叫点并抑制；</w:t>
            </w:r>
          </w:p>
          <w:p w14:paraId="3AFF734A">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19、独特的噪声门功能可抑制系统微弱噪声干扰；</w:t>
            </w:r>
          </w:p>
          <w:p w14:paraId="74F6BA3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20、输入压缩功能，消除反馈同时更可扩展人声动态；</w:t>
            </w:r>
          </w:p>
          <w:p w14:paraId="3851E19D">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21、响应时间快中慢3速可定，更具人性化；</w:t>
            </w:r>
          </w:p>
          <w:p w14:paraId="38490898">
            <w:pPr>
              <w:widowControl/>
              <w:spacing w:after="60"/>
              <w:textAlignment w:val="top"/>
              <w:rPr>
                <w:rFonts w:hint="eastAsia" w:ascii="宋体" w:hAnsi="宋体" w:cs="宋体"/>
                <w:color w:val="000000"/>
                <w:szCs w:val="21"/>
              </w:rPr>
            </w:pPr>
            <w:r>
              <w:rPr>
                <w:rFonts w:hint="eastAsia" w:ascii="宋体" w:hAnsi="宋体" w:cs="宋体"/>
                <w:color w:val="000000"/>
                <w:kern w:val="0"/>
                <w:szCs w:val="21"/>
                <w:lang w:bidi="ar"/>
              </w:rPr>
              <w:t xml:space="preserve">22、配有专业的PC调试软件，USB免驱动即插即用，方便快捷。                                                                                                  </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DB90C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64DE8C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2FE254EA">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509BE5C7">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11</w:t>
            </w:r>
          </w:p>
        </w:tc>
        <w:tc>
          <w:tcPr>
            <w:tcW w:w="1427" w:type="dxa"/>
            <w:tcBorders>
              <w:top w:val="single" w:color="000000" w:sz="4" w:space="0"/>
              <w:left w:val="single" w:color="000000" w:sz="4" w:space="0"/>
              <w:bottom w:val="single" w:color="000000" w:sz="4" w:space="0"/>
              <w:right w:val="single" w:color="000000" w:sz="4" w:space="0"/>
            </w:tcBorders>
            <w:vAlign w:val="center"/>
          </w:tcPr>
          <w:p w14:paraId="07CAE3F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数字音频处理器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0D97C742">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1、模拟输入通道：8，模拟输出通道：8；</w:t>
            </w:r>
          </w:p>
          <w:p w14:paraId="12C3EA9F">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2、处理器:ADI SHARC 21489@450 MHz SIMD；</w:t>
            </w:r>
          </w:p>
          <w:p w14:paraId="010C9FB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3、DSP处理能力:400 MIPS，1.6 GFLOPS;40bit DSP浮点运算引擎；</w:t>
            </w:r>
          </w:p>
          <w:p w14:paraId="5C58140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4、采样率:48 kHz，± 100 ppm;</w:t>
            </w:r>
          </w:p>
          <w:p w14:paraId="3A056DF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5、THD+N:&lt;-100dB @17dBu</w:t>
            </w:r>
          </w:p>
          <w:p w14:paraId="7D589A15">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6、频率响应：20～20kHz (±0.5dB) ;</w:t>
            </w:r>
          </w:p>
          <w:p w14:paraId="4B1C1369">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7、输入动态范围：110dB</w:t>
            </w:r>
          </w:p>
          <w:p w14:paraId="0F217FAF">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8、输出动态范围：112dB</w:t>
            </w:r>
          </w:p>
          <w:p w14:paraId="132C1C9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9、剩余噪声输出电压：-93dBm;</w:t>
            </w:r>
          </w:p>
          <w:p w14:paraId="1E509ECD">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10、通道间的串音衰减：-83dB；</w:t>
            </w:r>
          </w:p>
          <w:p w14:paraId="15E8D3D3">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11、4路GIPO，1路RS232，1路RS485</w:t>
            </w:r>
          </w:p>
          <w:p w14:paraId="201305B8">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12、内置USB声卡，支持音乐播放、录制和软视频会议（如：ZOOM，腾讯会议，钉钉会议等）；</w:t>
            </w:r>
          </w:p>
          <w:p w14:paraId="14CF22F0">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13、总线式AEC，尾长时间：512ms，收敛率：60dB/S, 回声消除幅度：60dB；</w:t>
            </w:r>
          </w:p>
          <w:p w14:paraId="697C026A">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14、独立通道的AFC（反馈抑制），采用陷波式算法，传声增益提升幅度：10dB;噪声抑制（ANS），信噪比提升18dB</w:t>
            </w:r>
          </w:p>
          <w:p w14:paraId="5575834F">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15、8段英式参量均衡，提供5种滤波器选择：Parametric,Lowshelf,Highshelf,Lowpass,Highpass；</w:t>
            </w:r>
          </w:p>
          <w:p w14:paraId="183B4FA2">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16、提供终端用户订制操作界面，最大支持30台设备同一个界面管理；</w:t>
            </w:r>
          </w:p>
          <w:p w14:paraId="34C2378F">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17、具有中央控制功能，可对系统中的电源、信号切换、环境控制、音频等整体控制，实现一键开启系统所需要的功能；</w:t>
            </w:r>
          </w:p>
          <w:p w14:paraId="366ABCD7">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 xml:space="preserve">18、提供自定义的用户操作界面；                                                                              </w:t>
            </w:r>
          </w:p>
          <w:p w14:paraId="37DB466B">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19、处理器芯片采用ADI 架构，不低于40bit DSP浮点运算引擎；</w:t>
            </w:r>
          </w:p>
          <w:p w14:paraId="7229473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20、输入输出量化不低于48KHz/24bit；</w:t>
            </w:r>
          </w:p>
          <w:p w14:paraId="349D1837">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21、输入通道应该具备：不低于8段PEQ ，且提供不低于五种滤波器类型选择；增益共享自动混音(AMC)、自动增益(AGC);每个通道应不低于8个点的自适应反馈抑制（AFC）；</w:t>
            </w:r>
          </w:p>
          <w:p w14:paraId="09B6C1BD">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 xml:space="preserve">22、输出通道应该具备：不低于8段PEQ,分频器、延时器、限幅器。不低于14 x10 矩阵；不低于16组预设；不低于4组GPIO支持输入输出通道LINK和分组功能；                           </w:t>
            </w:r>
          </w:p>
          <w:p w14:paraId="43331546">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23、输入增益:0/6/12/18/24/30/36/42/48dB</w:t>
            </w:r>
          </w:p>
          <w:p w14:paraId="19C3FF5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24、幻象电源:+48V/10mA max</w:t>
            </w:r>
          </w:p>
          <w:p w14:paraId="0F267496">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25、最大电平:+18dBu</w:t>
            </w:r>
          </w:p>
          <w:p w14:paraId="51534DC5">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26、通道隔离度 @1kHz:108dB</w:t>
            </w:r>
          </w:p>
          <w:p w14:paraId="03DB7003">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27、输入阻抗(平衡接法):5.4KΩ；输出阻抗(平衡接法):600Ω</w:t>
            </w:r>
          </w:p>
          <w:p w14:paraId="1464D6B8">
            <w:pPr>
              <w:widowControl/>
              <w:spacing w:after="60"/>
              <w:textAlignment w:val="top"/>
              <w:rPr>
                <w:rFonts w:hint="eastAsia" w:ascii="宋体" w:hAnsi="宋体" w:cs="宋体"/>
                <w:color w:val="000000"/>
                <w:szCs w:val="21"/>
              </w:rPr>
            </w:pPr>
            <w:r>
              <w:rPr>
                <w:rFonts w:hint="eastAsia" w:ascii="宋体" w:hAnsi="宋体" w:cs="宋体"/>
                <w:color w:val="000000"/>
                <w:kern w:val="0"/>
                <w:szCs w:val="21"/>
                <w:lang w:bidi="ar"/>
              </w:rPr>
              <w:t>28、系统延时:&lt;3ms</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8E0A1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325E58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16AD9F8D">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18E060B0">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12</w:t>
            </w:r>
          </w:p>
        </w:tc>
        <w:tc>
          <w:tcPr>
            <w:tcW w:w="1427" w:type="dxa"/>
            <w:tcBorders>
              <w:top w:val="single" w:color="000000" w:sz="4" w:space="0"/>
              <w:left w:val="single" w:color="000000" w:sz="4" w:space="0"/>
              <w:bottom w:val="single" w:color="000000" w:sz="4" w:space="0"/>
              <w:right w:val="single" w:color="000000" w:sz="4" w:space="0"/>
            </w:tcBorders>
            <w:vAlign w:val="center"/>
          </w:tcPr>
          <w:p w14:paraId="72EA04F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电源时序器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16CC9CEC">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1、铁银色面板；</w:t>
            </w:r>
          </w:p>
          <w:p w14:paraId="42ACB784">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2、共十路，可控八路电源输出，每路可达30A；</w:t>
            </w:r>
          </w:p>
          <w:p w14:paraId="77091C1D">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3、继电器受控输出总功率7000W；</w:t>
            </w:r>
          </w:p>
          <w:p w14:paraId="33888A95">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4、输出电源标准万用插座，阻燃ABS材料，黄铜材质；</w:t>
            </w:r>
          </w:p>
          <w:p w14:paraId="18394E52">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5、功能特点：顺序开启逆序关闭、PASS键一键直通可全通道同时打开、精准电压显示；</w:t>
            </w:r>
          </w:p>
          <w:p w14:paraId="697E719C">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6、可控输出延时时间1秒；</w:t>
            </w:r>
          </w:p>
          <w:p w14:paraId="32D95500">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7、带RS232，可级联，（全控或单独控也可）最大255台设备，只需要一个232端口；</w:t>
            </w:r>
          </w:p>
          <w:p w14:paraId="569EA6FB">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8、掉电记忆功能；</w:t>
            </w:r>
          </w:p>
          <w:p w14:paraId="1F78DE0D">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9、内置开关电源，适用全球电压AC90-260V 50-60HZ</w:t>
            </w:r>
          </w:p>
          <w:p w14:paraId="7AEB5DA7">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10、3*4平方1.5米电缆线带3C插头；</w:t>
            </w:r>
          </w:p>
          <w:p w14:paraId="3274D411">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11、自复位型开关，开关锁定功能；</w:t>
            </w:r>
          </w:p>
          <w:p w14:paraId="46F86884">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12、LED电压实时显示；</w:t>
            </w:r>
          </w:p>
          <w:p w14:paraId="42CE6FB6">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13、每路带EMI专业电网滤波器；</w:t>
            </w:r>
          </w:p>
          <w:p w14:paraId="04A07835">
            <w:pPr>
              <w:widowControl/>
              <w:spacing w:after="60"/>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14、机身尺寸：长482MM * 宽185MM * 高44MM</w:t>
            </w:r>
          </w:p>
          <w:p w14:paraId="1B3029A0">
            <w:pPr>
              <w:widowControl/>
              <w:spacing w:after="60"/>
              <w:textAlignment w:val="top"/>
              <w:rPr>
                <w:rFonts w:hint="eastAsia" w:ascii="宋体" w:hAnsi="宋体" w:cs="宋体"/>
                <w:color w:val="000000"/>
                <w:szCs w:val="21"/>
              </w:rPr>
            </w:pPr>
            <w:r>
              <w:rPr>
                <w:rFonts w:hint="eastAsia" w:ascii="宋体" w:hAnsi="宋体" w:cs="宋体"/>
                <w:color w:val="000000"/>
                <w:kern w:val="0"/>
                <w:szCs w:val="21"/>
                <w:lang w:bidi="ar"/>
              </w:rPr>
              <w:t>（带232中控接口）</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B9A49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9EBD09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B3A75DC">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1DCE9946">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13</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19DADCF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音频光端机</w:t>
            </w:r>
          </w:p>
        </w:tc>
        <w:tc>
          <w:tcPr>
            <w:tcW w:w="5483" w:type="dxa"/>
            <w:tcBorders>
              <w:top w:val="single" w:color="000000" w:sz="4" w:space="0"/>
              <w:left w:val="single" w:color="000000" w:sz="4" w:space="0"/>
              <w:bottom w:val="single" w:color="000000" w:sz="4" w:space="0"/>
              <w:right w:val="single" w:color="000000" w:sz="4" w:space="0"/>
            </w:tcBorders>
            <w:vAlign w:val="center"/>
          </w:tcPr>
          <w:p w14:paraId="7C5C7F1E">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2路单向音频光端机</w:t>
            </w:r>
          </w:p>
          <w:p w14:paraId="03859E5C">
            <w:pPr>
              <w:widowControl/>
              <w:spacing w:after="60"/>
              <w:textAlignment w:val="center"/>
              <w:rPr>
                <w:rFonts w:hint="eastAsia" w:ascii="宋体" w:hAnsi="宋体" w:cs="宋体"/>
                <w:color w:val="000000"/>
                <w:szCs w:val="21"/>
              </w:rPr>
            </w:pPr>
            <w:r>
              <w:rPr>
                <w:rFonts w:hint="eastAsia" w:ascii="宋体" w:hAnsi="宋体" w:cs="宋体"/>
                <w:color w:val="000000"/>
                <w:kern w:val="0"/>
                <w:szCs w:val="21"/>
                <w:lang w:bidi="ar"/>
              </w:rPr>
              <w:t>传输距离：20-120KM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18D7A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C1636A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对</w:t>
            </w:r>
          </w:p>
        </w:tc>
      </w:tr>
      <w:tr w14:paraId="147963EC">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3CC85BAE">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14</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D71E54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音频滤波器</w:t>
            </w:r>
          </w:p>
        </w:tc>
        <w:tc>
          <w:tcPr>
            <w:tcW w:w="5483" w:type="dxa"/>
            <w:tcBorders>
              <w:top w:val="single" w:color="000000" w:sz="4" w:space="0"/>
              <w:left w:val="single" w:color="000000" w:sz="4" w:space="0"/>
              <w:bottom w:val="single" w:color="000000" w:sz="4" w:space="0"/>
              <w:right w:val="single" w:color="000000" w:sz="4" w:space="0"/>
            </w:tcBorders>
            <w:vAlign w:val="center"/>
          </w:tcPr>
          <w:p w14:paraId="457577B6">
            <w:pPr>
              <w:widowControl/>
              <w:spacing w:after="60"/>
              <w:textAlignment w:val="center"/>
              <w:rPr>
                <w:rFonts w:hint="eastAsia" w:ascii="宋体" w:hAnsi="宋体" w:cs="宋体"/>
                <w:color w:val="000000"/>
                <w:szCs w:val="21"/>
              </w:rPr>
            </w:pPr>
            <w:r>
              <w:rPr>
                <w:rFonts w:hint="eastAsia" w:ascii="宋体" w:hAnsi="宋体" w:cs="宋体"/>
                <w:color w:val="000000"/>
                <w:kern w:val="0"/>
                <w:szCs w:val="21"/>
                <w:lang w:bidi="ar"/>
              </w:rPr>
              <w:t>3.5mm，尺寸：85*130*25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7E4D7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66ED1F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51881F8B">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0FFB05F7">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15</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C20952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PDU插座</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907748D">
            <w:pPr>
              <w:widowControl/>
              <w:spacing w:after="60"/>
              <w:textAlignment w:val="center"/>
              <w:rPr>
                <w:rFonts w:hint="eastAsia" w:ascii="宋体" w:hAnsi="宋体" w:cs="宋体"/>
                <w:color w:val="000000"/>
                <w:szCs w:val="21"/>
              </w:rPr>
            </w:pPr>
            <w:r>
              <w:rPr>
                <w:rFonts w:hint="eastAsia" w:ascii="宋体" w:hAnsi="宋体" w:cs="宋体"/>
                <w:color w:val="000000"/>
                <w:kern w:val="0"/>
                <w:szCs w:val="21"/>
                <w:lang w:bidi="ar"/>
              </w:rPr>
              <w:t>8位PDU插排</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E0F2E9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77A7FD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1CD2E08D">
        <w:tblPrEx>
          <w:tblCellMar>
            <w:top w:w="0" w:type="dxa"/>
            <w:left w:w="108" w:type="dxa"/>
            <w:bottom w:w="0" w:type="dxa"/>
            <w:right w:w="108" w:type="dxa"/>
          </w:tblCellMar>
        </w:tblPrEx>
        <w:trPr>
          <w:trHeight w:val="780" w:hRule="atLeast"/>
        </w:trPr>
        <w:tc>
          <w:tcPr>
            <w:tcW w:w="9477" w:type="dxa"/>
            <w:gridSpan w:val="5"/>
            <w:tcBorders>
              <w:top w:val="single" w:color="000000" w:sz="4" w:space="0"/>
              <w:left w:val="single" w:color="000000" w:sz="4" w:space="0"/>
              <w:bottom w:val="single" w:color="000000" w:sz="4" w:space="0"/>
              <w:right w:val="single" w:color="000000" w:sz="4" w:space="0"/>
            </w:tcBorders>
            <w:noWrap/>
            <w:vAlign w:val="center"/>
          </w:tcPr>
          <w:p w14:paraId="6E2F04AA">
            <w:pPr>
              <w:spacing w:after="60"/>
              <w:jc w:val="left"/>
              <w:rPr>
                <w:rFonts w:hint="eastAsia" w:ascii="宋体" w:hAnsi="宋体" w:cs="宋体"/>
                <w:color w:val="000000"/>
                <w:szCs w:val="21"/>
              </w:rPr>
            </w:pPr>
            <w:r>
              <w:rPr>
                <w:rFonts w:hint="eastAsia" w:ascii="宋体" w:hAnsi="宋体" w:cs="宋体"/>
                <w:b/>
                <w:bCs/>
                <w:color w:val="000000"/>
                <w:kern w:val="0"/>
                <w:szCs w:val="21"/>
                <w:lang w:bidi="ar"/>
              </w:rPr>
              <w:t>操场设备</w:t>
            </w:r>
          </w:p>
        </w:tc>
      </w:tr>
      <w:tr w14:paraId="05DD5426">
        <w:tblPrEx>
          <w:tblCellMar>
            <w:top w:w="0" w:type="dxa"/>
            <w:left w:w="108" w:type="dxa"/>
            <w:bottom w:w="0" w:type="dxa"/>
            <w:right w:w="108" w:type="dxa"/>
          </w:tblCellMar>
        </w:tblPrEx>
        <w:trPr>
          <w:trHeight w:val="780"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60FD3F30">
            <w:pPr>
              <w:widowControl/>
              <w:spacing w:after="6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E6DF69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波束形成定向扩声音箱</w:t>
            </w:r>
          </w:p>
        </w:tc>
        <w:tc>
          <w:tcPr>
            <w:tcW w:w="5483" w:type="dxa"/>
            <w:tcBorders>
              <w:top w:val="single" w:color="000000" w:sz="4" w:space="0"/>
              <w:left w:val="single" w:color="000000" w:sz="4" w:space="0"/>
              <w:bottom w:val="single" w:color="000000" w:sz="4" w:space="0"/>
              <w:right w:val="single" w:color="000000" w:sz="4" w:space="0"/>
            </w:tcBorders>
            <w:vAlign w:val="center"/>
          </w:tcPr>
          <w:p w14:paraId="0B99FD1D">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▲1、最大声压级：≥111 dB SPL，@1kHz&amp;1m,（投标产品需提供国家认可的具有CNAS或CMA标志合格检测报告复印件并加盖厂家公章）；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▲2、前后声压级差平均值为22dB：</w:t>
            </w:r>
          </w:p>
          <w:p w14:paraId="2D8FF78F">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≥15dB      125Hz～250Hz；</w:t>
            </w:r>
          </w:p>
          <w:p w14:paraId="0719015E">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≥17dB      250Hz～500Hz；</w:t>
            </w:r>
          </w:p>
          <w:p w14:paraId="65563383">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≥19dB      500Hz～1000Hz；</w:t>
            </w:r>
          </w:p>
          <w:p w14:paraId="3703038E">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≥25dB      1kHz～20kHz；</w:t>
            </w:r>
          </w:p>
          <w:p w14:paraId="09AC25B2">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≥22dB      125Hz～20kHz；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▲3、指向性：</w:t>
            </w:r>
          </w:p>
          <w:p w14:paraId="2C2EDF9A">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≤60°（1000Hz相对参考轴下降20dB）；</w:t>
            </w:r>
          </w:p>
          <w:p w14:paraId="1D44EACB">
            <w:pPr>
              <w:widowControl/>
              <w:spacing w:after="6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 （1250Hz相对参考轴下降20dB）；</w:t>
            </w:r>
          </w:p>
          <w:p w14:paraId="77F02B09">
            <w:pPr>
              <w:widowControl/>
              <w:spacing w:after="60"/>
              <w:textAlignment w:val="center"/>
              <w:rPr>
                <w:rFonts w:hint="eastAsia" w:ascii="宋体" w:hAnsi="宋体" w:cs="宋体"/>
                <w:color w:val="000000"/>
                <w:szCs w:val="21"/>
              </w:rPr>
            </w:pPr>
            <w:r>
              <w:rPr>
                <w:rFonts w:hint="eastAsia" w:ascii="宋体" w:hAnsi="宋体" w:cs="宋体"/>
                <w:color w:val="000000"/>
                <w:kern w:val="0"/>
                <w:szCs w:val="21"/>
                <w:lang w:bidi="ar"/>
              </w:rPr>
              <w:t>≤20° （2500Hz相对参考轴下降25dB）；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▲4、有效频率范围：115Hz-20kHz,（投标产品需提供国家认可的具有CNAS或CMA标志合格检测报告复印件并加盖厂家公章）；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▲5、输入灵敏度：0.947 Vrms，（投标产品需提供国家认可的具有CNAS或CMA标志合格检测报告复印件并加盖厂家公章）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▲6、外壳防护等级:IPX6（投标产品需提供国家认可的具有CNAS或CMA标志合格检测报告复印件并加盖厂家公章）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▲7、接口：具备XLR 接口、RJ45 接口 （投标产品需提供国家认可的具有CNAS或CMA标志合格检测报告复印件并加盖厂家公章）；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▲8、工作温度范围：-30-65℃,（投标产品需提供国家认可的具有CNAS或CMA标志合格检测报告复印件并加盖厂家公章）；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9、电源电压：AC 220V/50Hz,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10、额定功率：190W,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11、喇叭单元：采用前后双排扬声器阵列设计，每个阵列由8个扬声器单元组成；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12、尺寸：≤795*271*230mm,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13、重量：≤18.5KG（不含支架）,</w:t>
            </w:r>
          </w:p>
        </w:tc>
        <w:tc>
          <w:tcPr>
            <w:tcW w:w="750" w:type="dxa"/>
            <w:tcBorders>
              <w:top w:val="single" w:color="000000" w:sz="4" w:space="0"/>
              <w:left w:val="single" w:color="000000" w:sz="4" w:space="0"/>
              <w:bottom w:val="single" w:color="000000" w:sz="4" w:space="0"/>
              <w:right w:val="single" w:color="000000" w:sz="4" w:space="0"/>
            </w:tcBorders>
            <w:vAlign w:val="center"/>
          </w:tcPr>
          <w:p w14:paraId="53AFE87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vAlign w:val="center"/>
          </w:tcPr>
          <w:p w14:paraId="1E74E76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5C6F1FB8">
        <w:tblPrEx>
          <w:tblCellMar>
            <w:top w:w="0" w:type="dxa"/>
            <w:left w:w="108" w:type="dxa"/>
            <w:bottom w:w="0" w:type="dxa"/>
            <w:right w:w="108" w:type="dxa"/>
          </w:tblCellMar>
        </w:tblPrEx>
        <w:trPr>
          <w:trHeight w:val="780" w:hRule="atLeast"/>
        </w:trPr>
        <w:tc>
          <w:tcPr>
            <w:tcW w:w="9477" w:type="dxa"/>
            <w:gridSpan w:val="5"/>
            <w:tcBorders>
              <w:top w:val="single" w:color="000000" w:sz="4" w:space="0"/>
              <w:left w:val="single" w:color="000000" w:sz="4" w:space="0"/>
              <w:bottom w:val="single" w:color="000000" w:sz="4" w:space="0"/>
              <w:right w:val="single" w:color="000000" w:sz="4" w:space="0"/>
            </w:tcBorders>
            <w:noWrap/>
            <w:vAlign w:val="center"/>
          </w:tcPr>
          <w:p w14:paraId="16F1FC77">
            <w:pPr>
              <w:spacing w:after="60"/>
              <w:jc w:val="left"/>
              <w:rPr>
                <w:rFonts w:hint="eastAsia" w:ascii="宋体" w:hAnsi="宋体" w:cs="宋体"/>
                <w:color w:val="333333"/>
                <w:szCs w:val="21"/>
              </w:rPr>
            </w:pPr>
            <w:r>
              <w:rPr>
                <w:rFonts w:hint="eastAsia" w:ascii="宋体" w:hAnsi="宋体" w:cs="宋体"/>
                <w:b/>
                <w:bCs/>
                <w:color w:val="000000"/>
                <w:kern w:val="0"/>
                <w:szCs w:val="21"/>
                <w:lang w:bidi="ar"/>
              </w:rPr>
              <w:t>配件辅材</w:t>
            </w:r>
          </w:p>
        </w:tc>
      </w:tr>
      <w:tr w14:paraId="1E7274B4">
        <w:tblPrEx>
          <w:tblCellMar>
            <w:top w:w="0" w:type="dxa"/>
            <w:left w:w="108" w:type="dxa"/>
            <w:bottom w:w="0" w:type="dxa"/>
            <w:right w:w="108" w:type="dxa"/>
          </w:tblCellMar>
        </w:tblPrEx>
        <w:trPr>
          <w:trHeight w:val="357"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2E20C26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39CF3DE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双莲花线</w:t>
            </w:r>
          </w:p>
        </w:tc>
        <w:tc>
          <w:tcPr>
            <w:tcW w:w="5483" w:type="dxa"/>
            <w:tcBorders>
              <w:top w:val="single" w:color="000000" w:sz="4" w:space="0"/>
              <w:left w:val="single" w:color="000000" w:sz="4" w:space="0"/>
              <w:bottom w:val="single" w:color="000000" w:sz="4" w:space="0"/>
              <w:right w:val="single" w:color="000000" w:sz="4" w:space="0"/>
            </w:tcBorders>
            <w:vAlign w:val="center"/>
          </w:tcPr>
          <w:p w14:paraId="5E8718F1">
            <w:pPr>
              <w:spacing w:after="60"/>
              <w:rPr>
                <w:rFonts w:hint="eastAsia" w:ascii="宋体" w:hAnsi="宋体" w:cs="宋体"/>
                <w:color w:val="000000"/>
                <w:szCs w:val="21"/>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D4B4B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2577D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条</w:t>
            </w:r>
          </w:p>
        </w:tc>
      </w:tr>
      <w:tr w14:paraId="1965EE1E">
        <w:tblPrEx>
          <w:tblCellMar>
            <w:top w:w="0" w:type="dxa"/>
            <w:left w:w="108" w:type="dxa"/>
            <w:bottom w:w="0" w:type="dxa"/>
            <w:right w:w="108" w:type="dxa"/>
          </w:tblCellMar>
        </w:tblPrEx>
        <w:trPr>
          <w:trHeight w:val="402"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27F3E6D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52EAE06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水晶头</w:t>
            </w:r>
          </w:p>
        </w:tc>
        <w:tc>
          <w:tcPr>
            <w:tcW w:w="5483" w:type="dxa"/>
            <w:tcBorders>
              <w:top w:val="single" w:color="000000" w:sz="4" w:space="0"/>
              <w:left w:val="single" w:color="000000" w:sz="4" w:space="0"/>
              <w:bottom w:val="single" w:color="000000" w:sz="4" w:space="0"/>
              <w:right w:val="single" w:color="000000" w:sz="4" w:space="0"/>
            </w:tcBorders>
            <w:vAlign w:val="center"/>
          </w:tcPr>
          <w:p w14:paraId="17B0A32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千兆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6F8B5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841A50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盒</w:t>
            </w:r>
          </w:p>
        </w:tc>
      </w:tr>
      <w:tr w14:paraId="1C6A3F9A">
        <w:tblPrEx>
          <w:tblCellMar>
            <w:top w:w="0" w:type="dxa"/>
            <w:left w:w="108" w:type="dxa"/>
            <w:bottom w:w="0" w:type="dxa"/>
            <w:right w:w="108" w:type="dxa"/>
          </w:tblCellMar>
        </w:tblPrEx>
        <w:trPr>
          <w:trHeight w:val="402"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766CBB2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455BC1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网线</w:t>
            </w:r>
          </w:p>
        </w:tc>
        <w:tc>
          <w:tcPr>
            <w:tcW w:w="5483" w:type="dxa"/>
            <w:tcBorders>
              <w:top w:val="single" w:color="000000" w:sz="4" w:space="0"/>
              <w:left w:val="single" w:color="000000" w:sz="4" w:space="0"/>
              <w:bottom w:val="single" w:color="000000" w:sz="4" w:space="0"/>
              <w:right w:val="single" w:color="000000" w:sz="4" w:space="0"/>
            </w:tcBorders>
            <w:vAlign w:val="center"/>
          </w:tcPr>
          <w:p w14:paraId="281D72E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6类</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CD083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按需</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0C1F89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67019055">
        <w:tblPrEx>
          <w:tblCellMar>
            <w:top w:w="0" w:type="dxa"/>
            <w:left w:w="108" w:type="dxa"/>
            <w:bottom w:w="0" w:type="dxa"/>
            <w:right w:w="108" w:type="dxa"/>
          </w:tblCellMar>
        </w:tblPrEx>
        <w:trPr>
          <w:trHeight w:val="402" w:hRule="atLeast"/>
        </w:trPr>
        <w:tc>
          <w:tcPr>
            <w:tcW w:w="1036" w:type="dxa"/>
            <w:tcBorders>
              <w:top w:val="single" w:color="000000" w:sz="4" w:space="0"/>
              <w:left w:val="single" w:color="000000" w:sz="4" w:space="0"/>
              <w:bottom w:val="single" w:color="000000" w:sz="4" w:space="0"/>
              <w:right w:val="single" w:color="000000" w:sz="4" w:space="0"/>
            </w:tcBorders>
            <w:noWrap/>
            <w:vAlign w:val="center"/>
          </w:tcPr>
          <w:p w14:paraId="3316B7C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9946BE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交换机</w:t>
            </w:r>
          </w:p>
        </w:tc>
        <w:tc>
          <w:tcPr>
            <w:tcW w:w="5483" w:type="dxa"/>
            <w:tcBorders>
              <w:top w:val="single" w:color="000000" w:sz="4" w:space="0"/>
              <w:left w:val="single" w:color="000000" w:sz="4" w:space="0"/>
              <w:bottom w:val="single" w:color="000000" w:sz="4" w:space="0"/>
              <w:right w:val="single" w:color="000000" w:sz="4" w:space="0"/>
            </w:tcBorders>
            <w:vAlign w:val="center"/>
          </w:tcPr>
          <w:p w14:paraId="1DFBB83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千兆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D6B3C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3BCA48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3EE7C36F">
        <w:tblPrEx>
          <w:tblCellMar>
            <w:top w:w="0" w:type="dxa"/>
            <w:left w:w="108" w:type="dxa"/>
            <w:bottom w:w="0" w:type="dxa"/>
            <w:right w:w="108" w:type="dxa"/>
          </w:tblCellMar>
        </w:tblPrEx>
        <w:trPr>
          <w:trHeight w:val="440" w:hRule="atLeast"/>
        </w:trPr>
        <w:tc>
          <w:tcPr>
            <w:tcW w:w="1036" w:type="dxa"/>
            <w:vMerge w:val="restart"/>
            <w:tcBorders>
              <w:top w:val="single" w:color="000000" w:sz="4" w:space="0"/>
              <w:left w:val="single" w:color="000000" w:sz="4" w:space="0"/>
              <w:bottom w:val="single" w:color="000000" w:sz="4" w:space="0"/>
              <w:right w:val="single" w:color="000000" w:sz="4" w:space="0"/>
            </w:tcBorders>
            <w:vAlign w:val="center"/>
          </w:tcPr>
          <w:p w14:paraId="420B084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设备连接线</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3C49B89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XLR母转公线</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33ADA5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纯铜1m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D7D80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A87983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7C3D27E4">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5C41558F">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517C3FC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XLR母转公线</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26A8175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纯铜1m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94B1E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87A05C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5B3BBDA0">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51304C70">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4F1533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XLR母转凤凰端子</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911EF0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纯铜2m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0B79B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348644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5183B7E6">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1DE6880E">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FFE4E4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RCA公头转裸线</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4A0D3DA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纯铜1m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02026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D2437F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7E2C8B4E">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4532E319">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C3F092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RCA两公转3.5母</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294FEE0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纯铜0.25m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6C0F0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88B8F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621E9AFF">
        <w:tblPrEx>
          <w:tblCellMar>
            <w:top w:w="0" w:type="dxa"/>
            <w:left w:w="108" w:type="dxa"/>
            <w:bottom w:w="0" w:type="dxa"/>
            <w:right w:w="108" w:type="dxa"/>
          </w:tblCellMar>
        </w:tblPrEx>
        <w:trPr>
          <w:trHeight w:val="440" w:hRule="atLeast"/>
        </w:trPr>
        <w:tc>
          <w:tcPr>
            <w:tcW w:w="1036" w:type="dxa"/>
            <w:vMerge w:val="restart"/>
            <w:tcBorders>
              <w:top w:val="single" w:color="000000" w:sz="4" w:space="0"/>
              <w:left w:val="single" w:color="000000" w:sz="4" w:space="0"/>
              <w:bottom w:val="single" w:color="000000" w:sz="4" w:space="0"/>
              <w:right w:val="single" w:color="000000" w:sz="4" w:space="0"/>
            </w:tcBorders>
            <w:vAlign w:val="center"/>
          </w:tcPr>
          <w:p w14:paraId="0DE93CA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立杆集成</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7C89C5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方杆+横装支架</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621E4D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横装支架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54A09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2A07E6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4F832BE8">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4B2D1775">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1BE9C6C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导轨条</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27BDA5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铝合金C45导轨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4744D32">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C227F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18D20EA2">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76383793">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5B8E98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导轨空开</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01E2D14F">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空气开关2P，NXB断路器2P10点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4763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B76CB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10642092">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4D881D37">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79D5A1F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导轨插座</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13B2880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导轨五孔插座，导轨五孔插座250V/10A:导轨式固定</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191031">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38F029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r w14:paraId="1F450410">
        <w:tblPrEx>
          <w:tblCellMar>
            <w:top w:w="0" w:type="dxa"/>
            <w:left w:w="108" w:type="dxa"/>
            <w:bottom w:w="0" w:type="dxa"/>
            <w:right w:w="108" w:type="dxa"/>
          </w:tblCellMar>
        </w:tblPrEx>
        <w:trPr>
          <w:trHeight w:val="440" w:hRule="atLeast"/>
        </w:trPr>
        <w:tc>
          <w:tcPr>
            <w:tcW w:w="1036" w:type="dxa"/>
            <w:vMerge w:val="restart"/>
            <w:tcBorders>
              <w:top w:val="single" w:color="000000" w:sz="4" w:space="0"/>
              <w:left w:val="single" w:color="000000" w:sz="4" w:space="0"/>
              <w:bottom w:val="single" w:color="000000" w:sz="4" w:space="0"/>
              <w:right w:val="single" w:color="000000" w:sz="4" w:space="0"/>
            </w:tcBorders>
            <w:vAlign w:val="center"/>
          </w:tcPr>
          <w:p w14:paraId="6C424B3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施工熔纤人工辅材</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64C767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光纤</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E68917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24芯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A12F7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600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A79D2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159281C8">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35B9AF4E">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F8726D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光纤</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6EE9E85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4芯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830A1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300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4275FC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70772CEE">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30898E61">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827E5F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电源线</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1DAE46E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RVV3*2.5国标电源线</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1E3677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500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04D549">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70D47EB6">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27039761">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FD333E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线管</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47A6886">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黑色，壁厚3.0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708CD73">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500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7BE767D">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4480D85E">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230DFC23">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A8E937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接地棒</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7ABC4ABE">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600mm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48C474C">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497F43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根</w:t>
            </w:r>
          </w:p>
        </w:tc>
      </w:tr>
      <w:tr w14:paraId="0EFBFA9B">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1DF967B1">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40BA71A">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接地线</w:t>
            </w:r>
          </w:p>
        </w:tc>
        <w:tc>
          <w:tcPr>
            <w:tcW w:w="5483" w:type="dxa"/>
            <w:tcBorders>
              <w:top w:val="single" w:color="000000" w:sz="4" w:space="0"/>
              <w:left w:val="single" w:color="000000" w:sz="4" w:space="0"/>
              <w:bottom w:val="single" w:color="000000" w:sz="4" w:space="0"/>
              <w:right w:val="single" w:color="000000" w:sz="4" w:space="0"/>
            </w:tcBorders>
            <w:noWrap/>
            <w:vAlign w:val="center"/>
          </w:tcPr>
          <w:p w14:paraId="4E1653F5">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2.5mm²</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99FAABB">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D65A1C7">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r>
      <w:tr w14:paraId="69328CA5">
        <w:tblPrEx>
          <w:tblCellMar>
            <w:top w:w="0" w:type="dxa"/>
            <w:left w:w="108" w:type="dxa"/>
            <w:bottom w:w="0" w:type="dxa"/>
            <w:right w:w="108" w:type="dxa"/>
          </w:tblCellMar>
        </w:tblPrEx>
        <w:trPr>
          <w:trHeight w:val="440" w:hRule="atLeast"/>
        </w:trPr>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73C9BF55">
            <w:pPr>
              <w:spacing w:after="60"/>
              <w:jc w:val="center"/>
              <w:rPr>
                <w:rFonts w:hint="eastAsia" w:ascii="宋体" w:hAnsi="宋体" w:cs="宋体"/>
                <w:color w:val="000000"/>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DBE1478">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辅材及人工</w:t>
            </w:r>
          </w:p>
        </w:tc>
        <w:tc>
          <w:tcPr>
            <w:tcW w:w="5483" w:type="dxa"/>
            <w:tcBorders>
              <w:top w:val="single" w:color="000000" w:sz="4" w:space="0"/>
              <w:left w:val="single" w:color="000000" w:sz="4" w:space="0"/>
              <w:bottom w:val="single" w:color="000000" w:sz="4" w:space="0"/>
              <w:right w:val="single" w:color="000000" w:sz="4" w:space="0"/>
            </w:tcBorders>
            <w:vAlign w:val="center"/>
          </w:tcPr>
          <w:p w14:paraId="20240B59">
            <w:pPr>
              <w:widowControl/>
              <w:spacing w:after="6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熔纤、光缆终端盒、光纤配线架、尾纤、跳线、螺栓、螺帽、管接、盒接、管件、方盒等等，水泥砂石、人工等</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D42150">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20EB494">
            <w:pPr>
              <w:widowControl/>
              <w:spacing w:after="60"/>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bl>
    <w:p w14:paraId="0EAADA6D">
      <w:pPr>
        <w:spacing w:after="60" w:line="360" w:lineRule="auto"/>
        <w:rPr>
          <w:rFonts w:hint="eastAsia" w:ascii="宋体" w:hAnsi="宋体" w:cs="宋体"/>
          <w:b/>
          <w:szCs w:val="21"/>
        </w:rPr>
      </w:pPr>
      <w:r>
        <w:rPr>
          <w:rFonts w:hint="eastAsia" w:ascii="宋体" w:hAnsi="宋体" w:cs="宋体"/>
          <w:b/>
          <w:szCs w:val="21"/>
        </w:rPr>
        <w:t>说明：</w:t>
      </w:r>
    </w:p>
    <w:p w14:paraId="4B8A42A4">
      <w:pPr>
        <w:spacing w:after="60" w:line="360" w:lineRule="auto"/>
        <w:ind w:firstLine="420" w:firstLineChars="200"/>
        <w:rPr>
          <w:rFonts w:hint="eastAsia" w:ascii="宋体" w:hAnsi="宋体" w:cs="宋体"/>
          <w:bCs/>
          <w:szCs w:val="21"/>
        </w:rPr>
      </w:pPr>
      <w:r>
        <w:rPr>
          <w:rFonts w:hint="eastAsia" w:ascii="宋体" w:hAnsi="宋体" w:cs="宋体"/>
          <w:bCs/>
          <w:szCs w:val="21"/>
        </w:rPr>
        <w:t>1、本项目在技术要求中所涉及的设备、材料的品牌、型号仅供投标人参考。投标人所投设备、材料的技术参数不得低于参考品牌的技术要求和档次。</w:t>
      </w:r>
    </w:p>
    <w:p w14:paraId="122B6C84">
      <w:pPr>
        <w:tabs>
          <w:tab w:val="left" w:pos="7655"/>
        </w:tabs>
        <w:spacing w:after="60" w:line="360" w:lineRule="auto"/>
        <w:ind w:firstLine="420" w:firstLineChars="200"/>
        <w:rPr>
          <w:rFonts w:hint="eastAsia" w:ascii="宋体" w:hAnsi="宋体" w:cs="宋体"/>
          <w:bCs/>
          <w:szCs w:val="21"/>
        </w:rPr>
      </w:pPr>
      <w:r>
        <w:rPr>
          <w:rFonts w:hint="eastAsia" w:ascii="宋体" w:hAnsi="宋体" w:cs="宋体"/>
          <w:bCs/>
          <w:szCs w:val="21"/>
        </w:rPr>
        <w:t>2、本项目技术需求中要求提供的各项证明材料均提供扫描件，原件备查。如投标人未按要求提供的，或提供的材料未能证明所投产品响应情况的，则该参数视为没有满足招标文件要求。</w:t>
      </w:r>
    </w:p>
    <w:p w14:paraId="6C7B92B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00898"/>
    <w:multiLevelType w:val="multilevel"/>
    <w:tmpl w:val="40F008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7249FA"/>
    <w:multiLevelType w:val="multilevel"/>
    <w:tmpl w:val="4D7249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E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customStyle="1" w:styleId="6">
    <w:name w:val="1册标题1"/>
    <w:basedOn w:val="1"/>
    <w:next w:val="1"/>
    <w:qFormat/>
    <w:uiPriority w:val="0"/>
    <w:pPr>
      <w:spacing w:beforeLines="50" w:afterLines="50"/>
      <w:jc w:val="center"/>
      <w:outlineLvl w:val="0"/>
    </w:pPr>
    <w:rPr>
      <w:rFonts w:eastAsia="黑体"/>
      <w:b/>
      <w:bCs/>
      <w:sz w:val="48"/>
      <w:szCs w:val="20"/>
    </w:rPr>
  </w:style>
  <w:style w:type="character" w:customStyle="1" w:styleId="7">
    <w:name w:val="标题 1 字符"/>
    <w:basedOn w:val="5"/>
    <w:link w:val="3"/>
    <w:qFormat/>
    <w:uiPriority w:val="0"/>
    <w:rPr>
      <w:b/>
      <w:bCs/>
      <w:kern w:val="44"/>
      <w:sz w:val="44"/>
      <w:szCs w:val="44"/>
    </w:rPr>
  </w:style>
  <w:style w:type="paragraph" w:styleId="8">
    <w:name w:val="List Paragraph"/>
    <w:basedOn w:val="1"/>
    <w:qFormat/>
    <w:uiPriority w:val="34"/>
    <w:pPr>
      <w:spacing w:afterLines="0"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2025-03-21T09:26:51Z</dcterms:created>
  <dc:creator>Administrator</dc:creator>
  <cp:lastModifiedBy>Administrator</cp:lastModifiedBy>
  <dcterms:modified xsi:type="dcterms:W3CDTF">2025-03-21T09:26:57Z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EC765C1BEAFE4D69906BC8C41FEB6F4B_12</vt:lpwstr>
  </property>
</Properties>
</file>