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9A3B3C">
      <w:pPr>
        <w:numPr>
          <w:ilvl w:val="0"/>
          <w:numId w:val="1"/>
        </w:numPr>
        <w:adjustRightInd w:val="0"/>
        <w:snapToGrid w:val="0"/>
        <w:spacing w:line="360" w:lineRule="auto"/>
        <w:rPr>
          <w:rFonts w:hint="eastAsia" w:ascii="宋体" w:hAnsi="宋体" w:cs="仿宋_GB2312"/>
          <w:b/>
          <w:szCs w:val="21"/>
        </w:rPr>
      </w:pPr>
      <w:r>
        <w:rPr>
          <w:rFonts w:hint="eastAsia" w:ascii="宋体" w:hAnsi="宋体" w:cs="仿宋_GB2312"/>
          <w:b/>
          <w:szCs w:val="21"/>
        </w:rPr>
        <w:t>商务要求</w:t>
      </w:r>
    </w:p>
    <w:p w14:paraId="294ACCF3">
      <w:pPr>
        <w:spacing w:line="360" w:lineRule="auto"/>
        <w:ind w:firstLine="422" w:firstLineChars="200"/>
        <w:jc w:val="left"/>
        <w:rPr>
          <w:rFonts w:ascii="宋体" w:hAnsi="宋体"/>
          <w:b/>
          <w:bCs/>
          <w:szCs w:val="21"/>
        </w:rPr>
      </w:pPr>
      <w:r>
        <w:rPr>
          <w:rFonts w:ascii="宋体" w:hAnsi="宋体"/>
          <w:b/>
          <w:bCs/>
          <w:szCs w:val="21"/>
        </w:rPr>
        <w:t>（一）项目概况</w:t>
      </w:r>
    </w:p>
    <w:p w14:paraId="3F656490">
      <w:pPr>
        <w:spacing w:line="360" w:lineRule="auto"/>
        <w:ind w:firstLine="416" w:firstLineChars="200"/>
        <w:jc w:val="left"/>
        <w:rPr>
          <w:rFonts w:hint="eastAsia" w:ascii="宋体" w:hAnsi="宋体"/>
          <w:spacing w:val="-1"/>
          <w:kern w:val="0"/>
          <w:szCs w:val="21"/>
        </w:rPr>
      </w:pPr>
      <w:r>
        <w:rPr>
          <w:rFonts w:hint="eastAsia" w:ascii="宋体" w:hAnsi="宋体"/>
          <w:spacing w:val="-1"/>
          <w:kern w:val="0"/>
          <w:szCs w:val="21"/>
        </w:rPr>
        <w:t>深圳边检总站证件研究中心家具类设备购置项目，为对总站边检大厦25楼所需的业务装备（家具类）等设备进行购置，进一步保障总站边检大厦25楼各项工作高效有序开展。</w:t>
      </w:r>
    </w:p>
    <w:p w14:paraId="1317DA63">
      <w:pPr>
        <w:spacing w:line="360" w:lineRule="auto"/>
        <w:ind w:firstLine="422" w:firstLineChars="200"/>
        <w:jc w:val="left"/>
        <w:rPr>
          <w:rFonts w:ascii="宋体" w:hAnsi="宋体"/>
          <w:b/>
          <w:bCs/>
          <w:szCs w:val="21"/>
        </w:rPr>
      </w:pPr>
      <w:r>
        <w:rPr>
          <w:rFonts w:ascii="宋体" w:hAnsi="宋体"/>
          <w:b/>
          <w:bCs/>
          <w:szCs w:val="21"/>
        </w:rPr>
        <w:t>（二）采购项目预（概）算</w:t>
      </w:r>
    </w:p>
    <w:p w14:paraId="1728BFEC">
      <w:pPr>
        <w:spacing w:line="360" w:lineRule="auto"/>
        <w:ind w:firstLine="420" w:firstLineChars="200"/>
        <w:rPr>
          <w:rFonts w:ascii="宋体" w:hAnsi="宋体"/>
          <w:szCs w:val="21"/>
        </w:rPr>
      </w:pPr>
      <w:r>
        <w:rPr>
          <w:rFonts w:ascii="宋体" w:hAnsi="宋体"/>
          <w:szCs w:val="21"/>
        </w:rPr>
        <w:t>预算475</w:t>
      </w:r>
      <w:r>
        <w:rPr>
          <w:rFonts w:hint="eastAsia" w:ascii="宋体" w:hAnsi="宋体"/>
          <w:szCs w:val="21"/>
        </w:rPr>
        <w:t>,</w:t>
      </w:r>
      <w:r>
        <w:rPr>
          <w:rFonts w:ascii="宋体" w:hAnsi="宋体"/>
          <w:szCs w:val="21"/>
        </w:rPr>
        <w:t>887</w:t>
      </w:r>
      <w:r>
        <w:rPr>
          <w:rFonts w:hint="eastAsia" w:ascii="宋体" w:hAnsi="宋体"/>
          <w:szCs w:val="21"/>
        </w:rPr>
        <w:t xml:space="preserve">.00元 </w:t>
      </w:r>
      <w:r>
        <w:rPr>
          <w:rFonts w:ascii="宋体" w:hAnsi="宋体"/>
          <w:szCs w:val="21"/>
        </w:rPr>
        <w:t>，最高限价475</w:t>
      </w:r>
      <w:r>
        <w:rPr>
          <w:rFonts w:hint="eastAsia" w:ascii="宋体" w:hAnsi="宋体"/>
          <w:szCs w:val="21"/>
        </w:rPr>
        <w:t>,</w:t>
      </w:r>
      <w:r>
        <w:rPr>
          <w:rFonts w:ascii="宋体" w:hAnsi="宋体"/>
          <w:szCs w:val="21"/>
        </w:rPr>
        <w:t>887</w:t>
      </w:r>
      <w:r>
        <w:rPr>
          <w:rFonts w:hint="eastAsia" w:ascii="宋体" w:hAnsi="宋体"/>
          <w:szCs w:val="21"/>
        </w:rPr>
        <w:t>.00元。</w:t>
      </w:r>
    </w:p>
    <w:p w14:paraId="5AA3FC81">
      <w:pPr>
        <w:spacing w:line="360" w:lineRule="auto"/>
        <w:ind w:firstLine="422" w:firstLineChars="200"/>
        <w:jc w:val="left"/>
        <w:rPr>
          <w:rFonts w:ascii="宋体" w:hAnsi="宋体"/>
          <w:b/>
          <w:bCs/>
          <w:szCs w:val="21"/>
        </w:rPr>
      </w:pPr>
      <w:r>
        <w:rPr>
          <w:rFonts w:ascii="宋体" w:hAnsi="宋体"/>
          <w:b/>
          <w:bCs/>
          <w:szCs w:val="21"/>
        </w:rPr>
        <w:t>（三）采购标的需实现的功能或者目标</w:t>
      </w:r>
    </w:p>
    <w:p w14:paraId="29BE59B6">
      <w:pPr>
        <w:spacing w:line="360" w:lineRule="auto"/>
        <w:ind w:firstLine="416" w:firstLineChars="200"/>
        <w:rPr>
          <w:rFonts w:hint="eastAsia" w:ascii="宋体" w:hAnsi="宋体"/>
          <w:spacing w:val="-1"/>
          <w:kern w:val="0"/>
          <w:szCs w:val="21"/>
        </w:rPr>
      </w:pPr>
      <w:r>
        <w:rPr>
          <w:rFonts w:hint="eastAsia" w:ascii="宋体" w:hAnsi="宋体"/>
          <w:spacing w:val="-1"/>
          <w:kern w:val="0"/>
          <w:szCs w:val="21"/>
        </w:rPr>
        <w:t>1.采购标的需实现的功能</w:t>
      </w:r>
    </w:p>
    <w:p w14:paraId="300D9147">
      <w:pPr>
        <w:spacing w:line="360" w:lineRule="auto"/>
        <w:ind w:firstLine="416" w:firstLineChars="200"/>
        <w:rPr>
          <w:rFonts w:hint="eastAsia" w:ascii="宋体" w:hAnsi="宋体"/>
          <w:spacing w:val="-1"/>
          <w:kern w:val="0"/>
          <w:szCs w:val="21"/>
        </w:rPr>
      </w:pPr>
      <w:r>
        <w:rPr>
          <w:rFonts w:hint="eastAsia" w:ascii="宋体" w:hAnsi="宋体"/>
          <w:spacing w:val="-1"/>
          <w:kern w:val="0"/>
          <w:szCs w:val="21"/>
        </w:rPr>
        <w:t>采购一批个性化定制桌、柜、椅等家具类设备，实现划分的各类功能区所想达到的的实际效果，促进总站边检大厦25楼各大功能区域一体化、实战化运行，满足日常办公需求及各项工作高效有序开展。</w:t>
      </w:r>
    </w:p>
    <w:p w14:paraId="3892D5AC">
      <w:pPr>
        <w:spacing w:line="360" w:lineRule="auto"/>
        <w:ind w:firstLine="416" w:firstLineChars="200"/>
        <w:rPr>
          <w:rFonts w:hint="eastAsia" w:ascii="宋体" w:hAnsi="宋体"/>
          <w:spacing w:val="-1"/>
          <w:kern w:val="0"/>
          <w:szCs w:val="21"/>
        </w:rPr>
      </w:pPr>
      <w:r>
        <w:rPr>
          <w:rFonts w:hint="eastAsia" w:ascii="宋体" w:hAnsi="宋体"/>
          <w:spacing w:val="-1"/>
          <w:kern w:val="0"/>
          <w:szCs w:val="21"/>
        </w:rPr>
        <w:t>2.采购标的需实现的目标</w:t>
      </w:r>
    </w:p>
    <w:p w14:paraId="1B5C8F57">
      <w:pPr>
        <w:spacing w:line="360" w:lineRule="auto"/>
        <w:ind w:firstLine="416" w:firstLineChars="200"/>
        <w:rPr>
          <w:rFonts w:ascii="宋体" w:hAnsi="宋体"/>
          <w:szCs w:val="21"/>
        </w:rPr>
      </w:pPr>
      <w:r>
        <w:rPr>
          <w:rFonts w:hint="eastAsia" w:ascii="宋体" w:hAnsi="宋体"/>
          <w:spacing w:val="-1"/>
          <w:kern w:val="0"/>
          <w:szCs w:val="21"/>
        </w:rPr>
        <w:t>按照划分的各大功能区实际需求，采购的各类个性化定制桌、柜、椅等家具类设备，更好展示总站边检大厦25楼各大功能区域的数据分析、情报研判、指挥中枢、会议交流等工作</w:t>
      </w:r>
      <w:r>
        <w:rPr>
          <w:rFonts w:ascii="宋体" w:hAnsi="宋体"/>
          <w:spacing w:val="-1"/>
          <w:kern w:val="0"/>
          <w:szCs w:val="21"/>
        </w:rPr>
        <w:t>成果和亮点</w:t>
      </w:r>
      <w:r>
        <w:rPr>
          <w:rFonts w:hint="eastAsia" w:ascii="宋体" w:hAnsi="宋体"/>
          <w:spacing w:val="-1"/>
          <w:kern w:val="0"/>
          <w:szCs w:val="21"/>
        </w:rPr>
        <w:t>。</w:t>
      </w:r>
      <w:r>
        <w:rPr>
          <w:rFonts w:ascii="宋体" w:hAnsi="宋体"/>
          <w:spacing w:val="-1"/>
          <w:kern w:val="0"/>
          <w:szCs w:val="21"/>
        </w:rPr>
        <w:t xml:space="preserve">       </w:t>
      </w:r>
      <w:r>
        <w:rPr>
          <w:rFonts w:ascii="宋体" w:hAnsi="宋体"/>
          <w:szCs w:val="21"/>
        </w:rPr>
        <w:t xml:space="preserve">                                   </w:t>
      </w:r>
    </w:p>
    <w:p w14:paraId="5068548A">
      <w:pPr>
        <w:spacing w:line="360" w:lineRule="auto"/>
        <w:ind w:firstLine="422" w:firstLineChars="200"/>
        <w:rPr>
          <w:rFonts w:ascii="宋体" w:hAnsi="宋体"/>
          <w:b/>
          <w:szCs w:val="21"/>
        </w:rPr>
      </w:pPr>
      <w:r>
        <w:rPr>
          <w:rFonts w:ascii="宋体" w:hAnsi="宋体"/>
          <w:b/>
          <w:szCs w:val="21"/>
        </w:rPr>
        <w:t>（四）采购标的需执行的国家相关标准、行业标准、地方标准或者其他标准、规范</w:t>
      </w:r>
    </w:p>
    <w:p w14:paraId="6BE1C00D">
      <w:pPr>
        <w:spacing w:line="360" w:lineRule="auto"/>
        <w:ind w:firstLine="420" w:firstLineChars="200"/>
        <w:jc w:val="left"/>
        <w:rPr>
          <w:rFonts w:hint="eastAsia" w:ascii="宋体" w:hAnsi="宋体" w:cs="仿宋_GB2312"/>
          <w:szCs w:val="21"/>
        </w:rPr>
      </w:pPr>
      <w:r>
        <w:rPr>
          <w:rFonts w:hint="eastAsia" w:ascii="宋体" w:hAnsi="宋体" w:cs="仿宋_GB2312"/>
          <w:szCs w:val="21"/>
        </w:rPr>
        <w:t>1.国家有无强制标准要求，如有，具体列出标准名称</w:t>
      </w:r>
    </w:p>
    <w:p w14:paraId="3594FC39">
      <w:pPr>
        <w:spacing w:line="360" w:lineRule="auto"/>
        <w:ind w:firstLine="420" w:firstLineChars="200"/>
        <w:rPr>
          <w:rFonts w:hint="eastAsia" w:ascii="宋体" w:hAnsi="宋体" w:cs="仿宋_GB2312"/>
          <w:szCs w:val="21"/>
        </w:rPr>
      </w:pPr>
      <w:r>
        <w:rPr>
          <w:rFonts w:hint="eastAsia" w:ascii="宋体" w:hAnsi="宋体" w:cs="仿宋_GB2312"/>
          <w:szCs w:val="21"/>
        </w:rPr>
        <w:t xml:space="preserve">中央行政单位通用办公设备家具配置标准（财资（2016）27号）、木家具通用技术条件（GB/T 3324-2017）、木家具质量检验及质量评定（QB/T 1951.1-2010）、金属家具通用技术条件（GB/T 3325-2017）、金属家具质量检验及质量评定（QB/T 1951.2-2013）等。                                                </w:t>
      </w:r>
    </w:p>
    <w:p w14:paraId="1614208A">
      <w:pPr>
        <w:pStyle w:val="2"/>
        <w:spacing w:line="360" w:lineRule="auto"/>
        <w:ind w:firstLine="420" w:firstLineChars="200"/>
        <w:rPr>
          <w:rFonts w:ascii="宋体" w:hAnsi="宋体" w:cs="仿宋_GB2312"/>
          <w:szCs w:val="21"/>
        </w:rPr>
      </w:pPr>
      <w:r>
        <w:rPr>
          <w:rFonts w:hint="eastAsia" w:ascii="宋体" w:hAnsi="宋体" w:cs="仿宋_GB2312"/>
          <w:szCs w:val="21"/>
        </w:rPr>
        <w:t>2</w:t>
      </w:r>
      <w:r>
        <w:rPr>
          <w:rFonts w:ascii="宋体" w:hAnsi="宋体" w:cs="仿宋_GB2312"/>
          <w:szCs w:val="21"/>
        </w:rPr>
        <w:t>.落实政府采购政策需满足的资格要求：</w:t>
      </w:r>
    </w:p>
    <w:p w14:paraId="27E24B3E">
      <w:pPr>
        <w:pStyle w:val="2"/>
        <w:spacing w:line="360" w:lineRule="auto"/>
        <w:ind w:firstLine="420" w:firstLineChars="200"/>
        <w:rPr>
          <w:rFonts w:ascii="宋体" w:hAnsi="宋体"/>
          <w:szCs w:val="21"/>
        </w:rPr>
      </w:pPr>
      <w:r>
        <w:rPr>
          <w:rFonts w:ascii="宋体" w:hAnsi="宋体"/>
          <w:szCs w:val="21"/>
        </w:rPr>
        <w:t>符合《中华人民共和国政府采购法》第二十二条之规定。</w:t>
      </w:r>
    </w:p>
    <w:p w14:paraId="057410E9">
      <w:pPr>
        <w:spacing w:line="360" w:lineRule="auto"/>
        <w:ind w:firstLine="422" w:firstLineChars="200"/>
        <w:rPr>
          <w:rFonts w:ascii="宋体" w:hAnsi="宋体"/>
          <w:b/>
          <w:szCs w:val="21"/>
        </w:rPr>
      </w:pPr>
      <w:r>
        <w:rPr>
          <w:rFonts w:ascii="宋体" w:hAnsi="宋体"/>
          <w:b/>
          <w:szCs w:val="21"/>
        </w:rPr>
        <w:t>（五）采购标的的数量、采购项目交付或者实施的时间和地点</w:t>
      </w:r>
      <w:r>
        <w:rPr>
          <w:rFonts w:hint="eastAsia" w:ascii="宋体" w:hAnsi="宋体"/>
          <w:b/>
          <w:szCs w:val="21"/>
        </w:rPr>
        <w:t>、付款方式</w:t>
      </w:r>
    </w:p>
    <w:p w14:paraId="369A2985">
      <w:pPr>
        <w:spacing w:line="360" w:lineRule="auto"/>
        <w:ind w:firstLine="420" w:firstLineChars="200"/>
        <w:rPr>
          <w:rFonts w:hint="eastAsia" w:ascii="宋体" w:hAnsi="宋体" w:cs="仿宋_GB2312"/>
          <w:szCs w:val="21"/>
        </w:rPr>
      </w:pPr>
      <w:r>
        <w:rPr>
          <w:rFonts w:hint="eastAsia" w:ascii="宋体" w:hAnsi="宋体" w:cs="仿宋_GB2312"/>
          <w:szCs w:val="21"/>
        </w:rPr>
        <w:t>1.采购标的名称及数量</w:t>
      </w:r>
    </w:p>
    <w:tbl>
      <w:tblPr>
        <w:tblStyle w:val="6"/>
        <w:tblW w:w="7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3158"/>
        <w:gridCol w:w="1263"/>
        <w:gridCol w:w="1702"/>
        <w:gridCol w:w="843"/>
      </w:tblGrid>
      <w:tr w14:paraId="0F5C5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900" w:type="dxa"/>
            <w:noWrap w:val="0"/>
            <w:vAlign w:val="top"/>
          </w:tcPr>
          <w:p w14:paraId="1E57B4BB">
            <w:pPr>
              <w:spacing w:line="360" w:lineRule="auto"/>
              <w:jc w:val="center"/>
              <w:rPr>
                <w:rFonts w:hint="eastAsia" w:ascii="宋体" w:hAnsi="宋体" w:cs="仿宋_GB2312"/>
                <w:szCs w:val="21"/>
              </w:rPr>
            </w:pPr>
            <w:r>
              <w:rPr>
                <w:rFonts w:hint="eastAsia" w:ascii="宋体" w:hAnsi="宋体" w:cs="仿宋_GB2312"/>
                <w:szCs w:val="21"/>
              </w:rPr>
              <w:t>序号</w:t>
            </w:r>
          </w:p>
        </w:tc>
        <w:tc>
          <w:tcPr>
            <w:tcW w:w="3158" w:type="dxa"/>
            <w:noWrap w:val="0"/>
            <w:vAlign w:val="top"/>
          </w:tcPr>
          <w:p w14:paraId="3550799E">
            <w:pPr>
              <w:spacing w:line="360" w:lineRule="auto"/>
              <w:jc w:val="center"/>
              <w:rPr>
                <w:rFonts w:hint="eastAsia" w:ascii="宋体" w:hAnsi="宋体" w:cs="仿宋_GB2312"/>
                <w:szCs w:val="21"/>
              </w:rPr>
            </w:pPr>
            <w:r>
              <w:rPr>
                <w:rFonts w:hint="eastAsia" w:ascii="宋体" w:hAnsi="宋体" w:cs="仿宋_GB2312"/>
                <w:szCs w:val="21"/>
              </w:rPr>
              <w:t>名称</w:t>
            </w:r>
          </w:p>
        </w:tc>
        <w:tc>
          <w:tcPr>
            <w:tcW w:w="1263" w:type="dxa"/>
            <w:noWrap w:val="0"/>
            <w:vAlign w:val="top"/>
          </w:tcPr>
          <w:p w14:paraId="5D4A268A">
            <w:pPr>
              <w:spacing w:line="360" w:lineRule="auto"/>
              <w:jc w:val="center"/>
              <w:rPr>
                <w:rFonts w:hint="eastAsia" w:ascii="宋体" w:hAnsi="宋体" w:cs="仿宋_GB2312"/>
                <w:szCs w:val="21"/>
              </w:rPr>
            </w:pPr>
            <w:r>
              <w:rPr>
                <w:rFonts w:hint="eastAsia" w:ascii="宋体" w:hAnsi="宋体" w:cs="仿宋_GB2312"/>
                <w:szCs w:val="21"/>
              </w:rPr>
              <w:t>数量</w:t>
            </w:r>
          </w:p>
        </w:tc>
        <w:tc>
          <w:tcPr>
            <w:tcW w:w="1702" w:type="dxa"/>
            <w:noWrap w:val="0"/>
            <w:vAlign w:val="top"/>
          </w:tcPr>
          <w:p w14:paraId="00B33A59">
            <w:pPr>
              <w:spacing w:line="360" w:lineRule="auto"/>
              <w:jc w:val="center"/>
              <w:rPr>
                <w:rFonts w:hint="eastAsia" w:ascii="宋体" w:hAnsi="宋体" w:cs="仿宋_GB2312"/>
                <w:szCs w:val="21"/>
              </w:rPr>
            </w:pPr>
            <w:r>
              <w:rPr>
                <w:rFonts w:hint="eastAsia" w:ascii="宋体" w:hAnsi="宋体" w:cs="仿宋_GB2312"/>
                <w:szCs w:val="21"/>
              </w:rPr>
              <w:t>进口/国产</w:t>
            </w:r>
          </w:p>
        </w:tc>
        <w:tc>
          <w:tcPr>
            <w:tcW w:w="843" w:type="dxa"/>
            <w:noWrap w:val="0"/>
            <w:vAlign w:val="top"/>
          </w:tcPr>
          <w:p w14:paraId="1DE5B224">
            <w:pPr>
              <w:spacing w:line="360" w:lineRule="auto"/>
              <w:jc w:val="center"/>
              <w:rPr>
                <w:rFonts w:hint="eastAsia" w:ascii="宋体" w:hAnsi="宋体" w:cs="仿宋_GB2312"/>
                <w:szCs w:val="21"/>
              </w:rPr>
            </w:pPr>
            <w:r>
              <w:rPr>
                <w:rFonts w:hint="eastAsia" w:ascii="宋体" w:hAnsi="宋体" w:cs="仿宋_GB2312"/>
                <w:szCs w:val="21"/>
              </w:rPr>
              <w:t>备注</w:t>
            </w:r>
          </w:p>
        </w:tc>
      </w:tr>
      <w:tr w14:paraId="24209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noWrap w:val="0"/>
            <w:vAlign w:val="center"/>
          </w:tcPr>
          <w:p w14:paraId="18386620">
            <w:pPr>
              <w:widowControl/>
              <w:spacing w:line="360" w:lineRule="auto"/>
              <w:jc w:val="center"/>
              <w:textAlignment w:val="center"/>
              <w:rPr>
                <w:rFonts w:hint="eastAsia" w:ascii="宋体" w:hAnsi="宋体" w:cs="仿宋_GB2312"/>
                <w:kern w:val="0"/>
                <w:szCs w:val="21"/>
                <w:lang w:bidi="ar"/>
              </w:rPr>
            </w:pPr>
            <w:r>
              <w:rPr>
                <w:rFonts w:hint="eastAsia" w:ascii="宋体" w:hAnsi="宋体" w:cs="仿宋_GB2312"/>
                <w:kern w:val="0"/>
                <w:szCs w:val="21"/>
                <w:lang w:bidi="ar"/>
              </w:rPr>
              <w:t>1</w:t>
            </w:r>
          </w:p>
        </w:tc>
        <w:tc>
          <w:tcPr>
            <w:tcW w:w="3158" w:type="dxa"/>
            <w:noWrap w:val="0"/>
            <w:vAlign w:val="center"/>
          </w:tcPr>
          <w:p w14:paraId="3B58D1BE">
            <w:pPr>
              <w:widowControl/>
              <w:spacing w:line="360" w:lineRule="auto"/>
              <w:jc w:val="center"/>
              <w:textAlignment w:val="center"/>
              <w:rPr>
                <w:rFonts w:hint="eastAsia" w:ascii="宋体" w:hAnsi="宋体" w:cs="仿宋_GB2312"/>
                <w:szCs w:val="21"/>
              </w:rPr>
            </w:pPr>
            <w:r>
              <w:rPr>
                <w:rFonts w:hint="eastAsia" w:ascii="宋体" w:hAnsi="宋体" w:cs="仿宋_GB2312"/>
                <w:szCs w:val="21"/>
              </w:rPr>
              <w:t>深圳边检总站证件研究中心家具类设备购置项目</w:t>
            </w:r>
          </w:p>
        </w:tc>
        <w:tc>
          <w:tcPr>
            <w:tcW w:w="1263" w:type="dxa"/>
            <w:noWrap w:val="0"/>
            <w:vAlign w:val="top"/>
          </w:tcPr>
          <w:p w14:paraId="504F84CC">
            <w:pPr>
              <w:spacing w:line="360" w:lineRule="auto"/>
              <w:jc w:val="center"/>
              <w:rPr>
                <w:rFonts w:hint="eastAsia" w:ascii="宋体" w:hAnsi="宋体" w:cs="仿宋_GB2312"/>
                <w:szCs w:val="21"/>
              </w:rPr>
            </w:pPr>
            <w:r>
              <w:rPr>
                <w:rFonts w:hint="eastAsia" w:ascii="宋体" w:hAnsi="宋体" w:cs="仿宋_GB2312"/>
                <w:szCs w:val="21"/>
              </w:rPr>
              <w:t>1</w:t>
            </w:r>
          </w:p>
        </w:tc>
        <w:tc>
          <w:tcPr>
            <w:tcW w:w="1702" w:type="dxa"/>
            <w:noWrap w:val="0"/>
            <w:vAlign w:val="top"/>
          </w:tcPr>
          <w:p w14:paraId="25A90182">
            <w:pPr>
              <w:spacing w:line="360" w:lineRule="auto"/>
              <w:jc w:val="center"/>
              <w:rPr>
                <w:rFonts w:hint="eastAsia" w:ascii="宋体" w:hAnsi="宋体" w:cs="仿宋_GB2312"/>
                <w:szCs w:val="21"/>
              </w:rPr>
            </w:pPr>
            <w:r>
              <w:rPr>
                <w:rFonts w:hint="eastAsia" w:ascii="宋体" w:hAnsi="宋体" w:cs="仿宋_GB2312"/>
                <w:szCs w:val="21"/>
              </w:rPr>
              <w:t>国产</w:t>
            </w:r>
          </w:p>
        </w:tc>
        <w:tc>
          <w:tcPr>
            <w:tcW w:w="843" w:type="dxa"/>
            <w:noWrap w:val="0"/>
            <w:vAlign w:val="top"/>
          </w:tcPr>
          <w:p w14:paraId="614E6C71">
            <w:pPr>
              <w:spacing w:line="360" w:lineRule="auto"/>
              <w:jc w:val="center"/>
              <w:rPr>
                <w:rFonts w:hint="eastAsia" w:ascii="宋体" w:hAnsi="宋体" w:cs="仿宋_GB2312"/>
                <w:szCs w:val="21"/>
              </w:rPr>
            </w:pPr>
          </w:p>
        </w:tc>
      </w:tr>
    </w:tbl>
    <w:p w14:paraId="2EEF9946">
      <w:pPr>
        <w:spacing w:line="360" w:lineRule="auto"/>
        <w:ind w:firstLine="420" w:firstLineChars="200"/>
        <w:rPr>
          <w:rFonts w:hint="eastAsia" w:ascii="宋体" w:hAnsi="宋体" w:cs="仿宋_GB2312"/>
          <w:szCs w:val="21"/>
        </w:rPr>
      </w:pPr>
      <w:r>
        <w:rPr>
          <w:rFonts w:hint="eastAsia" w:ascii="宋体" w:hAnsi="宋体" w:cs="仿宋_GB2312"/>
          <w:szCs w:val="21"/>
        </w:rPr>
        <w:t>2.项目实施的地点：</w:t>
      </w:r>
      <w:r>
        <w:rPr>
          <w:rFonts w:hint="eastAsia" w:ascii="宋体" w:hAnsi="宋体" w:cs="宋体"/>
          <w:szCs w:val="21"/>
        </w:rPr>
        <w:t>深圳市罗湖区人民南路1006号边检大厦25楼</w:t>
      </w:r>
      <w:r>
        <w:rPr>
          <w:rFonts w:hint="eastAsia" w:ascii="宋体" w:hAnsi="宋体"/>
          <w:szCs w:val="21"/>
        </w:rPr>
        <w:t>。</w:t>
      </w:r>
      <w:r>
        <w:rPr>
          <w:rFonts w:hint="eastAsia" w:ascii="宋体" w:hAnsi="宋体" w:cs="仿宋_GB2312"/>
          <w:szCs w:val="21"/>
        </w:rPr>
        <w:t xml:space="preserve">                                 </w:t>
      </w:r>
    </w:p>
    <w:p w14:paraId="68A0F709">
      <w:pPr>
        <w:spacing w:line="360" w:lineRule="auto"/>
        <w:ind w:firstLine="420" w:firstLineChars="200"/>
        <w:rPr>
          <w:rFonts w:hint="eastAsia" w:ascii="宋体" w:hAnsi="宋体" w:cs="仿宋_GB2312"/>
          <w:szCs w:val="21"/>
        </w:rPr>
      </w:pPr>
      <w:r>
        <w:rPr>
          <w:rFonts w:hint="eastAsia" w:ascii="宋体" w:hAnsi="宋体" w:cs="仿宋_GB2312"/>
          <w:szCs w:val="21"/>
        </w:rPr>
        <w:t>3.采购项目交付或者实施的时间要求。项目交付时间：合同签订后</w:t>
      </w:r>
      <w:r>
        <w:rPr>
          <w:rFonts w:hint="eastAsia" w:ascii="宋体" w:hAnsi="宋体" w:cs="仿宋_GB2312"/>
          <w:szCs w:val="21"/>
          <w:u w:val="single"/>
        </w:rPr>
        <w:t>20</w:t>
      </w:r>
      <w:r>
        <w:rPr>
          <w:rFonts w:hint="eastAsia" w:ascii="宋体" w:hAnsi="宋体" w:cs="仿宋_GB2312"/>
          <w:szCs w:val="21"/>
        </w:rPr>
        <w:t>日历日内。供应商应保证在要求时间内完成全部货物的供货、安装、调试和培训工作,符合国家标准、行业规范和合同等相关文件的要求。</w:t>
      </w:r>
    </w:p>
    <w:p w14:paraId="36410DA2">
      <w:pPr>
        <w:pStyle w:val="2"/>
        <w:spacing w:line="360" w:lineRule="auto"/>
        <w:ind w:firstLine="210" w:firstLineChars="100"/>
        <w:rPr>
          <w:rFonts w:hint="eastAsia" w:ascii="宋体" w:hAnsi="宋体" w:cs="仿宋_GB2312"/>
          <w:szCs w:val="21"/>
        </w:rPr>
      </w:pPr>
      <w:r>
        <w:rPr>
          <w:rFonts w:hint="eastAsia" w:ascii="宋体" w:hAnsi="宋体" w:cs="仿宋_GB2312"/>
          <w:szCs w:val="21"/>
        </w:rPr>
        <w:t>4. 付款条件（进度和方式）</w:t>
      </w:r>
    </w:p>
    <w:tbl>
      <w:tblPr>
        <w:tblStyle w:val="6"/>
        <w:tblW w:w="50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281"/>
        <w:gridCol w:w="3075"/>
        <w:gridCol w:w="2250"/>
        <w:gridCol w:w="1610"/>
      </w:tblGrid>
      <w:tr w14:paraId="436CE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370" w:type="pct"/>
            <w:tcBorders>
              <w:top w:val="single" w:color="auto" w:sz="4" w:space="0"/>
              <w:left w:val="single" w:color="auto" w:sz="4" w:space="0"/>
              <w:bottom w:val="single" w:color="auto" w:sz="4" w:space="0"/>
              <w:right w:val="single" w:color="auto" w:sz="4" w:space="0"/>
            </w:tcBorders>
            <w:noWrap w:val="0"/>
            <w:vAlign w:val="center"/>
          </w:tcPr>
          <w:p w14:paraId="62818B15">
            <w:pPr>
              <w:spacing w:line="360" w:lineRule="auto"/>
              <w:jc w:val="left"/>
              <w:rPr>
                <w:rFonts w:hint="eastAsia" w:ascii="宋体" w:hAnsi="宋体" w:cs="仿宋_GB2312"/>
                <w:szCs w:val="21"/>
              </w:rPr>
            </w:pPr>
            <w:r>
              <w:rPr>
                <w:rFonts w:hint="eastAsia" w:ascii="宋体" w:hAnsi="宋体" w:cs="仿宋_GB2312"/>
                <w:szCs w:val="21"/>
              </w:rPr>
              <w:t>序号</w:t>
            </w:r>
          </w:p>
        </w:tc>
        <w:tc>
          <w:tcPr>
            <w:tcW w:w="722" w:type="pct"/>
            <w:tcBorders>
              <w:top w:val="single" w:color="auto" w:sz="4" w:space="0"/>
              <w:left w:val="single" w:color="auto" w:sz="4" w:space="0"/>
              <w:bottom w:val="single" w:color="auto" w:sz="4" w:space="0"/>
              <w:right w:val="single" w:color="auto" w:sz="4" w:space="0"/>
            </w:tcBorders>
            <w:noWrap w:val="0"/>
            <w:vAlign w:val="center"/>
          </w:tcPr>
          <w:p w14:paraId="63DE2060">
            <w:pPr>
              <w:spacing w:line="360" w:lineRule="auto"/>
              <w:jc w:val="left"/>
              <w:rPr>
                <w:rFonts w:hint="eastAsia" w:ascii="宋体" w:hAnsi="宋体" w:cs="仿宋_GB2312"/>
                <w:szCs w:val="21"/>
              </w:rPr>
            </w:pPr>
            <w:r>
              <w:rPr>
                <w:rFonts w:hint="eastAsia" w:ascii="宋体" w:hAnsi="宋体" w:cs="仿宋_GB2312"/>
                <w:szCs w:val="21"/>
              </w:rPr>
              <w:t>付款节点</w:t>
            </w:r>
          </w:p>
        </w:tc>
        <w:tc>
          <w:tcPr>
            <w:tcW w:w="1732" w:type="pct"/>
            <w:tcBorders>
              <w:top w:val="single" w:color="auto" w:sz="4" w:space="0"/>
              <w:left w:val="single" w:color="auto" w:sz="4" w:space="0"/>
              <w:bottom w:val="single" w:color="auto" w:sz="4" w:space="0"/>
              <w:right w:val="single" w:color="auto" w:sz="4" w:space="0"/>
            </w:tcBorders>
            <w:noWrap w:val="0"/>
            <w:vAlign w:val="center"/>
          </w:tcPr>
          <w:p w14:paraId="50396B9F">
            <w:pPr>
              <w:spacing w:line="360" w:lineRule="auto"/>
              <w:jc w:val="left"/>
              <w:rPr>
                <w:rFonts w:hint="eastAsia" w:ascii="宋体" w:hAnsi="宋体" w:cs="仿宋_GB2312"/>
                <w:szCs w:val="21"/>
              </w:rPr>
            </w:pPr>
            <w:r>
              <w:rPr>
                <w:rFonts w:hint="eastAsia" w:ascii="宋体" w:hAnsi="宋体" w:cs="仿宋_GB2312"/>
                <w:szCs w:val="21"/>
              </w:rPr>
              <w:t>付款条件</w:t>
            </w:r>
          </w:p>
        </w:tc>
        <w:tc>
          <w:tcPr>
            <w:tcW w:w="1267" w:type="pct"/>
            <w:tcBorders>
              <w:top w:val="single" w:color="auto" w:sz="4" w:space="0"/>
              <w:left w:val="single" w:color="auto" w:sz="4" w:space="0"/>
              <w:bottom w:val="single" w:color="auto" w:sz="4" w:space="0"/>
              <w:right w:val="single" w:color="auto" w:sz="4" w:space="0"/>
            </w:tcBorders>
            <w:noWrap w:val="0"/>
            <w:vAlign w:val="center"/>
          </w:tcPr>
          <w:p w14:paraId="6459B371">
            <w:pPr>
              <w:spacing w:line="360" w:lineRule="auto"/>
              <w:jc w:val="left"/>
              <w:rPr>
                <w:rFonts w:hint="eastAsia" w:ascii="宋体" w:hAnsi="宋体" w:cs="仿宋_GB2312"/>
                <w:szCs w:val="21"/>
              </w:rPr>
            </w:pPr>
            <w:r>
              <w:rPr>
                <w:rFonts w:hint="eastAsia" w:ascii="宋体" w:hAnsi="宋体" w:cs="仿宋_GB2312"/>
                <w:szCs w:val="21"/>
              </w:rPr>
              <w:t>付款比例（或金额）</w:t>
            </w:r>
          </w:p>
        </w:tc>
        <w:tc>
          <w:tcPr>
            <w:tcW w:w="907" w:type="pct"/>
            <w:tcBorders>
              <w:top w:val="single" w:color="auto" w:sz="4" w:space="0"/>
              <w:left w:val="single" w:color="auto" w:sz="4" w:space="0"/>
              <w:bottom w:val="single" w:color="auto" w:sz="4" w:space="0"/>
              <w:right w:val="single" w:color="auto" w:sz="4" w:space="0"/>
            </w:tcBorders>
            <w:noWrap w:val="0"/>
            <w:vAlign w:val="center"/>
          </w:tcPr>
          <w:p w14:paraId="14A5EE0B">
            <w:pPr>
              <w:spacing w:line="360" w:lineRule="auto"/>
              <w:jc w:val="left"/>
              <w:rPr>
                <w:rFonts w:hint="eastAsia" w:ascii="宋体" w:hAnsi="宋体" w:cs="仿宋_GB2312"/>
                <w:szCs w:val="21"/>
              </w:rPr>
            </w:pPr>
            <w:r>
              <w:rPr>
                <w:rFonts w:hint="eastAsia" w:ascii="宋体" w:hAnsi="宋体" w:cs="仿宋_GB2312"/>
                <w:szCs w:val="21"/>
              </w:rPr>
              <w:t>备注</w:t>
            </w:r>
          </w:p>
        </w:tc>
      </w:tr>
      <w:tr w14:paraId="22F4D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370" w:type="pct"/>
            <w:tcBorders>
              <w:top w:val="single" w:color="auto" w:sz="4" w:space="0"/>
              <w:left w:val="single" w:color="auto" w:sz="4" w:space="0"/>
              <w:bottom w:val="single" w:color="auto" w:sz="4" w:space="0"/>
              <w:right w:val="single" w:color="auto" w:sz="4" w:space="0"/>
            </w:tcBorders>
            <w:noWrap w:val="0"/>
            <w:vAlign w:val="center"/>
          </w:tcPr>
          <w:p w14:paraId="4B1E3772">
            <w:pPr>
              <w:spacing w:line="360" w:lineRule="auto"/>
              <w:jc w:val="center"/>
              <w:rPr>
                <w:rFonts w:hint="eastAsia" w:ascii="宋体" w:hAnsi="宋体" w:cs="仿宋_GB2312"/>
                <w:szCs w:val="21"/>
              </w:rPr>
            </w:pPr>
            <w:r>
              <w:rPr>
                <w:rFonts w:hint="eastAsia" w:ascii="宋体" w:hAnsi="宋体" w:cs="仿宋_GB2312"/>
                <w:szCs w:val="21"/>
              </w:rPr>
              <w:t>1</w:t>
            </w:r>
          </w:p>
        </w:tc>
        <w:tc>
          <w:tcPr>
            <w:tcW w:w="722" w:type="pct"/>
            <w:tcBorders>
              <w:top w:val="single" w:color="auto" w:sz="4" w:space="0"/>
              <w:left w:val="single" w:color="auto" w:sz="4" w:space="0"/>
              <w:bottom w:val="single" w:color="auto" w:sz="4" w:space="0"/>
              <w:right w:val="single" w:color="auto" w:sz="4" w:space="0"/>
            </w:tcBorders>
            <w:noWrap w:val="0"/>
            <w:vAlign w:val="center"/>
          </w:tcPr>
          <w:p w14:paraId="3E86AF57">
            <w:pPr>
              <w:spacing w:line="360" w:lineRule="auto"/>
              <w:jc w:val="center"/>
              <w:rPr>
                <w:rFonts w:hint="eastAsia" w:ascii="宋体" w:hAnsi="宋体" w:cs="仿宋_GB2312"/>
                <w:szCs w:val="21"/>
              </w:rPr>
            </w:pPr>
            <w:r>
              <w:rPr>
                <w:rFonts w:hint="eastAsia" w:ascii="宋体" w:hAnsi="宋体" w:cs="仿宋_GB2312"/>
                <w:szCs w:val="21"/>
              </w:rPr>
              <w:t>首付款</w:t>
            </w:r>
          </w:p>
        </w:tc>
        <w:tc>
          <w:tcPr>
            <w:tcW w:w="1732" w:type="pct"/>
            <w:tcBorders>
              <w:top w:val="single" w:color="auto" w:sz="4" w:space="0"/>
              <w:left w:val="single" w:color="auto" w:sz="4" w:space="0"/>
              <w:bottom w:val="single" w:color="auto" w:sz="4" w:space="0"/>
              <w:right w:val="single" w:color="auto" w:sz="4" w:space="0"/>
            </w:tcBorders>
            <w:noWrap w:val="0"/>
            <w:vAlign w:val="center"/>
          </w:tcPr>
          <w:p w14:paraId="20BBBECD">
            <w:pPr>
              <w:spacing w:line="360" w:lineRule="auto"/>
              <w:jc w:val="left"/>
              <w:rPr>
                <w:rFonts w:hint="eastAsia" w:ascii="宋体" w:hAnsi="宋体" w:cs="仿宋_GB2312"/>
                <w:szCs w:val="21"/>
              </w:rPr>
            </w:pPr>
            <w:r>
              <w:rPr>
                <w:rFonts w:hint="eastAsia" w:ascii="宋体" w:hAnsi="宋体" w:cs="仿宋_GB2312"/>
                <w:szCs w:val="21"/>
              </w:rPr>
              <w:t>首付款，签订合同并履行请款手续后10个工作日内付款至总合同金额50%</w:t>
            </w:r>
          </w:p>
        </w:tc>
        <w:tc>
          <w:tcPr>
            <w:tcW w:w="1267" w:type="pct"/>
            <w:tcBorders>
              <w:top w:val="single" w:color="auto" w:sz="4" w:space="0"/>
              <w:left w:val="single" w:color="auto" w:sz="4" w:space="0"/>
              <w:bottom w:val="single" w:color="auto" w:sz="4" w:space="0"/>
              <w:right w:val="single" w:color="auto" w:sz="4" w:space="0"/>
            </w:tcBorders>
            <w:noWrap w:val="0"/>
            <w:vAlign w:val="center"/>
          </w:tcPr>
          <w:p w14:paraId="63DA80CF">
            <w:pPr>
              <w:spacing w:line="360" w:lineRule="auto"/>
              <w:jc w:val="left"/>
              <w:rPr>
                <w:rFonts w:hint="eastAsia" w:ascii="宋体" w:hAnsi="宋体" w:cs="仿宋_GB2312"/>
                <w:szCs w:val="21"/>
              </w:rPr>
            </w:pPr>
            <w:r>
              <w:rPr>
                <w:rFonts w:hint="eastAsia" w:ascii="宋体" w:hAnsi="宋体" w:cs="仿宋_GB2312"/>
                <w:szCs w:val="21"/>
              </w:rPr>
              <w:t>付款至总合同金额50%</w:t>
            </w:r>
          </w:p>
        </w:tc>
        <w:tc>
          <w:tcPr>
            <w:tcW w:w="907" w:type="pct"/>
            <w:vMerge w:val="restart"/>
            <w:tcBorders>
              <w:top w:val="single" w:color="auto" w:sz="4" w:space="0"/>
              <w:left w:val="single" w:color="auto" w:sz="4" w:space="0"/>
              <w:right w:val="single" w:color="auto" w:sz="4" w:space="0"/>
            </w:tcBorders>
            <w:noWrap w:val="0"/>
            <w:vAlign w:val="center"/>
          </w:tcPr>
          <w:p w14:paraId="367B223A">
            <w:pPr>
              <w:spacing w:line="360" w:lineRule="auto"/>
              <w:jc w:val="center"/>
              <w:rPr>
                <w:rFonts w:hint="eastAsia" w:ascii="宋体" w:hAnsi="宋体" w:cs="仿宋_GB2312"/>
                <w:szCs w:val="21"/>
              </w:rPr>
            </w:pPr>
          </w:p>
          <w:p w14:paraId="3FF04707">
            <w:pPr>
              <w:spacing w:line="360" w:lineRule="auto"/>
              <w:jc w:val="center"/>
              <w:rPr>
                <w:rFonts w:hint="eastAsia" w:ascii="宋体" w:hAnsi="宋体" w:cs="仿宋_GB2312"/>
                <w:szCs w:val="21"/>
              </w:rPr>
            </w:pPr>
            <w:r>
              <w:rPr>
                <w:rFonts w:hint="eastAsia" w:ascii="宋体" w:hAnsi="宋体" w:cs="仿宋_GB2312"/>
                <w:szCs w:val="21"/>
              </w:rPr>
              <w:t>因财政拨付原因导致的付款延迟不视为采购方违约，供应商不得据此主张违约并应继续履约。</w:t>
            </w:r>
          </w:p>
        </w:tc>
      </w:tr>
      <w:tr w14:paraId="6C511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370" w:type="pct"/>
            <w:tcBorders>
              <w:top w:val="single" w:color="auto" w:sz="4" w:space="0"/>
              <w:left w:val="single" w:color="auto" w:sz="4" w:space="0"/>
              <w:bottom w:val="single" w:color="auto" w:sz="4" w:space="0"/>
              <w:right w:val="single" w:color="auto" w:sz="4" w:space="0"/>
            </w:tcBorders>
            <w:noWrap w:val="0"/>
            <w:vAlign w:val="center"/>
          </w:tcPr>
          <w:p w14:paraId="6C283347">
            <w:pPr>
              <w:spacing w:line="360" w:lineRule="auto"/>
              <w:jc w:val="center"/>
              <w:rPr>
                <w:rFonts w:hint="eastAsia" w:ascii="宋体" w:hAnsi="宋体" w:cs="仿宋_GB2312"/>
                <w:szCs w:val="21"/>
              </w:rPr>
            </w:pPr>
            <w:r>
              <w:rPr>
                <w:rFonts w:hint="eastAsia" w:ascii="宋体" w:hAnsi="宋体" w:cs="仿宋_GB2312"/>
                <w:szCs w:val="21"/>
              </w:rPr>
              <w:t>2</w:t>
            </w:r>
          </w:p>
        </w:tc>
        <w:tc>
          <w:tcPr>
            <w:tcW w:w="722" w:type="pct"/>
            <w:tcBorders>
              <w:top w:val="single" w:color="auto" w:sz="4" w:space="0"/>
              <w:left w:val="single" w:color="auto" w:sz="4" w:space="0"/>
              <w:bottom w:val="single" w:color="auto" w:sz="4" w:space="0"/>
              <w:right w:val="single" w:color="auto" w:sz="4" w:space="0"/>
            </w:tcBorders>
            <w:noWrap w:val="0"/>
            <w:vAlign w:val="center"/>
          </w:tcPr>
          <w:p w14:paraId="6A9D3345">
            <w:pPr>
              <w:spacing w:line="360" w:lineRule="auto"/>
              <w:jc w:val="center"/>
              <w:rPr>
                <w:rFonts w:hint="eastAsia" w:ascii="宋体" w:hAnsi="宋体" w:cs="仿宋_GB2312"/>
                <w:szCs w:val="21"/>
              </w:rPr>
            </w:pPr>
            <w:r>
              <w:rPr>
                <w:rFonts w:hint="eastAsia" w:ascii="宋体" w:hAnsi="宋体" w:cs="仿宋_GB2312"/>
                <w:szCs w:val="21"/>
              </w:rPr>
              <w:t>尾款</w:t>
            </w:r>
          </w:p>
        </w:tc>
        <w:tc>
          <w:tcPr>
            <w:tcW w:w="1732" w:type="pct"/>
            <w:tcBorders>
              <w:top w:val="single" w:color="auto" w:sz="4" w:space="0"/>
              <w:left w:val="single" w:color="auto" w:sz="4" w:space="0"/>
              <w:bottom w:val="single" w:color="auto" w:sz="4" w:space="0"/>
              <w:right w:val="single" w:color="auto" w:sz="4" w:space="0"/>
            </w:tcBorders>
            <w:noWrap w:val="0"/>
            <w:vAlign w:val="center"/>
          </w:tcPr>
          <w:p w14:paraId="54A0BB58">
            <w:pPr>
              <w:spacing w:line="360" w:lineRule="auto"/>
              <w:jc w:val="left"/>
              <w:rPr>
                <w:rFonts w:hint="eastAsia" w:ascii="宋体" w:hAnsi="宋体" w:cs="仿宋_GB2312"/>
                <w:szCs w:val="21"/>
              </w:rPr>
            </w:pPr>
            <w:r>
              <w:rPr>
                <w:rFonts w:hint="eastAsia" w:ascii="宋体" w:hAnsi="宋体" w:cs="仿宋_GB2312"/>
                <w:szCs w:val="21"/>
              </w:rPr>
              <w:t>尾款待成交供应商负责将订单货物送到采购方指定地点安装完毕、采购方对质量无任何异议出具书面验收合格证明后15个工作日内，并履行请款手续后。付款至总结算审核金额100%</w:t>
            </w:r>
          </w:p>
        </w:tc>
        <w:tc>
          <w:tcPr>
            <w:tcW w:w="1267" w:type="pct"/>
            <w:tcBorders>
              <w:top w:val="single" w:color="auto" w:sz="4" w:space="0"/>
              <w:left w:val="single" w:color="auto" w:sz="4" w:space="0"/>
              <w:bottom w:val="single" w:color="auto" w:sz="4" w:space="0"/>
              <w:right w:val="single" w:color="auto" w:sz="4" w:space="0"/>
            </w:tcBorders>
            <w:noWrap w:val="0"/>
            <w:vAlign w:val="center"/>
          </w:tcPr>
          <w:p w14:paraId="127D218D">
            <w:pPr>
              <w:spacing w:line="360" w:lineRule="auto"/>
              <w:jc w:val="left"/>
              <w:rPr>
                <w:rFonts w:hint="eastAsia" w:ascii="宋体" w:hAnsi="宋体" w:cs="仿宋_GB2312"/>
                <w:szCs w:val="21"/>
              </w:rPr>
            </w:pPr>
            <w:r>
              <w:rPr>
                <w:rFonts w:hint="eastAsia" w:ascii="宋体" w:hAnsi="宋体" w:cs="仿宋_GB2312"/>
                <w:szCs w:val="21"/>
              </w:rPr>
              <w:t>付款至总结算审核金额100%</w:t>
            </w:r>
          </w:p>
        </w:tc>
        <w:tc>
          <w:tcPr>
            <w:tcW w:w="907" w:type="pct"/>
            <w:vMerge w:val="continue"/>
            <w:tcBorders>
              <w:left w:val="single" w:color="auto" w:sz="4" w:space="0"/>
              <w:bottom w:val="single" w:color="auto" w:sz="4" w:space="0"/>
              <w:right w:val="single" w:color="auto" w:sz="4" w:space="0"/>
            </w:tcBorders>
            <w:noWrap w:val="0"/>
            <w:vAlign w:val="center"/>
          </w:tcPr>
          <w:p w14:paraId="711BBD18">
            <w:pPr>
              <w:spacing w:line="360" w:lineRule="auto"/>
              <w:jc w:val="center"/>
              <w:rPr>
                <w:rFonts w:hint="eastAsia" w:ascii="宋体" w:hAnsi="宋体" w:cs="仿宋_GB2312"/>
                <w:szCs w:val="21"/>
              </w:rPr>
            </w:pPr>
          </w:p>
        </w:tc>
      </w:tr>
    </w:tbl>
    <w:p w14:paraId="0A5CF557">
      <w:pPr>
        <w:spacing w:line="360" w:lineRule="auto"/>
        <w:ind w:firstLine="422" w:firstLineChars="200"/>
        <w:rPr>
          <w:rFonts w:ascii="宋体" w:hAnsi="宋体"/>
          <w:b/>
          <w:bCs/>
          <w:szCs w:val="21"/>
        </w:rPr>
      </w:pPr>
      <w:r>
        <w:rPr>
          <w:rFonts w:ascii="宋体" w:hAnsi="宋体"/>
          <w:b/>
          <w:bCs/>
          <w:szCs w:val="21"/>
        </w:rPr>
        <w:t>（</w:t>
      </w:r>
      <w:r>
        <w:rPr>
          <w:rFonts w:hint="eastAsia" w:ascii="宋体" w:hAnsi="宋体"/>
          <w:b/>
          <w:bCs/>
          <w:szCs w:val="21"/>
        </w:rPr>
        <w:t>六</w:t>
      </w:r>
      <w:r>
        <w:rPr>
          <w:rFonts w:ascii="宋体" w:hAnsi="宋体"/>
          <w:b/>
          <w:bCs/>
          <w:szCs w:val="21"/>
        </w:rPr>
        <w:t>）采购标的需满足的</w:t>
      </w:r>
      <w:r>
        <w:rPr>
          <w:rFonts w:hint="eastAsia" w:ascii="宋体" w:hAnsi="宋体"/>
          <w:b/>
          <w:bCs/>
          <w:szCs w:val="21"/>
        </w:rPr>
        <w:t>技术</w:t>
      </w:r>
      <w:r>
        <w:rPr>
          <w:rFonts w:ascii="宋体" w:hAnsi="宋体"/>
          <w:b/>
          <w:bCs/>
          <w:szCs w:val="21"/>
        </w:rPr>
        <w:t>要求</w:t>
      </w:r>
    </w:p>
    <w:p w14:paraId="1D0A3120">
      <w:pPr>
        <w:spacing w:line="360" w:lineRule="auto"/>
        <w:ind w:firstLine="420" w:firstLineChars="200"/>
        <w:rPr>
          <w:rFonts w:ascii="宋体" w:hAnsi="宋体"/>
          <w:szCs w:val="32"/>
        </w:rPr>
      </w:pPr>
      <w:r>
        <w:rPr>
          <w:rFonts w:ascii="宋体" w:hAnsi="宋体"/>
          <w:szCs w:val="32"/>
        </w:rPr>
        <w:t>性能要求：</w:t>
      </w:r>
      <w:r>
        <w:rPr>
          <w:rFonts w:hint="eastAsia" w:ascii="宋体" w:hAnsi="宋体"/>
          <w:szCs w:val="32"/>
        </w:rPr>
        <w:t>零部件无断裂或豁裂；无严重影响使用功能的磨损或变形；用手揿压某些应为牢固的部件，应无永久性松动；活动部件（门、抽屉等）开关应灵活；家具五金应无明显变形、损坏；推柜稳定性牢固，柜门、抽屉用力开合不变形。办公桌、办公椅、会议桌、会议椅最大承重不低于100kg；书柜、文件柜内隔板最大承重不低于35kg；衣柜内最大隔板承重不低于30kg；挂衣杆最大承重不低于15kg；抽屉最大承重不低于6kg。表面漆膜遇生活中常见酸性或碱性液体不会出现褪色、变形、膨胀、纤维突起、开裂、鼓泡等现象，日常使用不会产生明显划痕和漆膜剥落现象；遇光照、冷、热、温差不易鼓泡、裂缝和明显失光。</w:t>
      </w:r>
      <w:r>
        <w:rPr>
          <w:rFonts w:ascii="宋体" w:hAnsi="宋体"/>
          <w:szCs w:val="32"/>
        </w:rPr>
        <w:t xml:space="preserve">                           </w:t>
      </w:r>
      <w:r>
        <w:rPr>
          <w:rFonts w:hint="eastAsia" w:ascii="宋体" w:hAnsi="宋体"/>
          <w:szCs w:val="32"/>
        </w:rPr>
        <w:t xml:space="preserve"> </w:t>
      </w:r>
    </w:p>
    <w:p w14:paraId="68053E1A">
      <w:pPr>
        <w:spacing w:line="360" w:lineRule="auto"/>
        <w:ind w:firstLine="420" w:firstLineChars="200"/>
        <w:rPr>
          <w:rFonts w:ascii="宋体" w:hAnsi="宋体"/>
          <w:szCs w:val="32"/>
        </w:rPr>
      </w:pPr>
      <w:r>
        <w:rPr>
          <w:rFonts w:ascii="宋体" w:hAnsi="宋体"/>
          <w:szCs w:val="32"/>
        </w:rPr>
        <w:t>材料要求：</w:t>
      </w:r>
      <w:r>
        <w:rPr>
          <w:rFonts w:hint="eastAsia" w:ascii="宋体" w:hAnsi="宋体"/>
          <w:szCs w:val="32"/>
        </w:rPr>
        <w:t>制作通用办公家具宜选用可回收、可循环利用材料，材料性能符合国家及行业标准，不得选用名贵木材。</w:t>
      </w:r>
      <w:r>
        <w:rPr>
          <w:rFonts w:ascii="宋体" w:hAnsi="宋体"/>
          <w:szCs w:val="32"/>
        </w:rPr>
        <w:t xml:space="preserve">                            </w:t>
      </w:r>
    </w:p>
    <w:p w14:paraId="293CDD49">
      <w:pPr>
        <w:spacing w:line="360" w:lineRule="auto"/>
        <w:ind w:firstLine="420" w:firstLineChars="200"/>
        <w:rPr>
          <w:rFonts w:ascii="宋体" w:hAnsi="宋体"/>
          <w:szCs w:val="32"/>
        </w:rPr>
      </w:pPr>
      <w:r>
        <w:rPr>
          <w:rFonts w:ascii="宋体" w:hAnsi="宋体"/>
          <w:szCs w:val="32"/>
        </w:rPr>
        <w:t>结构要求：</w:t>
      </w:r>
      <w:r>
        <w:rPr>
          <w:rFonts w:hint="eastAsia" w:ascii="宋体" w:hAnsi="宋体"/>
          <w:szCs w:val="32"/>
        </w:rPr>
        <w:t>家具表面平整光滑，无明显划伤、凹痕、鼓泡、黑色斑点、污渍等缺陷；木制家具表面木纹纹路一致，凹凸部门均匀，纹理清晰，色泽一致；无褪色、掉色、贴面严密平整，封边、包边无脱铺跑鼓泡或开裂现象。家具长、宽、高等核心尺寸长度、宽度误差</w:t>
      </w:r>
      <w:r>
        <w:rPr>
          <w:rFonts w:hint="eastAsia" w:ascii="宋体" w:hAnsi="宋体" w:cs="东文宋体"/>
          <w:szCs w:val="32"/>
        </w:rPr>
        <w:t>≤3</w:t>
      </w:r>
      <w:r>
        <w:rPr>
          <w:rFonts w:hint="eastAsia" w:ascii="宋体" w:hAnsi="宋体"/>
          <w:szCs w:val="32"/>
        </w:rPr>
        <w:t>mm；桌平面、立面板材翘曲度值</w:t>
      </w:r>
      <w:r>
        <w:rPr>
          <w:rFonts w:hint="eastAsia" w:ascii="宋体" w:hAnsi="宋体" w:cs="东文宋体"/>
          <w:szCs w:val="32"/>
        </w:rPr>
        <w:t>≤1</w:t>
      </w:r>
      <w:r>
        <w:rPr>
          <w:rFonts w:hint="eastAsia" w:ascii="宋体" w:hAnsi="宋体"/>
          <w:szCs w:val="32"/>
        </w:rPr>
        <w:t>mm。</w:t>
      </w:r>
      <w:r>
        <w:rPr>
          <w:rFonts w:ascii="宋体" w:hAnsi="宋体"/>
          <w:szCs w:val="32"/>
        </w:rPr>
        <w:t xml:space="preserve">                            </w:t>
      </w:r>
    </w:p>
    <w:p w14:paraId="0CC240D2">
      <w:pPr>
        <w:spacing w:line="360" w:lineRule="auto"/>
        <w:ind w:firstLine="420" w:firstLineChars="200"/>
        <w:rPr>
          <w:rFonts w:ascii="宋体" w:hAnsi="宋体"/>
          <w:szCs w:val="32"/>
        </w:rPr>
      </w:pPr>
      <w:r>
        <w:rPr>
          <w:rFonts w:ascii="宋体" w:hAnsi="宋体"/>
          <w:szCs w:val="32"/>
        </w:rPr>
        <w:t>外观要求：</w:t>
      </w:r>
      <w:r>
        <w:rPr>
          <w:rFonts w:hint="eastAsia" w:ascii="宋体" w:hAnsi="宋体"/>
          <w:szCs w:val="32"/>
        </w:rPr>
        <w:t>通用办公家具样式与建筑装修风格协调一致，不做多余装饰，体现务实节俭的办公文化。零部件构成合理，拆装方便，结构功能尺寸设计符合人体工效学原理。</w:t>
      </w:r>
      <w:r>
        <w:rPr>
          <w:rFonts w:ascii="宋体" w:hAnsi="宋体"/>
          <w:szCs w:val="32"/>
        </w:rPr>
        <w:t xml:space="preserve">                            </w:t>
      </w:r>
    </w:p>
    <w:p w14:paraId="1DF79C2A">
      <w:pPr>
        <w:spacing w:line="360" w:lineRule="auto"/>
        <w:ind w:firstLine="420" w:firstLineChars="200"/>
        <w:rPr>
          <w:rFonts w:ascii="宋体" w:hAnsi="宋体"/>
          <w:szCs w:val="32"/>
        </w:rPr>
      </w:pPr>
      <w:r>
        <w:rPr>
          <w:rFonts w:ascii="宋体" w:hAnsi="宋体"/>
          <w:szCs w:val="32"/>
        </w:rPr>
        <w:t>安全要求：</w:t>
      </w:r>
      <w:r>
        <w:rPr>
          <w:rFonts w:hint="eastAsia" w:ascii="宋体" w:hAnsi="宋体"/>
          <w:szCs w:val="32"/>
        </w:rPr>
        <w:t>板材有害物质限量要求：甲醛释放量</w:t>
      </w:r>
      <w:r>
        <w:rPr>
          <w:rFonts w:hint="eastAsia" w:ascii="宋体" w:hAnsi="宋体" w:cs="东文宋体"/>
          <w:szCs w:val="32"/>
        </w:rPr>
        <w:t>≤</w:t>
      </w:r>
      <w:r>
        <w:rPr>
          <w:rFonts w:hint="eastAsia" w:ascii="宋体" w:hAnsi="宋体"/>
          <w:szCs w:val="32"/>
        </w:rPr>
        <w:t>0.05mg/m3，总挥发性有机化合物（TVOC）释放量</w:t>
      </w:r>
      <w:r>
        <w:rPr>
          <w:rFonts w:hint="eastAsia" w:ascii="宋体" w:hAnsi="宋体" w:cs="东文宋体"/>
          <w:szCs w:val="32"/>
        </w:rPr>
        <w:t>≤</w:t>
      </w:r>
      <w:r>
        <w:rPr>
          <w:rFonts w:hint="eastAsia" w:ascii="宋体" w:hAnsi="宋体"/>
          <w:szCs w:val="32"/>
        </w:rPr>
        <w:t>0.1mg/m3。座椅软包、织物中有害物质限量要求：皮革、纺织品面料漆具有可分解芳香胺染料。涂饰材料中重金属限量要求：可溶性铅</w:t>
      </w:r>
      <w:r>
        <w:rPr>
          <w:rFonts w:hint="eastAsia" w:ascii="宋体" w:hAnsi="宋体" w:cs="东文宋体"/>
          <w:szCs w:val="32"/>
        </w:rPr>
        <w:t>≤90</w:t>
      </w:r>
      <w:r>
        <w:rPr>
          <w:rFonts w:hint="eastAsia" w:ascii="宋体" w:hAnsi="宋体"/>
          <w:szCs w:val="32"/>
        </w:rPr>
        <w:t>mg/kg，可溶性镉</w:t>
      </w:r>
      <w:r>
        <w:rPr>
          <w:rFonts w:hint="eastAsia" w:ascii="宋体" w:hAnsi="宋体" w:cs="东文宋体"/>
          <w:szCs w:val="32"/>
        </w:rPr>
        <w:t>≤75</w:t>
      </w:r>
      <w:r>
        <w:rPr>
          <w:rFonts w:hint="eastAsia" w:ascii="宋体" w:hAnsi="宋体"/>
          <w:szCs w:val="32"/>
        </w:rPr>
        <w:t>mg/kg，可溶性铬</w:t>
      </w:r>
      <w:r>
        <w:rPr>
          <w:rFonts w:hint="eastAsia" w:ascii="宋体" w:hAnsi="宋体" w:cs="东文宋体"/>
          <w:szCs w:val="32"/>
        </w:rPr>
        <w:t>≤60</w:t>
      </w:r>
      <w:r>
        <w:rPr>
          <w:rFonts w:hint="eastAsia" w:ascii="宋体" w:hAnsi="宋体"/>
          <w:szCs w:val="32"/>
        </w:rPr>
        <w:t>mg/kg，可溶性汞</w:t>
      </w:r>
      <w:r>
        <w:rPr>
          <w:rFonts w:hint="eastAsia" w:ascii="宋体" w:hAnsi="宋体" w:cs="东文宋体"/>
          <w:szCs w:val="32"/>
        </w:rPr>
        <w:t>≤60</w:t>
      </w:r>
      <w:r>
        <w:rPr>
          <w:rFonts w:hint="eastAsia" w:ascii="宋体" w:hAnsi="宋体"/>
          <w:szCs w:val="32"/>
        </w:rPr>
        <w:t>mg/kg。</w:t>
      </w:r>
      <w:r>
        <w:rPr>
          <w:rFonts w:ascii="宋体" w:hAnsi="宋体"/>
          <w:szCs w:val="32"/>
        </w:rPr>
        <w:t xml:space="preserve">                           </w:t>
      </w:r>
    </w:p>
    <w:p w14:paraId="58B6E48E">
      <w:pPr>
        <w:adjustRightInd w:val="0"/>
        <w:spacing w:line="360" w:lineRule="auto"/>
        <w:ind w:firstLine="316" w:firstLineChars="150"/>
        <w:textAlignment w:val="baseline"/>
        <w:rPr>
          <w:rFonts w:ascii="宋体" w:hAnsi="宋体"/>
          <w:b/>
          <w:bCs/>
          <w:szCs w:val="21"/>
        </w:rPr>
      </w:pPr>
      <w:r>
        <w:rPr>
          <w:rFonts w:ascii="宋体" w:hAnsi="宋体"/>
          <w:b/>
          <w:bCs/>
          <w:szCs w:val="21"/>
        </w:rPr>
        <w:t>（</w:t>
      </w:r>
      <w:r>
        <w:rPr>
          <w:rFonts w:hint="eastAsia" w:ascii="宋体" w:hAnsi="宋体"/>
          <w:b/>
          <w:bCs/>
          <w:szCs w:val="21"/>
        </w:rPr>
        <w:t>七</w:t>
      </w:r>
      <w:r>
        <w:rPr>
          <w:rFonts w:ascii="宋体" w:hAnsi="宋体"/>
          <w:b/>
          <w:bCs/>
          <w:szCs w:val="21"/>
        </w:rPr>
        <w:t>）采购标的需满足的服务要求</w:t>
      </w:r>
    </w:p>
    <w:p w14:paraId="1B042938">
      <w:pPr>
        <w:spacing w:line="360" w:lineRule="auto"/>
        <w:ind w:firstLine="420" w:firstLineChars="200"/>
        <w:jc w:val="left"/>
        <w:rPr>
          <w:rFonts w:hint="eastAsia" w:ascii="宋体" w:hAnsi="宋体" w:cs="仿宋_GB2312"/>
          <w:szCs w:val="32"/>
        </w:rPr>
      </w:pPr>
      <w:r>
        <w:rPr>
          <w:rFonts w:hint="eastAsia" w:ascii="宋体" w:hAnsi="宋体" w:cs="仿宋_GB2312"/>
          <w:szCs w:val="32"/>
        </w:rPr>
        <w:t>1.包装和运输要求</w:t>
      </w:r>
    </w:p>
    <w:p w14:paraId="084CC776">
      <w:pPr>
        <w:spacing w:line="360" w:lineRule="auto"/>
        <w:ind w:firstLine="420" w:firstLineChars="200"/>
        <w:jc w:val="left"/>
        <w:rPr>
          <w:rFonts w:hint="eastAsia" w:ascii="宋体" w:hAnsi="宋体" w:cs="仿宋_GB2312"/>
          <w:szCs w:val="32"/>
        </w:rPr>
      </w:pPr>
      <w:r>
        <w:rPr>
          <w:rFonts w:hint="eastAsia" w:ascii="宋体" w:hAnsi="宋体" w:cs="仿宋_GB2312"/>
          <w:szCs w:val="32"/>
        </w:rPr>
        <w:t xml:space="preserve"> 投标人必须提供全新的原厂原装货物和完整的货物。由投标方负责货物等施工材料按相关规范进行包装、运输、装卸、安装、调试、技术、指导、培训、咨询、服务等。当该项目合同生效后，投标方最迟应在20日历日内完成该项目核心产品等施工材料的供货。投标人应负责货物的包装，必须结合该材料的特点给予足够的保护，在运输过程中不受风雨的侵蚀，要有防止高饱和的盐雾湿气侵入造成的腐蚀等措施。包装、运输和仓储所需的费用包含在投标总价中。                                                  </w:t>
      </w:r>
    </w:p>
    <w:p w14:paraId="7229BAEC">
      <w:pPr>
        <w:spacing w:line="360" w:lineRule="auto"/>
        <w:ind w:firstLine="420" w:firstLineChars="200"/>
        <w:jc w:val="left"/>
        <w:rPr>
          <w:rFonts w:hint="eastAsia" w:ascii="宋体" w:hAnsi="宋体" w:cs="仿宋_GB2312"/>
          <w:szCs w:val="32"/>
        </w:rPr>
      </w:pPr>
      <w:r>
        <w:rPr>
          <w:rFonts w:hint="eastAsia" w:ascii="宋体" w:hAnsi="宋体" w:cs="仿宋_GB2312"/>
          <w:szCs w:val="32"/>
        </w:rPr>
        <w:t>2.售后服务标准要求</w:t>
      </w:r>
    </w:p>
    <w:p w14:paraId="00F0697B">
      <w:pPr>
        <w:spacing w:line="360" w:lineRule="auto"/>
        <w:ind w:firstLine="420" w:firstLineChars="200"/>
        <w:jc w:val="left"/>
        <w:rPr>
          <w:rFonts w:hint="eastAsia" w:ascii="宋体" w:hAnsi="宋体" w:cs="仿宋_GB2312"/>
          <w:szCs w:val="32"/>
        </w:rPr>
      </w:pPr>
      <w:r>
        <w:rPr>
          <w:rFonts w:hint="eastAsia" w:ascii="宋体" w:hAnsi="宋体" w:cs="仿宋_GB2312"/>
          <w:szCs w:val="32"/>
        </w:rPr>
        <w:t>按原品牌保换保修标准执行；中标单位需提供明确的售后服务方案、培训方案、售后服务机构信息、售后服务联系人员及地点等。</w:t>
      </w:r>
    </w:p>
    <w:p w14:paraId="5167003A">
      <w:pPr>
        <w:spacing w:line="360" w:lineRule="auto"/>
        <w:ind w:firstLine="420" w:firstLineChars="200"/>
        <w:rPr>
          <w:rFonts w:hint="eastAsia" w:ascii="宋体" w:hAnsi="宋体" w:cs="仿宋_GB2312"/>
          <w:szCs w:val="32"/>
        </w:rPr>
      </w:pPr>
      <w:r>
        <w:rPr>
          <w:rFonts w:hint="eastAsia" w:ascii="宋体" w:hAnsi="宋体" w:cs="仿宋_GB2312"/>
          <w:szCs w:val="32"/>
        </w:rPr>
        <w:t>3.保险要求</w:t>
      </w:r>
    </w:p>
    <w:p w14:paraId="2E8C94DC">
      <w:pPr>
        <w:spacing w:line="360" w:lineRule="auto"/>
        <w:ind w:firstLine="420" w:firstLineChars="200"/>
        <w:rPr>
          <w:rFonts w:hint="eastAsia" w:ascii="宋体" w:hAnsi="宋体" w:cs="仿宋_GB2312"/>
          <w:szCs w:val="32"/>
        </w:rPr>
      </w:pPr>
      <w:r>
        <w:rPr>
          <w:rFonts w:hint="eastAsia" w:ascii="宋体" w:hAnsi="宋体" w:cs="仿宋_GB2312"/>
          <w:szCs w:val="32"/>
        </w:rPr>
        <w:t xml:space="preserve">   无                                             </w:t>
      </w:r>
    </w:p>
    <w:p w14:paraId="54F11194">
      <w:pPr>
        <w:spacing w:line="360" w:lineRule="auto"/>
        <w:ind w:firstLine="420" w:firstLineChars="200"/>
        <w:rPr>
          <w:rFonts w:hint="eastAsia" w:ascii="宋体" w:hAnsi="宋体" w:cs="仿宋_GB2312"/>
          <w:szCs w:val="32"/>
        </w:rPr>
      </w:pPr>
      <w:r>
        <w:rPr>
          <w:rFonts w:hint="eastAsia" w:ascii="宋体" w:hAnsi="宋体" w:cs="仿宋_GB2312"/>
          <w:szCs w:val="32"/>
        </w:rPr>
        <w:t>4.安装调试</w:t>
      </w:r>
    </w:p>
    <w:p w14:paraId="6D716685">
      <w:pPr>
        <w:spacing w:line="360" w:lineRule="auto"/>
        <w:ind w:firstLine="420" w:firstLineChars="200"/>
        <w:rPr>
          <w:rFonts w:ascii="宋体" w:hAnsi="宋体"/>
        </w:rPr>
      </w:pPr>
      <w:r>
        <w:rPr>
          <w:rFonts w:hint="eastAsia" w:ascii="宋体" w:hAnsi="宋体" w:cs="仿宋_GB2312"/>
          <w:szCs w:val="32"/>
        </w:rPr>
        <w:t>（1）合同签订后，由成交供应商负责将货物按签订合同的具体数量、具体地点运送到采购人指定地点，并负责委派技术人员到达现场进行安装、调试，成交供应商委派的技术人员应具有安装本次项目的实际工作经验，且负责调试至验收合格交付采购人使用。（2）成交供应商应在货物运抵现场3日历日前，向采购人提供安装、调试的进度计划表。（3）成交供应商应在合同规定的安装期内完成该项工作，如因成交供应商责任而造成延期，所有因延期而产生的费用由成交供应商承担。</w:t>
      </w:r>
    </w:p>
    <w:p w14:paraId="4D7A1D72">
      <w:pPr>
        <w:spacing w:line="360" w:lineRule="auto"/>
        <w:rPr>
          <w:rFonts w:hint="eastAsia" w:ascii="宋体" w:hAnsi="宋体" w:cs="仿宋_GB2312"/>
          <w:szCs w:val="32"/>
        </w:rPr>
      </w:pPr>
      <w:r>
        <w:rPr>
          <w:rFonts w:hint="eastAsia" w:ascii="宋体" w:hAnsi="宋体" w:cs="仿宋_GB2312"/>
          <w:szCs w:val="32"/>
        </w:rPr>
        <w:t>5.培训</w:t>
      </w:r>
    </w:p>
    <w:p w14:paraId="6CC9AB0A">
      <w:pPr>
        <w:spacing w:line="360" w:lineRule="auto"/>
        <w:rPr>
          <w:rFonts w:hint="eastAsia" w:ascii="宋体" w:hAnsi="宋体" w:cs="仿宋_GB2312"/>
          <w:szCs w:val="32"/>
        </w:rPr>
      </w:pPr>
      <w:r>
        <w:rPr>
          <w:rFonts w:hint="eastAsia" w:ascii="宋体" w:hAnsi="宋体" w:cs="仿宋_GB2312"/>
          <w:szCs w:val="32"/>
        </w:rPr>
        <w:t>中标人应负责免费对用户的操作、维修、保养的人员进行培训</w:t>
      </w:r>
      <w:r>
        <w:rPr>
          <w:rFonts w:hint="eastAsia" w:ascii="宋体" w:hAnsi="宋体"/>
          <w:szCs w:val="32"/>
        </w:rPr>
        <w:t>，使参加培训人员掌握基本的操作规范，确保操作合规准确，</w:t>
      </w:r>
      <w:r>
        <w:rPr>
          <w:rFonts w:hint="eastAsia" w:ascii="宋体" w:hAnsi="宋体" w:cs="仿宋_GB2312"/>
          <w:szCs w:val="32"/>
        </w:rPr>
        <w:t xml:space="preserve">具体培训时间和培训方案应由双方协商制定。 </w:t>
      </w:r>
    </w:p>
    <w:p w14:paraId="00D7F6AD">
      <w:pPr>
        <w:spacing w:line="360" w:lineRule="auto"/>
        <w:ind w:firstLine="420" w:firstLineChars="200"/>
        <w:rPr>
          <w:rFonts w:hint="eastAsia" w:ascii="宋体" w:hAnsi="宋体" w:cs="仿宋_GB2312"/>
          <w:szCs w:val="32"/>
        </w:rPr>
      </w:pPr>
      <w:r>
        <w:rPr>
          <w:rFonts w:hint="eastAsia" w:ascii="宋体" w:hAnsi="宋体" w:cs="仿宋_GB2312"/>
          <w:szCs w:val="32"/>
        </w:rPr>
        <w:t>6.本项目质量保证期要求不低于 5年。质量保证期从货物供货、安装、调试正常且验收合格后开始计算。</w:t>
      </w:r>
    </w:p>
    <w:p w14:paraId="1EE0BDB3">
      <w:pPr>
        <w:spacing w:line="360" w:lineRule="auto"/>
        <w:ind w:firstLine="420" w:firstLineChars="200"/>
        <w:rPr>
          <w:rFonts w:hint="eastAsia" w:ascii="宋体" w:hAnsi="宋体" w:cs="仿宋_GB2312"/>
          <w:szCs w:val="32"/>
        </w:rPr>
      </w:pPr>
      <w:r>
        <w:rPr>
          <w:rFonts w:hint="eastAsia" w:ascii="宋体" w:hAnsi="宋体" w:cs="仿宋_GB2312"/>
          <w:szCs w:val="32"/>
        </w:rPr>
        <w:t>7.服务响应</w:t>
      </w:r>
    </w:p>
    <w:p w14:paraId="758A1974">
      <w:pPr>
        <w:pStyle w:val="2"/>
        <w:spacing w:line="360" w:lineRule="auto"/>
        <w:rPr>
          <w:rFonts w:hint="eastAsia" w:ascii="宋体" w:hAnsi="宋体"/>
        </w:rPr>
      </w:pPr>
      <w:r>
        <w:rPr>
          <w:rFonts w:hint="eastAsia" w:ascii="宋体" w:hAnsi="宋体" w:cs="仿宋_GB2312"/>
          <w:szCs w:val="32"/>
        </w:rPr>
        <w:t>保修期内，设备如发生故障，中标人维修人员应在接到故障通知后 12 小时内赴故障现场对设备进行抢修；如需更换小部件，应在接到故障通知 48小时内更换修理完毕；如要更换大部件，应在接到故障通知 3 天内更换修理完毕。</w:t>
      </w:r>
    </w:p>
    <w:p w14:paraId="79ACBADB">
      <w:pPr>
        <w:numPr>
          <w:ilvl w:val="0"/>
          <w:numId w:val="2"/>
        </w:numPr>
        <w:spacing w:line="360" w:lineRule="auto"/>
        <w:rPr>
          <w:rFonts w:ascii="宋体" w:hAnsi="宋体" w:cs="宋体"/>
          <w:b/>
          <w:bCs/>
          <w:color w:val="000000"/>
          <w:szCs w:val="21"/>
        </w:rPr>
      </w:pPr>
      <w:r>
        <w:rPr>
          <w:rFonts w:ascii="宋体" w:hAnsi="宋体" w:cs="宋体"/>
          <w:b/>
          <w:bCs/>
          <w:color w:val="000000"/>
          <w:szCs w:val="21"/>
        </w:rPr>
        <w:t>采购标的验收方案和标准</w:t>
      </w:r>
    </w:p>
    <w:p w14:paraId="0260FD96">
      <w:pPr>
        <w:spacing w:line="360" w:lineRule="auto"/>
        <w:ind w:firstLine="420" w:firstLineChars="200"/>
        <w:jc w:val="left"/>
        <w:rPr>
          <w:rFonts w:hint="eastAsia" w:ascii="宋体" w:hAnsi="宋体" w:cs="仿宋_GB2312"/>
          <w:szCs w:val="21"/>
        </w:rPr>
      </w:pPr>
      <w:r>
        <w:rPr>
          <w:rFonts w:hint="eastAsia" w:ascii="宋体" w:hAnsi="宋体" w:cs="仿宋_GB2312"/>
          <w:szCs w:val="21"/>
        </w:rPr>
        <w:t>1.履约验收主体</w:t>
      </w:r>
    </w:p>
    <w:p w14:paraId="5B44D602">
      <w:pPr>
        <w:spacing w:line="360" w:lineRule="auto"/>
        <w:ind w:firstLine="420" w:firstLineChars="200"/>
        <w:jc w:val="left"/>
        <w:rPr>
          <w:rFonts w:hint="eastAsia" w:ascii="宋体" w:hAnsi="宋体" w:cs="仿宋_GB2312"/>
          <w:szCs w:val="21"/>
        </w:rPr>
      </w:pPr>
      <w:r>
        <w:rPr>
          <w:rFonts w:hint="eastAsia" w:ascii="宋体" w:hAnsi="宋体" w:cs="仿宋_GB2312"/>
          <w:szCs w:val="21"/>
        </w:rPr>
        <w:t>1.1采购单位：</w:t>
      </w:r>
      <w:r>
        <w:rPr>
          <w:rFonts w:hint="eastAsia" w:ascii="宋体" w:hAnsi="宋体" w:cs="宋体"/>
          <w:szCs w:val="21"/>
        </w:rPr>
        <w:t>中华人民共和国罗湖出入境边防检查站</w:t>
      </w:r>
      <w:r>
        <w:rPr>
          <w:rFonts w:hint="eastAsia" w:ascii="宋体" w:hAnsi="宋体" w:cs="仿宋_GB2312"/>
          <w:szCs w:val="21"/>
        </w:rPr>
        <w:t xml:space="preserve">                                </w:t>
      </w:r>
    </w:p>
    <w:p w14:paraId="6C24FA8E">
      <w:pPr>
        <w:spacing w:line="360" w:lineRule="auto"/>
        <w:ind w:firstLine="420" w:firstLineChars="200"/>
        <w:jc w:val="left"/>
        <w:rPr>
          <w:rFonts w:hint="eastAsia" w:ascii="宋体" w:hAnsi="宋体" w:cs="仿宋_GB2312"/>
          <w:szCs w:val="21"/>
        </w:rPr>
      </w:pPr>
      <w:r>
        <w:rPr>
          <w:rFonts w:hint="eastAsia" w:ascii="宋体" w:hAnsi="宋体" w:cs="仿宋_GB2312"/>
          <w:szCs w:val="21"/>
        </w:rPr>
        <w:t>1.2是否选择代理机构：</w:t>
      </w:r>
      <w:r>
        <w:rPr>
          <w:rFonts w:hint="eastAsia" w:ascii="宋体" w:hAnsi="宋体" w:cs="仿宋_GB2312"/>
          <w:szCs w:val="21"/>
        </w:rPr>
        <w:tab/>
      </w:r>
      <w:r>
        <w:rPr>
          <w:rFonts w:hint="eastAsia" w:ascii="宋体" w:hAnsi="宋体" w:cs="仿宋_GB2312"/>
          <w:szCs w:val="21"/>
        </w:rPr>
        <w:sym w:font="Wingdings 2" w:char="00A3"/>
      </w:r>
      <w:r>
        <w:rPr>
          <w:rFonts w:hint="eastAsia" w:ascii="宋体" w:hAnsi="宋体" w:cs="仿宋_GB2312"/>
          <w:szCs w:val="21"/>
        </w:rPr>
        <w:t>是</w:t>
      </w:r>
      <w:r>
        <w:rPr>
          <w:rFonts w:hint="eastAsia" w:ascii="宋体" w:hAnsi="宋体" w:cs="仿宋_GB2312"/>
          <w:szCs w:val="21"/>
        </w:rPr>
        <w:tab/>
      </w:r>
      <w:r>
        <w:rPr>
          <w:rFonts w:hint="eastAsia" w:ascii="宋体" w:hAnsi="宋体" w:cs="仿宋_GB2312"/>
          <w:szCs w:val="21"/>
        </w:rPr>
        <w:sym w:font="Wingdings 2" w:char="0052"/>
      </w:r>
      <w:r>
        <w:rPr>
          <w:rFonts w:hint="eastAsia" w:ascii="宋体" w:hAnsi="宋体" w:cs="仿宋_GB2312"/>
          <w:szCs w:val="21"/>
        </w:rPr>
        <w:t>否</w:t>
      </w:r>
    </w:p>
    <w:p w14:paraId="71001DC1">
      <w:pPr>
        <w:spacing w:line="360" w:lineRule="auto"/>
        <w:ind w:firstLine="420" w:firstLineChars="200"/>
        <w:jc w:val="left"/>
        <w:rPr>
          <w:rFonts w:hint="eastAsia" w:ascii="宋体" w:hAnsi="宋体" w:cs="仿宋_GB2312"/>
          <w:szCs w:val="21"/>
        </w:rPr>
      </w:pPr>
      <w:r>
        <w:rPr>
          <w:rFonts w:hint="eastAsia" w:ascii="宋体" w:hAnsi="宋体" w:cs="仿宋_GB2312"/>
          <w:szCs w:val="21"/>
        </w:rPr>
        <w:t>1.3是否邀请本项目的其他供应商：</w:t>
      </w:r>
      <w:r>
        <w:rPr>
          <w:rFonts w:hint="eastAsia" w:ascii="宋体" w:hAnsi="宋体" w:cs="仿宋_GB2312"/>
          <w:szCs w:val="21"/>
        </w:rPr>
        <w:tab/>
      </w:r>
      <w:r>
        <w:rPr>
          <w:rFonts w:hint="eastAsia" w:ascii="宋体" w:hAnsi="宋体" w:cs="仿宋_GB2312"/>
          <w:szCs w:val="21"/>
        </w:rPr>
        <w:sym w:font="Wingdings 2" w:char="00A3"/>
      </w:r>
      <w:r>
        <w:rPr>
          <w:rFonts w:hint="eastAsia" w:ascii="宋体" w:hAnsi="宋体" w:cs="仿宋_GB2312"/>
          <w:szCs w:val="21"/>
        </w:rPr>
        <w:t>是</w:t>
      </w:r>
      <w:r>
        <w:rPr>
          <w:rFonts w:hint="eastAsia" w:ascii="宋体" w:hAnsi="宋体" w:cs="仿宋_GB2312"/>
          <w:szCs w:val="21"/>
        </w:rPr>
        <w:tab/>
      </w:r>
      <w:r>
        <w:rPr>
          <w:rFonts w:hint="eastAsia" w:ascii="宋体" w:hAnsi="宋体" w:cs="仿宋_GB2312"/>
          <w:szCs w:val="21"/>
        </w:rPr>
        <w:sym w:font="Wingdings 2" w:char="0052"/>
      </w:r>
      <w:r>
        <w:rPr>
          <w:rFonts w:hint="eastAsia" w:ascii="宋体" w:hAnsi="宋体" w:cs="仿宋_GB2312"/>
          <w:szCs w:val="21"/>
        </w:rPr>
        <w:t>否</w:t>
      </w:r>
    </w:p>
    <w:p w14:paraId="5E3A61A4">
      <w:pPr>
        <w:spacing w:line="360" w:lineRule="auto"/>
        <w:ind w:firstLine="420" w:firstLineChars="200"/>
        <w:jc w:val="left"/>
        <w:rPr>
          <w:rFonts w:hint="eastAsia" w:ascii="宋体" w:hAnsi="宋体" w:cs="仿宋_GB2312"/>
          <w:szCs w:val="21"/>
        </w:rPr>
      </w:pPr>
      <w:r>
        <w:rPr>
          <w:rFonts w:hint="eastAsia" w:ascii="宋体" w:hAnsi="宋体" w:cs="仿宋_GB2312"/>
          <w:szCs w:val="21"/>
        </w:rPr>
        <w:t>1.4是否邀请专家：</w:t>
      </w:r>
      <w:r>
        <w:rPr>
          <w:rFonts w:hint="eastAsia" w:ascii="宋体" w:hAnsi="宋体" w:cs="仿宋_GB2312"/>
          <w:szCs w:val="21"/>
        </w:rPr>
        <w:tab/>
      </w:r>
      <w:r>
        <w:rPr>
          <w:rFonts w:hint="eastAsia" w:ascii="宋体" w:hAnsi="宋体" w:cs="仿宋_GB2312"/>
          <w:szCs w:val="21"/>
        </w:rPr>
        <w:sym w:font="Wingdings 2" w:char="00A3"/>
      </w:r>
      <w:r>
        <w:rPr>
          <w:rFonts w:hint="eastAsia" w:ascii="宋体" w:hAnsi="宋体" w:cs="仿宋_GB2312"/>
          <w:szCs w:val="21"/>
        </w:rPr>
        <w:t>是</w:t>
      </w:r>
      <w:r>
        <w:rPr>
          <w:rFonts w:hint="eastAsia" w:ascii="宋体" w:hAnsi="宋体" w:cs="仿宋_GB2312"/>
          <w:szCs w:val="21"/>
        </w:rPr>
        <w:tab/>
      </w:r>
      <w:r>
        <w:rPr>
          <w:rFonts w:hint="eastAsia" w:ascii="宋体" w:hAnsi="宋体" w:cs="仿宋_GB2312"/>
          <w:szCs w:val="21"/>
        </w:rPr>
        <w:sym w:font="Wingdings 2" w:char="0052"/>
      </w:r>
      <w:r>
        <w:rPr>
          <w:rFonts w:hint="eastAsia" w:ascii="宋体" w:hAnsi="宋体" w:cs="仿宋_GB2312"/>
          <w:szCs w:val="21"/>
        </w:rPr>
        <w:t>否</w:t>
      </w:r>
    </w:p>
    <w:p w14:paraId="6CF866E2">
      <w:pPr>
        <w:spacing w:line="360" w:lineRule="auto"/>
        <w:ind w:firstLine="420" w:firstLineChars="200"/>
        <w:jc w:val="left"/>
        <w:rPr>
          <w:rFonts w:hint="eastAsia" w:ascii="宋体" w:hAnsi="宋体" w:cs="仿宋_GB2312"/>
          <w:szCs w:val="21"/>
        </w:rPr>
      </w:pPr>
      <w:r>
        <w:rPr>
          <w:rFonts w:hint="eastAsia" w:ascii="宋体" w:hAnsi="宋体" w:cs="仿宋_GB2312"/>
          <w:szCs w:val="21"/>
        </w:rPr>
        <w:t>1.5是否邀请服务对象：</w:t>
      </w:r>
      <w:r>
        <w:rPr>
          <w:rFonts w:hint="eastAsia" w:ascii="宋体" w:hAnsi="宋体" w:cs="仿宋_GB2312"/>
          <w:szCs w:val="21"/>
        </w:rPr>
        <w:tab/>
      </w:r>
      <w:r>
        <w:rPr>
          <w:rFonts w:hint="eastAsia" w:ascii="宋体" w:hAnsi="宋体" w:cs="仿宋_GB2312"/>
          <w:szCs w:val="21"/>
        </w:rPr>
        <w:sym w:font="Wingdings 2" w:char="00A3"/>
      </w:r>
      <w:r>
        <w:rPr>
          <w:rFonts w:hint="eastAsia" w:ascii="宋体" w:hAnsi="宋体" w:cs="仿宋_GB2312"/>
          <w:szCs w:val="21"/>
        </w:rPr>
        <w:t>是</w:t>
      </w:r>
      <w:r>
        <w:rPr>
          <w:rFonts w:hint="eastAsia" w:ascii="宋体" w:hAnsi="宋体" w:cs="仿宋_GB2312"/>
          <w:szCs w:val="21"/>
        </w:rPr>
        <w:tab/>
      </w:r>
      <w:r>
        <w:rPr>
          <w:rFonts w:hint="eastAsia" w:ascii="宋体" w:hAnsi="宋体" w:cs="仿宋_GB2312"/>
          <w:szCs w:val="21"/>
        </w:rPr>
        <w:sym w:font="Wingdings 2" w:char="0052"/>
      </w:r>
      <w:r>
        <w:rPr>
          <w:rFonts w:hint="eastAsia" w:ascii="宋体" w:hAnsi="宋体" w:cs="仿宋_GB2312"/>
          <w:szCs w:val="21"/>
        </w:rPr>
        <w:t>否</w:t>
      </w:r>
    </w:p>
    <w:p w14:paraId="6CBC3BD4">
      <w:pPr>
        <w:spacing w:line="360" w:lineRule="auto"/>
        <w:ind w:firstLine="420" w:firstLineChars="200"/>
        <w:jc w:val="left"/>
        <w:rPr>
          <w:rFonts w:hint="eastAsia" w:ascii="宋体" w:hAnsi="宋体" w:cs="仿宋_GB2312"/>
          <w:szCs w:val="21"/>
        </w:rPr>
      </w:pPr>
      <w:r>
        <w:rPr>
          <w:rFonts w:hint="eastAsia" w:ascii="宋体" w:hAnsi="宋体" w:cs="仿宋_GB2312"/>
          <w:szCs w:val="21"/>
        </w:rPr>
        <w:t xml:space="preserve">2.履约验收时间： 签订合同后 20 日历日内，完成货物的交付、安装、调试。货物经过双方检验认可后，签署验收报告，产品保修期自验收合格之日起算。 </w:t>
      </w:r>
    </w:p>
    <w:p w14:paraId="471F611D">
      <w:pPr>
        <w:spacing w:line="360" w:lineRule="auto"/>
        <w:ind w:firstLine="420" w:firstLineChars="200"/>
        <w:jc w:val="left"/>
        <w:rPr>
          <w:rFonts w:hint="eastAsia" w:ascii="宋体" w:hAnsi="宋体" w:cs="仿宋_GB2312"/>
          <w:szCs w:val="21"/>
        </w:rPr>
      </w:pPr>
      <w:r>
        <w:rPr>
          <w:rFonts w:hint="eastAsia" w:ascii="宋体" w:hAnsi="宋体" w:cs="仿宋_GB2312"/>
          <w:szCs w:val="21"/>
        </w:rPr>
        <w:t>3.履约验收方式：</w:t>
      </w:r>
      <w:r>
        <w:rPr>
          <w:rFonts w:hint="eastAsia" w:ascii="宋体" w:hAnsi="宋体" w:cs="仿宋_GB2312"/>
          <w:szCs w:val="21"/>
        </w:rPr>
        <w:sym w:font="Wingdings 2" w:char="0052"/>
      </w:r>
      <w:r>
        <w:rPr>
          <w:rFonts w:hint="eastAsia" w:ascii="宋体" w:hAnsi="宋体" w:cs="仿宋_GB2312"/>
          <w:szCs w:val="21"/>
        </w:rPr>
        <w:t xml:space="preserve">简易程序  </w:t>
      </w:r>
      <w:r>
        <w:rPr>
          <w:rFonts w:hint="eastAsia" w:ascii="宋体" w:hAnsi="宋体" w:cs="仿宋_GB2312"/>
          <w:szCs w:val="21"/>
        </w:rPr>
        <w:sym w:font="Wingdings 2" w:char="00A3"/>
      </w:r>
      <w:r>
        <w:rPr>
          <w:rFonts w:hint="eastAsia" w:ascii="宋体" w:hAnsi="宋体" w:cs="仿宋_GB2312"/>
          <w:szCs w:val="21"/>
        </w:rPr>
        <w:t>一般程序</w:t>
      </w:r>
    </w:p>
    <w:p w14:paraId="5EF1E3EE">
      <w:pPr>
        <w:spacing w:line="360" w:lineRule="auto"/>
        <w:ind w:firstLine="420" w:firstLineChars="200"/>
        <w:jc w:val="left"/>
        <w:rPr>
          <w:rFonts w:hint="eastAsia" w:ascii="宋体" w:hAnsi="宋体" w:cs="仿宋_GB2312"/>
          <w:szCs w:val="21"/>
        </w:rPr>
      </w:pPr>
      <w:r>
        <w:rPr>
          <w:rFonts w:hint="eastAsia" w:ascii="宋体" w:hAnsi="宋体" w:cs="仿宋_GB2312"/>
          <w:szCs w:val="21"/>
        </w:rPr>
        <w:t>4.履约验收程序：</w:t>
      </w:r>
      <w:r>
        <w:rPr>
          <w:rFonts w:hint="eastAsia" w:ascii="宋体" w:hAnsi="宋体" w:cs="仿宋_GB2312"/>
          <w:szCs w:val="21"/>
        </w:rPr>
        <w:sym w:font="Wingdings 2" w:char="0052"/>
      </w:r>
      <w:r>
        <w:rPr>
          <w:rFonts w:hint="eastAsia" w:ascii="宋体" w:hAnsi="宋体" w:cs="仿宋_GB2312"/>
          <w:szCs w:val="21"/>
        </w:rPr>
        <w:t>一次性验收</w:t>
      </w:r>
      <w:r>
        <w:rPr>
          <w:rFonts w:hint="eastAsia" w:ascii="宋体" w:hAnsi="宋体" w:cs="仿宋_GB2312"/>
          <w:szCs w:val="21"/>
        </w:rPr>
        <w:sym w:font="Wingdings 2" w:char="00A3"/>
      </w:r>
      <w:r>
        <w:rPr>
          <w:rFonts w:hint="eastAsia" w:ascii="宋体" w:hAnsi="宋体" w:cs="仿宋_GB2312"/>
          <w:szCs w:val="21"/>
        </w:rPr>
        <w:t>分段验收</w:t>
      </w:r>
      <w:r>
        <w:rPr>
          <w:rFonts w:hint="eastAsia" w:ascii="宋体" w:hAnsi="宋体" w:cs="仿宋_GB2312"/>
          <w:szCs w:val="21"/>
        </w:rPr>
        <w:sym w:font="Wingdings 2" w:char="00A3"/>
      </w:r>
      <w:r>
        <w:rPr>
          <w:rFonts w:hint="eastAsia" w:ascii="宋体" w:hAnsi="宋体" w:cs="仿宋_GB2312"/>
          <w:szCs w:val="21"/>
        </w:rPr>
        <w:t>分期验收</w:t>
      </w:r>
    </w:p>
    <w:p w14:paraId="64C94B24">
      <w:pPr>
        <w:spacing w:line="360" w:lineRule="auto"/>
        <w:ind w:firstLine="420" w:firstLineChars="200"/>
        <w:jc w:val="left"/>
        <w:rPr>
          <w:rFonts w:hint="eastAsia" w:ascii="宋体" w:hAnsi="宋体" w:cs="仿宋_GB2312"/>
          <w:szCs w:val="21"/>
        </w:rPr>
      </w:pPr>
      <w:r>
        <w:rPr>
          <w:rFonts w:hint="eastAsia" w:ascii="宋体" w:hAnsi="宋体" w:cs="仿宋_GB2312"/>
          <w:szCs w:val="21"/>
        </w:rPr>
        <w:t>5.履约验收内容</w:t>
      </w:r>
    </w:p>
    <w:p w14:paraId="6F5F0EDC">
      <w:pPr>
        <w:spacing w:line="360" w:lineRule="auto"/>
        <w:ind w:firstLine="420" w:firstLineChars="200"/>
        <w:jc w:val="left"/>
        <w:rPr>
          <w:rFonts w:hint="eastAsia" w:ascii="宋体" w:hAnsi="宋体" w:cs="仿宋_GB2312"/>
          <w:iCs/>
          <w:szCs w:val="21"/>
        </w:rPr>
      </w:pPr>
      <w:r>
        <w:rPr>
          <w:rFonts w:hint="eastAsia" w:ascii="宋体" w:hAnsi="宋体" w:cs="仿宋_GB2312"/>
          <w:iCs/>
          <w:szCs w:val="21"/>
        </w:rPr>
        <w:t>5.1技术履约内容</w:t>
      </w:r>
    </w:p>
    <w:p w14:paraId="338D3305">
      <w:pPr>
        <w:spacing w:line="360" w:lineRule="auto"/>
        <w:ind w:firstLine="420"/>
        <w:jc w:val="left"/>
        <w:rPr>
          <w:rFonts w:hint="eastAsia" w:ascii="宋体" w:hAnsi="宋体" w:cs="仿宋_GB2312"/>
          <w:szCs w:val="21"/>
        </w:rPr>
      </w:pPr>
      <w:r>
        <w:rPr>
          <w:rFonts w:hint="eastAsia" w:ascii="宋体" w:hAnsi="宋体" w:cs="仿宋_GB2312"/>
          <w:szCs w:val="21"/>
        </w:rPr>
        <w:t xml:space="preserve"> 当满足以下条件时，采购人才向中标人签发货物验收报告：</w:t>
      </w:r>
    </w:p>
    <w:p w14:paraId="51D334AA">
      <w:pPr>
        <w:spacing w:line="360" w:lineRule="auto"/>
        <w:ind w:firstLine="420"/>
        <w:jc w:val="left"/>
        <w:rPr>
          <w:rFonts w:hint="eastAsia" w:ascii="宋体" w:hAnsi="宋体" w:cs="仿宋_GB2312"/>
          <w:szCs w:val="21"/>
        </w:rPr>
      </w:pPr>
      <w:r>
        <w:rPr>
          <w:rFonts w:hint="eastAsia" w:ascii="宋体" w:hAnsi="宋体" w:cs="仿宋_GB2312"/>
          <w:szCs w:val="21"/>
        </w:rPr>
        <w:t>（1）中标人已按照合同规定提供了全部产品及相关技术资料。</w:t>
      </w:r>
    </w:p>
    <w:p w14:paraId="7E2C3F2D">
      <w:pPr>
        <w:spacing w:line="360" w:lineRule="auto"/>
        <w:ind w:firstLine="420"/>
        <w:jc w:val="left"/>
        <w:rPr>
          <w:rFonts w:hint="eastAsia" w:ascii="宋体" w:hAnsi="宋体" w:cs="仿宋_GB2312"/>
          <w:szCs w:val="21"/>
        </w:rPr>
      </w:pPr>
      <w:r>
        <w:rPr>
          <w:rFonts w:hint="eastAsia" w:ascii="宋体" w:hAnsi="宋体" w:cs="仿宋_GB2312"/>
          <w:szCs w:val="21"/>
        </w:rPr>
        <w:t xml:space="preserve">（2）货物符合招标文件技术规格书的要求，性能满足要求。                                                                  </w:t>
      </w:r>
    </w:p>
    <w:p w14:paraId="4CABF538">
      <w:pPr>
        <w:spacing w:line="360" w:lineRule="auto"/>
        <w:ind w:firstLine="420" w:firstLineChars="200"/>
        <w:jc w:val="left"/>
        <w:rPr>
          <w:rFonts w:hint="eastAsia" w:ascii="宋体" w:hAnsi="宋体" w:cs="仿宋_GB2312"/>
          <w:iCs/>
          <w:szCs w:val="21"/>
        </w:rPr>
      </w:pPr>
      <w:r>
        <w:rPr>
          <w:rFonts w:hint="eastAsia" w:ascii="宋体" w:hAnsi="宋体" w:cs="仿宋_GB2312"/>
          <w:iCs/>
          <w:szCs w:val="21"/>
        </w:rPr>
        <w:t>5.2商务履约内容</w:t>
      </w:r>
    </w:p>
    <w:p w14:paraId="397DEF78">
      <w:pPr>
        <w:spacing w:line="360" w:lineRule="auto"/>
        <w:ind w:firstLine="420" w:firstLineChars="200"/>
        <w:jc w:val="left"/>
        <w:rPr>
          <w:rFonts w:hint="eastAsia" w:ascii="宋体" w:hAnsi="宋体" w:cs="仿宋_GB2312"/>
          <w:szCs w:val="21"/>
        </w:rPr>
      </w:pPr>
      <w:r>
        <w:rPr>
          <w:rFonts w:hint="eastAsia" w:ascii="宋体" w:hAnsi="宋体" w:cs="仿宋_GB2312"/>
          <w:szCs w:val="21"/>
        </w:rPr>
        <w:t>（1）中标单位必须提供全新的原厂原装货物和完善的服务。</w:t>
      </w:r>
    </w:p>
    <w:p w14:paraId="39A30643">
      <w:pPr>
        <w:pStyle w:val="2"/>
        <w:spacing w:line="360" w:lineRule="auto"/>
        <w:ind w:firstLine="420" w:firstLineChars="200"/>
        <w:rPr>
          <w:rFonts w:hint="eastAsia" w:ascii="宋体" w:hAnsi="宋体" w:cs="仿宋_GB2312"/>
          <w:szCs w:val="21"/>
        </w:rPr>
      </w:pPr>
      <w:r>
        <w:rPr>
          <w:rFonts w:hint="eastAsia" w:ascii="宋体" w:hAnsi="宋体" w:cs="仿宋_GB2312"/>
          <w:szCs w:val="21"/>
        </w:rPr>
        <w:t>（2）中标单位应在签订合同后 20日历日内，完成货物的交付、安装、调试。</w:t>
      </w:r>
    </w:p>
    <w:p w14:paraId="27C0FC96">
      <w:pPr>
        <w:spacing w:line="360" w:lineRule="auto"/>
        <w:ind w:firstLine="420" w:firstLineChars="200"/>
        <w:jc w:val="left"/>
        <w:rPr>
          <w:rFonts w:hint="eastAsia" w:ascii="宋体" w:hAnsi="宋体" w:cs="仿宋_GB2312"/>
          <w:szCs w:val="21"/>
        </w:rPr>
      </w:pPr>
      <w:r>
        <w:rPr>
          <w:rFonts w:hint="eastAsia" w:ascii="宋体" w:hAnsi="宋体" w:cs="仿宋_GB2312"/>
          <w:szCs w:val="21"/>
        </w:rPr>
        <w:t>（3）中标单位需提供明确的售后服务方案、培训方案、售后服务机构信息、售后服务联系人员及地点等。</w:t>
      </w:r>
    </w:p>
    <w:p w14:paraId="153F1414">
      <w:pPr>
        <w:spacing w:line="360" w:lineRule="auto"/>
        <w:ind w:firstLine="420" w:firstLineChars="200"/>
        <w:jc w:val="left"/>
        <w:rPr>
          <w:rFonts w:hint="eastAsia" w:ascii="宋体" w:hAnsi="宋体" w:cs="仿宋_GB2312"/>
          <w:szCs w:val="21"/>
        </w:rPr>
      </w:pPr>
      <w:r>
        <w:rPr>
          <w:rFonts w:hint="eastAsia" w:ascii="宋体" w:hAnsi="宋体" w:cs="仿宋_GB2312"/>
          <w:szCs w:val="21"/>
        </w:rPr>
        <w:t xml:space="preserve">（4）中标单位应负责免费对用户的操作、维修、保养的人员进行培训。                                                            </w:t>
      </w:r>
    </w:p>
    <w:p w14:paraId="43C343B2">
      <w:pPr>
        <w:spacing w:line="360" w:lineRule="auto"/>
        <w:ind w:firstLine="420" w:firstLineChars="200"/>
        <w:jc w:val="left"/>
        <w:rPr>
          <w:rFonts w:hint="eastAsia" w:ascii="宋体" w:hAnsi="宋体" w:cs="仿宋_GB2312"/>
          <w:szCs w:val="21"/>
        </w:rPr>
      </w:pPr>
      <w:r>
        <w:rPr>
          <w:rFonts w:hint="eastAsia" w:ascii="宋体" w:hAnsi="宋体" w:cs="仿宋_GB2312"/>
          <w:szCs w:val="21"/>
        </w:rPr>
        <w:t>6.履约验收标准</w:t>
      </w:r>
    </w:p>
    <w:p w14:paraId="49D8375B">
      <w:pPr>
        <w:pStyle w:val="2"/>
        <w:spacing w:line="360" w:lineRule="auto"/>
        <w:rPr>
          <w:rFonts w:hint="eastAsia" w:ascii="宋体" w:hAnsi="宋体" w:cs="仿宋_GB2312"/>
          <w:szCs w:val="21"/>
        </w:rPr>
      </w:pPr>
      <w:r>
        <w:rPr>
          <w:rFonts w:hint="eastAsia" w:ascii="宋体" w:hAnsi="宋体" w:cs="仿宋_GB2312"/>
          <w:szCs w:val="21"/>
        </w:rPr>
        <w:t>（1）中标人应将设备的用户手册、保修手册、有关单证资料及配备件、随机工具等交付给采购人，使用操作及安全须知等重要资料应附有中文说明。</w:t>
      </w:r>
    </w:p>
    <w:p w14:paraId="6CF6C130">
      <w:pPr>
        <w:spacing w:line="360" w:lineRule="auto"/>
        <w:ind w:firstLine="420"/>
        <w:jc w:val="left"/>
        <w:rPr>
          <w:rFonts w:hint="eastAsia" w:ascii="宋体" w:hAnsi="宋体" w:cs="仿宋_GB2312"/>
          <w:szCs w:val="21"/>
        </w:rPr>
      </w:pPr>
      <w:r>
        <w:rPr>
          <w:rFonts w:hint="eastAsia" w:ascii="宋体" w:hAnsi="宋体" w:cs="仿宋_GB2312"/>
          <w:szCs w:val="21"/>
        </w:rPr>
        <w:t xml:space="preserve">（2）货物若有国家标准按照国家标准验收，若无国家标准按行业标准验收，为原制造商制造的全新产品，设备无污染，无侵权行为、表面无划损、无任何缺陷隐患，在中国境内可依常规安全合法使用。  </w:t>
      </w:r>
    </w:p>
    <w:p w14:paraId="140999D3">
      <w:pPr>
        <w:pStyle w:val="2"/>
        <w:spacing w:line="360" w:lineRule="auto"/>
        <w:rPr>
          <w:rFonts w:ascii="宋体" w:hAnsi="宋体"/>
          <w:szCs w:val="21"/>
        </w:rPr>
      </w:pPr>
      <w:r>
        <w:rPr>
          <w:rFonts w:hint="eastAsia" w:ascii="宋体" w:hAnsi="宋体" w:cs="仿宋_GB2312"/>
          <w:szCs w:val="21"/>
        </w:rPr>
        <w:t xml:space="preserve">   （3）因货物质量问题发生争议时，由本地质量技术监督部门鉴定。货物符合质量技术标准的，鉴定费由采购人承担；否则鉴定费由中标人承担。</w:t>
      </w:r>
    </w:p>
    <w:p w14:paraId="08FC9898">
      <w:pPr>
        <w:spacing w:line="360" w:lineRule="auto"/>
        <w:ind w:firstLine="424" w:firstLineChars="201"/>
        <w:rPr>
          <w:rFonts w:ascii="宋体" w:hAnsi="宋体"/>
          <w:b/>
          <w:bCs/>
          <w:szCs w:val="21"/>
        </w:rPr>
      </w:pPr>
      <w:r>
        <w:rPr>
          <w:rFonts w:ascii="宋体" w:hAnsi="宋体"/>
          <w:b/>
          <w:bCs/>
          <w:szCs w:val="21"/>
        </w:rPr>
        <w:t>（</w:t>
      </w:r>
      <w:r>
        <w:rPr>
          <w:rFonts w:hint="eastAsia" w:ascii="宋体" w:hAnsi="宋体"/>
          <w:b/>
          <w:bCs/>
          <w:szCs w:val="21"/>
        </w:rPr>
        <w:t>九</w:t>
      </w:r>
      <w:r>
        <w:rPr>
          <w:rFonts w:ascii="宋体" w:hAnsi="宋体"/>
          <w:b/>
          <w:bCs/>
          <w:szCs w:val="21"/>
        </w:rPr>
        <w:t>）采购标的的其他技术、服务等要求</w:t>
      </w:r>
    </w:p>
    <w:p w14:paraId="7A49C71D">
      <w:pPr>
        <w:spacing w:line="360" w:lineRule="auto"/>
        <w:ind w:firstLine="420" w:firstLineChars="200"/>
        <w:rPr>
          <w:rFonts w:ascii="宋体" w:hAnsi="宋体" w:cs="宋体"/>
          <w:color w:val="000000"/>
          <w:szCs w:val="21"/>
        </w:rPr>
      </w:pPr>
    </w:p>
    <w:p w14:paraId="47896D03">
      <w:pPr>
        <w:spacing w:line="360" w:lineRule="auto"/>
        <w:ind w:firstLine="420" w:firstLineChars="200"/>
        <w:rPr>
          <w:rFonts w:hint="eastAsia" w:ascii="宋体" w:hAnsi="宋体" w:cs="仿宋_GB2312"/>
          <w:szCs w:val="32"/>
        </w:rPr>
      </w:pPr>
      <w:r>
        <w:rPr>
          <w:rFonts w:hint="eastAsia" w:ascii="宋体" w:hAnsi="宋体" w:cs="仿宋_GB2312"/>
          <w:szCs w:val="32"/>
        </w:rPr>
        <w:t xml:space="preserve">1.节能要求： 无                                                  </w:t>
      </w:r>
    </w:p>
    <w:p w14:paraId="3A0F2828">
      <w:pPr>
        <w:spacing w:line="360" w:lineRule="auto"/>
        <w:ind w:firstLine="420" w:firstLineChars="200"/>
        <w:rPr>
          <w:rFonts w:ascii="宋体" w:hAnsi="宋体" w:cs="仿宋_GB2312"/>
          <w:szCs w:val="32"/>
        </w:rPr>
      </w:pPr>
      <w:r>
        <w:rPr>
          <w:rFonts w:hint="eastAsia" w:ascii="宋体" w:hAnsi="宋体" w:cs="仿宋_GB2312"/>
          <w:szCs w:val="32"/>
        </w:rPr>
        <w:t xml:space="preserve">2.环保要求：家具类货物应优先采购符合环保相关行业规范要求。 </w:t>
      </w:r>
    </w:p>
    <w:p w14:paraId="332C47DF">
      <w:pPr>
        <w:spacing w:line="360" w:lineRule="auto"/>
        <w:ind w:firstLine="420" w:firstLineChars="200"/>
        <w:rPr>
          <w:rFonts w:ascii="宋体" w:hAnsi="宋体"/>
        </w:rPr>
      </w:pPr>
      <w:r>
        <w:rPr>
          <w:rFonts w:hint="eastAsia" w:ascii="宋体" w:hAnsi="宋体" w:cs="仿宋_GB2312"/>
          <w:szCs w:val="32"/>
        </w:rPr>
        <w:t>3.其他技术、服务等要求：要具有保质保量、按时完成项目的履约能力；能提供响应产品或服务通过检测、认证等情况，产品服务销售渠道，评审现场需能提供顺畅、有效的商务和技术沟通等。</w:t>
      </w:r>
    </w:p>
    <w:p w14:paraId="59131210">
      <w:pPr>
        <w:adjustRightInd w:val="0"/>
        <w:snapToGrid w:val="0"/>
        <w:spacing w:before="120" w:beforeLines="50" w:line="360" w:lineRule="auto"/>
        <w:ind w:firstLine="422" w:firstLineChars="200"/>
        <w:rPr>
          <w:rFonts w:hint="eastAsia" w:ascii="宋体" w:hAnsi="宋体" w:cs="仿宋_GB2312"/>
          <w:b/>
          <w:bCs/>
          <w:szCs w:val="21"/>
        </w:rPr>
      </w:pPr>
      <w:r>
        <w:rPr>
          <w:rFonts w:ascii="宋体" w:hAnsi="宋体"/>
          <w:b/>
          <w:bCs/>
          <w:szCs w:val="21"/>
        </w:rPr>
        <w:t>（</w:t>
      </w:r>
      <w:r>
        <w:rPr>
          <w:rFonts w:hint="eastAsia" w:ascii="宋体" w:hAnsi="宋体"/>
          <w:b/>
          <w:bCs/>
          <w:szCs w:val="21"/>
        </w:rPr>
        <w:t>十</w:t>
      </w:r>
      <w:r>
        <w:rPr>
          <w:rFonts w:ascii="宋体" w:hAnsi="宋体"/>
          <w:b/>
          <w:bCs/>
          <w:szCs w:val="21"/>
        </w:rPr>
        <w:t>）</w:t>
      </w:r>
      <w:r>
        <w:rPr>
          <w:rFonts w:hint="eastAsia" w:ascii="宋体" w:hAnsi="宋体" w:cs="仿宋_GB2312"/>
          <w:b/>
          <w:bCs/>
          <w:szCs w:val="21"/>
        </w:rPr>
        <w:t>报价要求</w:t>
      </w:r>
    </w:p>
    <w:p w14:paraId="3F6232A2">
      <w:pPr>
        <w:pStyle w:val="2"/>
        <w:spacing w:line="360" w:lineRule="auto"/>
        <w:ind w:firstLine="422" w:firstLineChars="201"/>
        <w:rPr>
          <w:rFonts w:ascii="宋体" w:hAnsi="宋体" w:cs="宋体"/>
          <w:color w:val="000000"/>
          <w:szCs w:val="21"/>
        </w:rPr>
      </w:pPr>
      <w:r>
        <w:rPr>
          <w:rFonts w:hint="eastAsia" w:ascii="宋体" w:hAnsi="宋体"/>
          <w:szCs w:val="22"/>
        </w:rPr>
        <w:t>谈判报价以人民币报价，必须是完成该项目的一切费用总和，包括设备费、投标费、运输费、装卸费、保险费、技术培训费、设备安装费、调试费、利润、国家规定的各项税费等。</w:t>
      </w:r>
    </w:p>
    <w:p w14:paraId="49D9292C">
      <w:pPr>
        <w:adjustRightInd w:val="0"/>
        <w:snapToGrid w:val="0"/>
        <w:spacing w:before="120" w:beforeLines="50" w:line="360" w:lineRule="auto"/>
        <w:ind w:firstLine="422" w:firstLineChars="200"/>
        <w:rPr>
          <w:rFonts w:hint="eastAsia" w:ascii="宋体" w:hAnsi="宋体" w:cs="仿宋_GB2312"/>
          <w:b/>
          <w:bCs/>
          <w:szCs w:val="21"/>
        </w:rPr>
      </w:pPr>
      <w:r>
        <w:rPr>
          <w:rFonts w:ascii="宋体" w:hAnsi="宋体" w:cs="仿宋_GB2312"/>
          <w:b/>
          <w:bCs/>
          <w:szCs w:val="21"/>
        </w:rPr>
        <w:t>（</w:t>
      </w:r>
      <w:r>
        <w:rPr>
          <w:rFonts w:hint="eastAsia" w:ascii="宋体" w:hAnsi="宋体" w:cs="仿宋_GB2312"/>
          <w:b/>
          <w:bCs/>
          <w:szCs w:val="21"/>
        </w:rPr>
        <w:t>十一</w:t>
      </w:r>
      <w:r>
        <w:rPr>
          <w:rFonts w:ascii="宋体" w:hAnsi="宋体" w:cs="仿宋_GB2312"/>
          <w:b/>
          <w:bCs/>
          <w:szCs w:val="21"/>
        </w:rPr>
        <w:t>）</w:t>
      </w:r>
      <w:r>
        <w:rPr>
          <w:rFonts w:hint="eastAsia" w:ascii="宋体" w:hAnsi="宋体" w:cs="仿宋_GB2312"/>
          <w:b/>
          <w:bCs/>
          <w:szCs w:val="21"/>
        </w:rPr>
        <w:t>合同模板</w:t>
      </w:r>
    </w:p>
    <w:p w14:paraId="1DCD0A0E">
      <w:pPr>
        <w:spacing w:after="240" w:afterLines="100" w:line="360" w:lineRule="auto"/>
        <w:ind w:firstLine="420" w:firstLineChars="200"/>
        <w:rPr>
          <w:rFonts w:ascii="宋体" w:hAnsi="宋体"/>
          <w:szCs w:val="21"/>
        </w:rPr>
      </w:pPr>
      <w:r>
        <w:rPr>
          <w:rFonts w:ascii="宋体" w:hAnsi="宋体"/>
          <w:szCs w:val="21"/>
        </w:rPr>
        <w:t>说明：合同文本的主要条款、履约验收方案由业务需求部门根据采购需求特点和利于项目实施管理的原则提供。</w:t>
      </w:r>
    </w:p>
    <w:p w14:paraId="493CA0B0">
      <w:pPr>
        <w:pStyle w:val="2"/>
        <w:spacing w:line="360" w:lineRule="auto"/>
        <w:ind w:firstLine="424" w:firstLineChars="201"/>
        <w:rPr>
          <w:rFonts w:ascii="宋体" w:hAnsi="宋体"/>
          <w:b/>
          <w:color w:val="FF0000"/>
          <w:szCs w:val="24"/>
        </w:rPr>
      </w:pPr>
      <w:r>
        <w:rPr>
          <w:rFonts w:hint="eastAsia" w:ascii="宋体" w:hAnsi="宋体"/>
          <w:b/>
          <w:color w:val="FF0000"/>
          <w:szCs w:val="24"/>
        </w:rPr>
        <w:t>注：带“★”项为不可负偏离项，有一项负偏离即导致投标无效。是否响应以《商务条款响应表》“投标承诺”栏填写为准。</w:t>
      </w:r>
    </w:p>
    <w:p w14:paraId="4324111B">
      <w:pPr>
        <w:pStyle w:val="2"/>
        <w:spacing w:line="360" w:lineRule="auto"/>
        <w:ind w:firstLine="424" w:firstLineChars="201"/>
        <w:rPr>
          <w:rFonts w:ascii="宋体" w:hAnsi="宋体"/>
          <w:b/>
          <w:color w:val="FF0000"/>
          <w:szCs w:val="24"/>
        </w:rPr>
      </w:pPr>
    </w:p>
    <w:p w14:paraId="2C127DF1">
      <w:pPr>
        <w:pStyle w:val="2"/>
        <w:spacing w:line="360" w:lineRule="auto"/>
        <w:ind w:firstLine="424" w:firstLineChars="201"/>
        <w:rPr>
          <w:rFonts w:ascii="宋体" w:hAnsi="宋体"/>
          <w:b/>
          <w:color w:val="FF0000"/>
          <w:szCs w:val="24"/>
        </w:rPr>
      </w:pPr>
    </w:p>
    <w:p w14:paraId="05AD1553">
      <w:pPr>
        <w:pStyle w:val="2"/>
        <w:spacing w:line="360" w:lineRule="auto"/>
        <w:ind w:firstLine="424" w:firstLineChars="201"/>
        <w:rPr>
          <w:rFonts w:ascii="宋体" w:hAnsi="宋体"/>
          <w:b/>
          <w:color w:val="FF0000"/>
          <w:szCs w:val="24"/>
        </w:rPr>
      </w:pPr>
    </w:p>
    <w:p w14:paraId="14D393BF">
      <w:pPr>
        <w:pStyle w:val="2"/>
        <w:spacing w:line="360" w:lineRule="auto"/>
        <w:ind w:firstLine="424" w:firstLineChars="201"/>
        <w:rPr>
          <w:rFonts w:ascii="宋体" w:hAnsi="宋体"/>
          <w:b/>
          <w:color w:val="FF0000"/>
          <w:szCs w:val="24"/>
        </w:rPr>
      </w:pPr>
    </w:p>
    <w:p w14:paraId="5552D9D1">
      <w:pPr>
        <w:adjustRightInd w:val="0"/>
        <w:snapToGrid w:val="0"/>
        <w:spacing w:line="360" w:lineRule="auto"/>
        <w:ind w:firstLine="422" w:firstLineChars="200"/>
        <w:rPr>
          <w:rFonts w:hint="eastAsia" w:ascii="宋体" w:hAnsi="宋体" w:cs="仿宋_GB2312"/>
          <w:b/>
          <w:szCs w:val="21"/>
        </w:rPr>
        <w:sectPr>
          <w:headerReference r:id="rId5" w:type="first"/>
          <w:headerReference r:id="rId3" w:type="default"/>
          <w:footerReference r:id="rId6" w:type="default"/>
          <w:headerReference r:id="rId4" w:type="even"/>
          <w:footerReference r:id="rId7" w:type="even"/>
          <w:footnotePr>
            <w:numRestart w:val="eachPage"/>
          </w:footnotePr>
          <w:pgSz w:w="11907" w:h="16840"/>
          <w:pgMar w:top="1418" w:right="1701" w:bottom="1418" w:left="1701" w:header="907" w:footer="737" w:gutter="0"/>
          <w:cols w:space="720" w:num="1"/>
          <w:docGrid w:linePitch="312" w:charSpace="0"/>
        </w:sectPr>
      </w:pPr>
    </w:p>
    <w:p w14:paraId="7814E76C">
      <w:pPr>
        <w:adjustRightInd w:val="0"/>
        <w:snapToGrid w:val="0"/>
        <w:spacing w:line="360" w:lineRule="auto"/>
        <w:ind w:firstLine="422" w:firstLineChars="200"/>
        <w:rPr>
          <w:rFonts w:hint="eastAsia" w:ascii="宋体" w:hAnsi="宋体" w:cs="仿宋_GB2312"/>
          <w:b/>
          <w:szCs w:val="21"/>
        </w:rPr>
      </w:pPr>
      <w:bookmarkStart w:id="1" w:name="_GoBack"/>
      <w:bookmarkEnd w:id="1"/>
      <w:r>
        <w:rPr>
          <w:rFonts w:hint="eastAsia" w:ascii="宋体" w:hAnsi="宋体" w:cs="仿宋_GB2312"/>
          <w:b/>
          <w:szCs w:val="21"/>
        </w:rPr>
        <w:t>二、采购清单及技术要求</w:t>
      </w:r>
      <w:r>
        <w:rPr>
          <w:rFonts w:cs="仿宋_GB2312"/>
          <w:b/>
        </w:rPr>
        <w:t>（</w:t>
      </w:r>
      <w:r>
        <w:rPr>
          <w:rFonts w:hint="eastAsia" w:ascii="宋体" w:hAnsi="宋体" w:cs="仿宋_GB2312"/>
          <w:b/>
          <w:szCs w:val="21"/>
        </w:rPr>
        <w:t>说明：本项目为竞争性谈判项目，以下技术要求为本项目的基本要求，供应商投标承诺应该承诺完全响应。</w:t>
      </w:r>
      <w:r>
        <w:rPr>
          <w:rFonts w:cs="仿宋_GB2312"/>
          <w:b/>
        </w:rPr>
        <w:t>）</w:t>
      </w:r>
    </w:p>
    <w:p w14:paraId="6EA3AA3D">
      <w:pPr>
        <w:spacing w:line="360" w:lineRule="auto"/>
        <w:ind w:firstLine="422" w:firstLineChars="200"/>
        <w:rPr>
          <w:rFonts w:ascii="宋体" w:hAnsi="宋体" w:cs="宋体"/>
          <w:b/>
          <w:color w:val="000000"/>
          <w:szCs w:val="21"/>
        </w:rPr>
      </w:pPr>
    </w:p>
    <w:tbl>
      <w:tblPr>
        <w:tblStyle w:val="6"/>
        <w:tblW w:w="27849" w:type="dxa"/>
        <w:tblInd w:w="108" w:type="dxa"/>
        <w:tblLayout w:type="fixed"/>
        <w:tblCellMar>
          <w:top w:w="0" w:type="dxa"/>
          <w:left w:w="108" w:type="dxa"/>
          <w:bottom w:w="0" w:type="dxa"/>
          <w:right w:w="108" w:type="dxa"/>
        </w:tblCellMar>
      </w:tblPr>
      <w:tblGrid>
        <w:gridCol w:w="635"/>
        <w:gridCol w:w="1161"/>
        <w:gridCol w:w="2315"/>
        <w:gridCol w:w="2300"/>
        <w:gridCol w:w="991"/>
        <w:gridCol w:w="659"/>
        <w:gridCol w:w="6256"/>
        <w:gridCol w:w="236"/>
        <w:gridCol w:w="363"/>
        <w:gridCol w:w="12933"/>
      </w:tblGrid>
      <w:tr w14:paraId="0842397C">
        <w:tblPrEx>
          <w:tblCellMar>
            <w:top w:w="0" w:type="dxa"/>
            <w:left w:w="108" w:type="dxa"/>
            <w:bottom w:w="0" w:type="dxa"/>
            <w:right w:w="108" w:type="dxa"/>
          </w:tblCellMar>
        </w:tblPrEx>
        <w:trPr>
          <w:trHeight w:val="20" w:hRule="atLeast"/>
        </w:trPr>
        <w:tc>
          <w:tcPr>
            <w:tcW w:w="14916" w:type="dxa"/>
            <w:gridSpan w:val="9"/>
            <w:tcBorders>
              <w:top w:val="nil"/>
              <w:left w:val="nil"/>
              <w:bottom w:val="nil"/>
              <w:right w:val="nil"/>
            </w:tcBorders>
            <w:shd w:val="clear" w:color="000000" w:fill="FFFFFF"/>
            <w:noWrap/>
            <w:vAlign w:val="center"/>
          </w:tcPr>
          <w:p w14:paraId="3DCE7395">
            <w:pPr>
              <w:widowControl/>
              <w:jc w:val="center"/>
              <w:rPr>
                <w:rFonts w:ascii="宋体" w:hAnsi="宋体" w:cs="宋体"/>
                <w:kern w:val="0"/>
                <w:szCs w:val="21"/>
              </w:rPr>
            </w:pPr>
          </w:p>
        </w:tc>
        <w:tc>
          <w:tcPr>
            <w:tcW w:w="12933" w:type="dxa"/>
            <w:tcBorders>
              <w:top w:val="nil"/>
              <w:left w:val="nil"/>
              <w:bottom w:val="nil"/>
              <w:right w:val="nil"/>
            </w:tcBorders>
            <w:shd w:val="clear" w:color="000000" w:fill="FFFFFF"/>
            <w:noWrap/>
            <w:vAlign w:val="center"/>
          </w:tcPr>
          <w:p w14:paraId="041C0EA8">
            <w:pPr>
              <w:widowControl/>
              <w:jc w:val="center"/>
              <w:rPr>
                <w:rFonts w:ascii="宋体" w:hAnsi="宋体" w:cs="宋体"/>
                <w:kern w:val="0"/>
                <w:szCs w:val="21"/>
              </w:rPr>
            </w:pPr>
          </w:p>
        </w:tc>
      </w:tr>
      <w:tr w14:paraId="39B20DFD">
        <w:tblPrEx>
          <w:tblCellMar>
            <w:top w:w="0" w:type="dxa"/>
            <w:left w:w="108" w:type="dxa"/>
            <w:bottom w:w="0" w:type="dxa"/>
            <w:right w:w="108" w:type="dxa"/>
          </w:tblCellMar>
        </w:tblPrEx>
        <w:trPr>
          <w:gridAfter w:val="3"/>
          <w:wAfter w:w="13532" w:type="dxa"/>
          <w:trHeight w:val="312" w:hRule="atLeast"/>
        </w:trPr>
        <w:tc>
          <w:tcPr>
            <w:tcW w:w="635" w:type="dxa"/>
            <w:vMerge w:val="restart"/>
            <w:tcBorders>
              <w:top w:val="single" w:color="auto" w:sz="4" w:space="0"/>
              <w:left w:val="single" w:color="auto" w:sz="4" w:space="0"/>
              <w:bottom w:val="single" w:color="auto" w:sz="4" w:space="0"/>
              <w:right w:val="single" w:color="auto" w:sz="4" w:space="0"/>
            </w:tcBorders>
            <w:noWrap/>
            <w:vAlign w:val="center"/>
          </w:tcPr>
          <w:p w14:paraId="44665432">
            <w:pPr>
              <w:widowControl/>
              <w:jc w:val="center"/>
              <w:rPr>
                <w:rFonts w:hint="eastAsia" w:ascii="宋体" w:hAnsi="宋体" w:cs="宋体"/>
                <w:kern w:val="0"/>
                <w:szCs w:val="21"/>
              </w:rPr>
            </w:pPr>
            <w:bookmarkStart w:id="0" w:name="_Hlk196146982"/>
            <w:r>
              <w:rPr>
                <w:rFonts w:hint="eastAsia" w:ascii="宋体" w:hAnsi="宋体" w:cs="宋体"/>
                <w:kern w:val="0"/>
                <w:szCs w:val="21"/>
              </w:rPr>
              <w:t>序号</w:t>
            </w:r>
          </w:p>
        </w:tc>
        <w:tc>
          <w:tcPr>
            <w:tcW w:w="1161" w:type="dxa"/>
            <w:vMerge w:val="restart"/>
            <w:tcBorders>
              <w:top w:val="single" w:color="auto" w:sz="4" w:space="0"/>
              <w:left w:val="single" w:color="auto" w:sz="4" w:space="0"/>
              <w:bottom w:val="single" w:color="auto" w:sz="4" w:space="0"/>
              <w:right w:val="single" w:color="auto" w:sz="4" w:space="0"/>
            </w:tcBorders>
            <w:noWrap w:val="0"/>
            <w:vAlign w:val="center"/>
          </w:tcPr>
          <w:p w14:paraId="632F05A0">
            <w:pPr>
              <w:widowControl/>
              <w:jc w:val="center"/>
              <w:rPr>
                <w:rFonts w:hint="eastAsia" w:ascii="宋体" w:hAnsi="宋体" w:cs="宋体"/>
                <w:kern w:val="0"/>
                <w:szCs w:val="21"/>
              </w:rPr>
            </w:pPr>
            <w:r>
              <w:rPr>
                <w:rFonts w:hint="eastAsia" w:ascii="宋体" w:hAnsi="宋体" w:cs="宋体"/>
                <w:kern w:val="0"/>
                <w:szCs w:val="21"/>
              </w:rPr>
              <w:t>产品名称</w:t>
            </w:r>
          </w:p>
        </w:tc>
        <w:tc>
          <w:tcPr>
            <w:tcW w:w="2315" w:type="dxa"/>
            <w:vMerge w:val="restart"/>
            <w:tcBorders>
              <w:top w:val="single" w:color="auto" w:sz="4" w:space="0"/>
              <w:left w:val="single" w:color="auto" w:sz="4" w:space="0"/>
              <w:bottom w:val="single" w:color="auto" w:sz="4" w:space="0"/>
              <w:right w:val="single" w:color="auto" w:sz="4" w:space="0"/>
            </w:tcBorders>
            <w:noWrap/>
            <w:vAlign w:val="center"/>
          </w:tcPr>
          <w:p w14:paraId="6FFBD0CC">
            <w:pPr>
              <w:widowControl/>
              <w:jc w:val="center"/>
              <w:rPr>
                <w:rFonts w:ascii="宋体" w:hAnsi="宋体" w:cs="宋体"/>
                <w:kern w:val="0"/>
                <w:szCs w:val="21"/>
              </w:rPr>
            </w:pPr>
            <w:r>
              <w:rPr>
                <w:rFonts w:hint="eastAsia" w:ascii="宋体" w:hAnsi="宋体" w:cs="宋体"/>
                <w:kern w:val="0"/>
                <w:szCs w:val="21"/>
              </w:rPr>
              <w:t>规格型号mm</w:t>
            </w:r>
          </w:p>
          <w:p w14:paraId="7D6FE6B4">
            <w:pPr>
              <w:widowControl/>
              <w:jc w:val="center"/>
              <w:rPr>
                <w:rFonts w:hint="eastAsia" w:ascii="宋体" w:hAnsi="宋体" w:cs="宋体"/>
                <w:b/>
                <w:bCs/>
                <w:kern w:val="0"/>
                <w:szCs w:val="21"/>
              </w:rPr>
            </w:pPr>
            <w:r>
              <w:rPr>
                <w:rFonts w:hint="eastAsia" w:ascii="宋体" w:hAnsi="宋体" w:cs="宋体"/>
                <w:b/>
                <w:bCs/>
                <w:kern w:val="0"/>
                <w:szCs w:val="21"/>
              </w:rPr>
              <w:t>（除定制产品外，尺寸可</w:t>
            </w:r>
            <w:r>
              <w:rPr>
                <w:rFonts w:ascii="宋体" w:hAnsi="宋体" w:cs="宋体"/>
                <w:b/>
                <w:bCs/>
                <w:kern w:val="0"/>
                <w:szCs w:val="21"/>
              </w:rPr>
              <w:t>±</w:t>
            </w:r>
            <w:r>
              <w:rPr>
                <w:rFonts w:hint="eastAsia" w:ascii="宋体" w:hAnsi="宋体" w:cs="宋体"/>
                <w:b/>
                <w:bCs/>
                <w:kern w:val="0"/>
                <w:szCs w:val="21"/>
              </w:rPr>
              <w:t>偏离5%）</w:t>
            </w:r>
          </w:p>
        </w:tc>
        <w:tc>
          <w:tcPr>
            <w:tcW w:w="2300" w:type="dxa"/>
            <w:vMerge w:val="restart"/>
            <w:tcBorders>
              <w:top w:val="single" w:color="auto" w:sz="4" w:space="0"/>
              <w:left w:val="single" w:color="auto" w:sz="4" w:space="0"/>
              <w:right w:val="single" w:color="auto" w:sz="4" w:space="0"/>
            </w:tcBorders>
            <w:noWrap/>
            <w:vAlign w:val="center"/>
          </w:tcPr>
          <w:p w14:paraId="122ED16F">
            <w:pPr>
              <w:widowControl/>
              <w:jc w:val="center"/>
              <w:rPr>
                <w:rFonts w:hint="eastAsia" w:ascii="宋体" w:hAnsi="宋体" w:cs="宋体"/>
                <w:kern w:val="0"/>
                <w:szCs w:val="21"/>
              </w:rPr>
            </w:pPr>
            <w:r>
              <w:rPr>
                <w:rFonts w:hint="eastAsia" w:ascii="宋体" w:hAnsi="宋体" w:cs="宋体"/>
                <w:kern w:val="0"/>
                <w:szCs w:val="21"/>
              </w:rPr>
              <w:t>参考图片</w:t>
            </w:r>
          </w:p>
        </w:tc>
        <w:tc>
          <w:tcPr>
            <w:tcW w:w="991" w:type="dxa"/>
            <w:vMerge w:val="restart"/>
            <w:tcBorders>
              <w:top w:val="single" w:color="auto" w:sz="4" w:space="0"/>
              <w:left w:val="single" w:color="auto" w:sz="4" w:space="0"/>
              <w:bottom w:val="single" w:color="auto" w:sz="4" w:space="0"/>
              <w:right w:val="single" w:color="auto" w:sz="4" w:space="0"/>
            </w:tcBorders>
            <w:noWrap/>
            <w:vAlign w:val="center"/>
          </w:tcPr>
          <w:p w14:paraId="7BF560ED">
            <w:pPr>
              <w:widowControl/>
              <w:jc w:val="center"/>
              <w:rPr>
                <w:rFonts w:hint="eastAsia" w:ascii="宋体" w:hAnsi="宋体" w:cs="宋体"/>
                <w:kern w:val="0"/>
                <w:szCs w:val="21"/>
              </w:rPr>
            </w:pPr>
            <w:r>
              <w:rPr>
                <w:rFonts w:hint="eastAsia" w:ascii="宋体" w:hAnsi="宋体" w:cs="宋体"/>
                <w:kern w:val="0"/>
                <w:szCs w:val="21"/>
              </w:rPr>
              <w:t>单位</w:t>
            </w:r>
          </w:p>
        </w:tc>
        <w:tc>
          <w:tcPr>
            <w:tcW w:w="659" w:type="dxa"/>
            <w:vMerge w:val="restart"/>
            <w:tcBorders>
              <w:top w:val="single" w:color="auto" w:sz="4" w:space="0"/>
              <w:left w:val="single" w:color="auto" w:sz="4" w:space="0"/>
              <w:bottom w:val="single" w:color="auto" w:sz="4" w:space="0"/>
              <w:right w:val="single" w:color="auto" w:sz="4" w:space="0"/>
            </w:tcBorders>
            <w:noWrap/>
            <w:vAlign w:val="center"/>
          </w:tcPr>
          <w:p w14:paraId="042710D8">
            <w:pPr>
              <w:widowControl/>
              <w:jc w:val="center"/>
              <w:rPr>
                <w:rFonts w:hint="eastAsia" w:ascii="宋体" w:hAnsi="宋体" w:cs="宋体"/>
                <w:kern w:val="0"/>
                <w:szCs w:val="21"/>
              </w:rPr>
            </w:pPr>
            <w:r>
              <w:rPr>
                <w:rFonts w:hint="eastAsia" w:ascii="宋体" w:hAnsi="宋体" w:cs="宋体"/>
                <w:kern w:val="0"/>
                <w:szCs w:val="21"/>
              </w:rPr>
              <w:t>数   量</w:t>
            </w:r>
          </w:p>
        </w:tc>
        <w:tc>
          <w:tcPr>
            <w:tcW w:w="6256" w:type="dxa"/>
            <w:vMerge w:val="restart"/>
            <w:tcBorders>
              <w:top w:val="single" w:color="auto" w:sz="4" w:space="0"/>
              <w:left w:val="single" w:color="auto" w:sz="4" w:space="0"/>
              <w:bottom w:val="single" w:color="000000" w:sz="4" w:space="0"/>
              <w:right w:val="single" w:color="auto" w:sz="4" w:space="0"/>
            </w:tcBorders>
            <w:noWrap/>
            <w:vAlign w:val="center"/>
          </w:tcPr>
          <w:p w14:paraId="1E5E7707">
            <w:pPr>
              <w:widowControl/>
              <w:jc w:val="center"/>
              <w:rPr>
                <w:rFonts w:hint="eastAsia" w:ascii="宋体" w:hAnsi="宋体" w:cs="宋体"/>
                <w:kern w:val="0"/>
                <w:szCs w:val="21"/>
              </w:rPr>
            </w:pPr>
            <w:r>
              <w:rPr>
                <w:rFonts w:hint="eastAsia" w:ascii="宋体" w:hAnsi="宋体" w:cs="宋体"/>
                <w:kern w:val="0"/>
                <w:szCs w:val="21"/>
              </w:rPr>
              <w:t>备  注</w:t>
            </w:r>
          </w:p>
        </w:tc>
      </w:tr>
      <w:tr w14:paraId="3E018735">
        <w:tblPrEx>
          <w:tblCellMar>
            <w:top w:w="0" w:type="dxa"/>
            <w:left w:w="108" w:type="dxa"/>
            <w:bottom w:w="0" w:type="dxa"/>
            <w:right w:w="108" w:type="dxa"/>
          </w:tblCellMar>
        </w:tblPrEx>
        <w:trPr>
          <w:gridAfter w:val="2"/>
          <w:wAfter w:w="13296" w:type="dxa"/>
          <w:trHeight w:val="20" w:hRule="atLeast"/>
        </w:trPr>
        <w:tc>
          <w:tcPr>
            <w:tcW w:w="635" w:type="dxa"/>
            <w:vMerge w:val="continue"/>
            <w:tcBorders>
              <w:top w:val="single" w:color="auto" w:sz="4" w:space="0"/>
              <w:left w:val="single" w:color="auto" w:sz="4" w:space="0"/>
              <w:bottom w:val="single" w:color="auto" w:sz="4" w:space="0"/>
              <w:right w:val="single" w:color="auto" w:sz="4" w:space="0"/>
            </w:tcBorders>
            <w:noWrap w:val="0"/>
            <w:vAlign w:val="center"/>
          </w:tcPr>
          <w:p w14:paraId="18560561">
            <w:pPr>
              <w:widowControl/>
              <w:jc w:val="left"/>
              <w:rPr>
                <w:rFonts w:ascii="宋体" w:hAnsi="宋体" w:cs="宋体"/>
                <w:kern w:val="0"/>
                <w:szCs w:val="21"/>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02B1EA17">
            <w:pPr>
              <w:widowControl/>
              <w:jc w:val="left"/>
              <w:rPr>
                <w:rFonts w:ascii="宋体" w:hAnsi="宋体" w:cs="宋体"/>
                <w:kern w:val="0"/>
                <w:szCs w:val="21"/>
              </w:rPr>
            </w:pPr>
          </w:p>
        </w:tc>
        <w:tc>
          <w:tcPr>
            <w:tcW w:w="2315" w:type="dxa"/>
            <w:vMerge w:val="continue"/>
            <w:tcBorders>
              <w:top w:val="single" w:color="auto" w:sz="4" w:space="0"/>
              <w:left w:val="single" w:color="auto" w:sz="4" w:space="0"/>
              <w:bottom w:val="single" w:color="auto" w:sz="4" w:space="0"/>
              <w:right w:val="single" w:color="auto" w:sz="4" w:space="0"/>
            </w:tcBorders>
            <w:noWrap w:val="0"/>
            <w:vAlign w:val="center"/>
          </w:tcPr>
          <w:p w14:paraId="2DDE5702">
            <w:pPr>
              <w:widowControl/>
              <w:jc w:val="left"/>
              <w:rPr>
                <w:rFonts w:ascii="宋体" w:hAnsi="宋体" w:cs="宋体"/>
                <w:kern w:val="0"/>
                <w:szCs w:val="21"/>
              </w:rPr>
            </w:pPr>
          </w:p>
        </w:tc>
        <w:tc>
          <w:tcPr>
            <w:tcW w:w="2300" w:type="dxa"/>
            <w:vMerge w:val="continue"/>
            <w:tcBorders>
              <w:left w:val="single" w:color="auto" w:sz="4" w:space="0"/>
              <w:bottom w:val="single" w:color="auto" w:sz="4" w:space="0"/>
              <w:right w:val="single" w:color="auto" w:sz="4" w:space="0"/>
            </w:tcBorders>
            <w:noWrap w:val="0"/>
            <w:vAlign w:val="center"/>
          </w:tcPr>
          <w:p w14:paraId="100FBC16">
            <w:pPr>
              <w:widowControl/>
              <w:jc w:val="left"/>
              <w:rPr>
                <w:rFonts w:ascii="宋体" w:hAnsi="宋体" w:cs="宋体"/>
                <w:kern w:val="0"/>
                <w:szCs w:val="21"/>
              </w:rPr>
            </w:pPr>
          </w:p>
        </w:tc>
        <w:tc>
          <w:tcPr>
            <w:tcW w:w="991" w:type="dxa"/>
            <w:vMerge w:val="continue"/>
            <w:tcBorders>
              <w:top w:val="single" w:color="auto" w:sz="4" w:space="0"/>
              <w:left w:val="single" w:color="auto" w:sz="4" w:space="0"/>
              <w:bottom w:val="single" w:color="auto" w:sz="4" w:space="0"/>
              <w:right w:val="single" w:color="auto" w:sz="4" w:space="0"/>
            </w:tcBorders>
            <w:noWrap w:val="0"/>
            <w:vAlign w:val="center"/>
          </w:tcPr>
          <w:p w14:paraId="4E03F09E">
            <w:pPr>
              <w:widowControl/>
              <w:jc w:val="left"/>
              <w:rPr>
                <w:rFonts w:ascii="宋体" w:hAnsi="宋体" w:cs="宋体"/>
                <w:kern w:val="0"/>
                <w:szCs w:val="21"/>
              </w:rPr>
            </w:pPr>
          </w:p>
        </w:tc>
        <w:tc>
          <w:tcPr>
            <w:tcW w:w="659" w:type="dxa"/>
            <w:vMerge w:val="continue"/>
            <w:tcBorders>
              <w:top w:val="single" w:color="auto" w:sz="4" w:space="0"/>
              <w:left w:val="single" w:color="auto" w:sz="4" w:space="0"/>
              <w:bottom w:val="single" w:color="auto" w:sz="4" w:space="0"/>
              <w:right w:val="single" w:color="auto" w:sz="4" w:space="0"/>
            </w:tcBorders>
            <w:noWrap w:val="0"/>
            <w:vAlign w:val="center"/>
          </w:tcPr>
          <w:p w14:paraId="6732C2FC">
            <w:pPr>
              <w:widowControl/>
              <w:jc w:val="left"/>
              <w:rPr>
                <w:rFonts w:ascii="宋体" w:hAnsi="宋体" w:cs="宋体"/>
                <w:kern w:val="0"/>
                <w:szCs w:val="21"/>
              </w:rPr>
            </w:pPr>
          </w:p>
        </w:tc>
        <w:tc>
          <w:tcPr>
            <w:tcW w:w="6256" w:type="dxa"/>
            <w:vMerge w:val="continue"/>
            <w:tcBorders>
              <w:top w:val="single" w:color="auto" w:sz="4" w:space="0"/>
              <w:left w:val="single" w:color="auto" w:sz="4" w:space="0"/>
              <w:bottom w:val="single" w:color="000000" w:sz="4" w:space="0"/>
              <w:right w:val="single" w:color="auto" w:sz="4" w:space="0"/>
            </w:tcBorders>
            <w:noWrap w:val="0"/>
            <w:vAlign w:val="center"/>
          </w:tcPr>
          <w:p w14:paraId="306E3092">
            <w:pPr>
              <w:widowControl/>
              <w:jc w:val="left"/>
              <w:rPr>
                <w:rFonts w:ascii="宋体" w:hAnsi="宋体" w:cs="宋体"/>
                <w:kern w:val="0"/>
                <w:szCs w:val="21"/>
              </w:rPr>
            </w:pPr>
          </w:p>
        </w:tc>
        <w:tc>
          <w:tcPr>
            <w:tcW w:w="236" w:type="dxa"/>
            <w:tcBorders>
              <w:top w:val="nil"/>
              <w:left w:val="nil"/>
              <w:bottom w:val="nil"/>
              <w:right w:val="nil"/>
            </w:tcBorders>
            <w:noWrap/>
            <w:vAlign w:val="bottom"/>
          </w:tcPr>
          <w:p w14:paraId="668BC764">
            <w:pPr>
              <w:widowControl/>
              <w:jc w:val="center"/>
              <w:rPr>
                <w:rFonts w:hint="eastAsia" w:ascii="宋体" w:hAnsi="宋体" w:cs="宋体"/>
                <w:kern w:val="0"/>
                <w:szCs w:val="21"/>
              </w:rPr>
            </w:pPr>
          </w:p>
        </w:tc>
      </w:tr>
      <w:tr w14:paraId="08B82EEA">
        <w:tblPrEx>
          <w:tblCellMar>
            <w:top w:w="0" w:type="dxa"/>
            <w:left w:w="108" w:type="dxa"/>
            <w:bottom w:w="0" w:type="dxa"/>
            <w:right w:w="108" w:type="dxa"/>
          </w:tblCellMar>
        </w:tblPrEx>
        <w:trPr>
          <w:gridAfter w:val="2"/>
          <w:wAfter w:w="13296" w:type="dxa"/>
          <w:trHeight w:val="20" w:hRule="atLeast"/>
        </w:trPr>
        <w:tc>
          <w:tcPr>
            <w:tcW w:w="635" w:type="dxa"/>
            <w:tcBorders>
              <w:top w:val="nil"/>
              <w:left w:val="single" w:color="auto" w:sz="4" w:space="0"/>
              <w:bottom w:val="single" w:color="auto" w:sz="4" w:space="0"/>
              <w:right w:val="single" w:color="auto" w:sz="4" w:space="0"/>
            </w:tcBorders>
            <w:noWrap/>
            <w:vAlign w:val="center"/>
          </w:tcPr>
          <w:p w14:paraId="38DC7D8C">
            <w:pPr>
              <w:widowControl/>
              <w:jc w:val="center"/>
              <w:rPr>
                <w:rFonts w:ascii="宋体" w:hAnsi="宋体" w:cs="宋体"/>
                <w:kern w:val="0"/>
                <w:szCs w:val="21"/>
              </w:rPr>
            </w:pPr>
            <w:r>
              <w:rPr>
                <w:rFonts w:hint="eastAsia" w:ascii="宋体" w:hAnsi="宋体" w:cs="宋体"/>
                <w:kern w:val="0"/>
                <w:szCs w:val="21"/>
              </w:rPr>
              <w:t>1</w:t>
            </w:r>
          </w:p>
        </w:tc>
        <w:tc>
          <w:tcPr>
            <w:tcW w:w="1161" w:type="dxa"/>
            <w:tcBorders>
              <w:top w:val="nil"/>
              <w:left w:val="nil"/>
              <w:bottom w:val="single" w:color="auto" w:sz="4" w:space="0"/>
              <w:right w:val="single" w:color="auto" w:sz="4" w:space="0"/>
            </w:tcBorders>
            <w:noWrap w:val="0"/>
            <w:vAlign w:val="center"/>
          </w:tcPr>
          <w:p w14:paraId="19C880A1">
            <w:pPr>
              <w:widowControl/>
              <w:jc w:val="center"/>
              <w:rPr>
                <w:rFonts w:hint="eastAsia" w:ascii="宋体" w:hAnsi="宋体" w:cs="宋体"/>
                <w:kern w:val="0"/>
                <w:szCs w:val="21"/>
              </w:rPr>
            </w:pPr>
            <w:r>
              <w:rPr>
                <w:rFonts w:hint="eastAsia" w:ascii="宋体" w:hAnsi="宋体" w:cs="宋体"/>
                <w:kern w:val="0"/>
                <w:szCs w:val="21"/>
              </w:rPr>
              <w:t>三人位控制台</w:t>
            </w:r>
          </w:p>
        </w:tc>
        <w:tc>
          <w:tcPr>
            <w:tcW w:w="2315" w:type="dxa"/>
            <w:tcBorders>
              <w:top w:val="nil"/>
              <w:left w:val="nil"/>
              <w:bottom w:val="single" w:color="auto" w:sz="4" w:space="0"/>
              <w:right w:val="single" w:color="auto" w:sz="4" w:space="0"/>
            </w:tcBorders>
            <w:noWrap w:val="0"/>
            <w:vAlign w:val="center"/>
          </w:tcPr>
          <w:p w14:paraId="156C0C04">
            <w:pPr>
              <w:widowControl/>
              <w:jc w:val="center"/>
              <w:rPr>
                <w:rFonts w:hint="eastAsia" w:ascii="宋体" w:hAnsi="宋体" w:cs="宋体"/>
                <w:kern w:val="0"/>
                <w:szCs w:val="21"/>
              </w:rPr>
            </w:pPr>
            <w:r>
              <w:rPr>
                <w:rFonts w:hint="eastAsia" w:ascii="宋体" w:hAnsi="宋体" w:cs="宋体"/>
                <w:kern w:val="0"/>
                <w:szCs w:val="21"/>
              </w:rPr>
              <w:t xml:space="preserve">4000W*665D*950H </w:t>
            </w:r>
          </w:p>
        </w:tc>
        <w:tc>
          <w:tcPr>
            <w:tcW w:w="2300" w:type="dxa"/>
            <w:tcBorders>
              <w:top w:val="nil"/>
              <w:left w:val="nil"/>
              <w:bottom w:val="single" w:color="auto" w:sz="4" w:space="0"/>
              <w:right w:val="single" w:color="auto" w:sz="4" w:space="0"/>
            </w:tcBorders>
            <w:noWrap/>
            <w:vAlign w:val="center"/>
          </w:tcPr>
          <w:p w14:paraId="506A9139">
            <w:pPr>
              <w:widowControl/>
              <w:jc w:val="left"/>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fldChar w:fldCharType="begin"/>
            </w:r>
            <w:r>
              <w:rPr>
                <w:rFonts w:hint="eastAsia" w:ascii="等线" w:hAnsi="等线" w:eastAsia="等线" w:cs="等线"/>
                <w:color w:val="000000"/>
                <w:kern w:val="0"/>
                <w:sz w:val="22"/>
                <w:szCs w:val="22"/>
                <w:lang w:bidi="ar"/>
              </w:rPr>
              <w:instrText xml:space="preserve">INCLUDEPICTURE \d "C:\\Users\\ADMINI~1\\AppData\\Local\\Temp\\ksohtml\\clip_cell_image40.png" \* MERGEFORMATINET </w:instrText>
            </w:r>
            <w:r>
              <w:rPr>
                <w:rFonts w:hint="eastAsia" w:ascii="等线" w:hAnsi="等线" w:eastAsia="等线" w:cs="等线"/>
                <w:color w:val="000000"/>
                <w:kern w:val="0"/>
                <w:sz w:val="22"/>
                <w:szCs w:val="22"/>
                <w:lang w:bidi="ar"/>
              </w:rPr>
              <w:fldChar w:fldCharType="separate"/>
            </w:r>
            <w:r>
              <w:rPr>
                <w:rFonts w:hint="eastAsia" w:ascii="等线" w:hAnsi="等线" w:eastAsia="等线" w:cs="等线"/>
                <w:color w:val="000000"/>
                <w:kern w:val="0"/>
                <w:sz w:val="22"/>
                <w:szCs w:val="22"/>
                <w:lang w:bidi="ar"/>
              </w:rPr>
              <w:drawing>
                <wp:inline distT="0" distB="0" distL="114300" distR="114300">
                  <wp:extent cx="1253490" cy="1253490"/>
                  <wp:effectExtent l="0" t="0" r="3810" b="3810"/>
                  <wp:docPr id="1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descr="IMG_256"/>
                          <pic:cNvPicPr>
                            <a:picLocks noChangeAspect="1"/>
                          </pic:cNvPicPr>
                        </pic:nvPicPr>
                        <pic:blipFill>
                          <a:blip r:embed="rId9"/>
                          <a:stretch>
                            <a:fillRect/>
                          </a:stretch>
                        </pic:blipFill>
                        <pic:spPr>
                          <a:xfrm>
                            <a:off x="0" y="0"/>
                            <a:ext cx="1253490" cy="1253490"/>
                          </a:xfrm>
                          <a:prstGeom prst="rect">
                            <a:avLst/>
                          </a:prstGeom>
                          <a:noFill/>
                          <a:ln>
                            <a:noFill/>
                          </a:ln>
                        </pic:spPr>
                      </pic:pic>
                    </a:graphicData>
                  </a:graphic>
                </wp:inline>
              </w:drawing>
            </w:r>
            <w:r>
              <w:rPr>
                <w:rFonts w:hint="eastAsia" w:ascii="等线" w:hAnsi="等线" w:eastAsia="等线" w:cs="等线"/>
                <w:color w:val="000000"/>
                <w:kern w:val="0"/>
                <w:sz w:val="22"/>
                <w:szCs w:val="22"/>
                <w:lang w:bidi="ar"/>
              </w:rPr>
              <w:fldChar w:fldCharType="end"/>
            </w:r>
          </w:p>
        </w:tc>
        <w:tc>
          <w:tcPr>
            <w:tcW w:w="991" w:type="dxa"/>
            <w:tcBorders>
              <w:top w:val="nil"/>
              <w:left w:val="nil"/>
              <w:bottom w:val="single" w:color="auto" w:sz="4" w:space="0"/>
              <w:right w:val="single" w:color="auto" w:sz="4" w:space="0"/>
            </w:tcBorders>
            <w:noWrap/>
            <w:vAlign w:val="center"/>
          </w:tcPr>
          <w:p w14:paraId="37FA02E8">
            <w:pPr>
              <w:widowControl/>
              <w:jc w:val="center"/>
              <w:rPr>
                <w:rFonts w:hint="eastAsia" w:ascii="宋体" w:hAnsi="宋体" w:cs="宋体"/>
                <w:kern w:val="0"/>
                <w:szCs w:val="21"/>
              </w:rPr>
            </w:pPr>
            <w:r>
              <w:rPr>
                <w:rFonts w:hint="eastAsia" w:ascii="宋体" w:hAnsi="宋体" w:cs="宋体"/>
                <w:kern w:val="0"/>
                <w:szCs w:val="21"/>
              </w:rPr>
              <w:t>套</w:t>
            </w:r>
          </w:p>
        </w:tc>
        <w:tc>
          <w:tcPr>
            <w:tcW w:w="659" w:type="dxa"/>
            <w:tcBorders>
              <w:top w:val="nil"/>
              <w:left w:val="nil"/>
              <w:bottom w:val="single" w:color="auto" w:sz="4" w:space="0"/>
              <w:right w:val="single" w:color="auto" w:sz="4" w:space="0"/>
            </w:tcBorders>
            <w:noWrap/>
            <w:vAlign w:val="center"/>
          </w:tcPr>
          <w:p w14:paraId="69A6A151">
            <w:pPr>
              <w:widowControl/>
              <w:jc w:val="center"/>
              <w:rPr>
                <w:rFonts w:hint="eastAsia" w:ascii="宋体" w:hAnsi="宋体" w:cs="宋体"/>
                <w:kern w:val="0"/>
                <w:szCs w:val="21"/>
              </w:rPr>
            </w:pPr>
            <w:r>
              <w:rPr>
                <w:rFonts w:hint="eastAsia" w:ascii="宋体" w:hAnsi="宋体" w:cs="宋体"/>
                <w:kern w:val="0"/>
                <w:szCs w:val="21"/>
              </w:rPr>
              <w:t>8</w:t>
            </w:r>
          </w:p>
        </w:tc>
        <w:tc>
          <w:tcPr>
            <w:tcW w:w="6256" w:type="dxa"/>
            <w:tcBorders>
              <w:top w:val="nil"/>
              <w:left w:val="nil"/>
              <w:bottom w:val="single" w:color="auto" w:sz="4" w:space="0"/>
              <w:right w:val="single" w:color="auto" w:sz="4" w:space="0"/>
            </w:tcBorders>
            <w:noWrap w:val="0"/>
            <w:vAlign w:val="top"/>
          </w:tcPr>
          <w:p w14:paraId="1780297A">
            <w:pPr>
              <w:widowControl/>
              <w:jc w:val="left"/>
              <w:rPr>
                <w:rFonts w:hint="eastAsia" w:ascii="宋体" w:hAnsi="宋体" w:cs="宋体"/>
                <w:kern w:val="0"/>
                <w:szCs w:val="21"/>
              </w:rPr>
            </w:pPr>
            <w:r>
              <w:rPr>
                <w:rFonts w:hint="eastAsia" w:ascii="宋体" w:hAnsi="宋体" w:cs="宋体"/>
                <w:kern w:val="0"/>
                <w:szCs w:val="21"/>
              </w:rPr>
              <w:t>1、基材：采用优质环保ENF级高密度中纤板,甲醛含量≤0.8mg/L密度≥760kg/m3,静曲张度≥ 51.5Mpa,吸水膨胀率≤8.1%；</w:t>
            </w:r>
            <w:r>
              <w:rPr>
                <w:rFonts w:hint="eastAsia" w:ascii="宋体" w:hAnsi="宋体" w:cs="宋体"/>
                <w:kern w:val="0"/>
                <w:szCs w:val="21"/>
              </w:rPr>
              <w:br w:type="textWrapping"/>
            </w:r>
            <w:r>
              <w:rPr>
                <w:rFonts w:hint="eastAsia" w:ascii="宋体" w:hAnsi="宋体" w:cs="宋体"/>
                <w:kern w:val="0"/>
                <w:szCs w:val="21"/>
              </w:rPr>
              <w:t xml:space="preserve">2、烤漆涂层固化后其涂层的稳定性、耐久性、耐候性、耐摩擦性、耐腐蚀性和硬度高，经抛光后，表面光洁度高，镜面效果好； </w:t>
            </w:r>
            <w:r>
              <w:rPr>
                <w:rFonts w:hint="eastAsia" w:ascii="宋体" w:hAnsi="宋体" w:cs="宋体"/>
                <w:kern w:val="0"/>
                <w:szCs w:val="21"/>
              </w:rPr>
              <w:br w:type="textWrapping"/>
            </w:r>
            <w:r>
              <w:rPr>
                <w:rFonts w:hint="eastAsia" w:ascii="宋体" w:hAnsi="宋体" w:cs="宋体"/>
                <w:kern w:val="0"/>
                <w:szCs w:val="21"/>
              </w:rPr>
              <w:t xml:space="preserve">3、防潮、防水性能 优越；不需封边；易清洁，不渗油，不褪色；                                        </w:t>
            </w:r>
            <w:r>
              <w:rPr>
                <w:rFonts w:hint="eastAsia" w:ascii="宋体" w:hAnsi="宋体" w:cs="宋体"/>
                <w:kern w:val="0"/>
                <w:szCs w:val="21"/>
              </w:rPr>
              <w:br w:type="textWrapping"/>
            </w:r>
            <w:r>
              <w:rPr>
                <w:rFonts w:hint="eastAsia" w:ascii="宋体" w:hAnsi="宋体" w:cs="宋体"/>
                <w:kern w:val="0"/>
                <w:szCs w:val="21"/>
              </w:rPr>
              <w:t>4、主体框架：材质为冷轧钢板SPCC冲压折弯成型，均匀数控剪切，平稳冲压，无焦点焊接，打沙，脱脂，酸洗，防锈磷化，静电喷塑。门板以及内部结构件厚度为1.0-1.8mm冷轧钢板。控制台装饰防眩目灯带，灯光颜色蒂芙尼蓝色。</w:t>
            </w:r>
            <w:r>
              <w:rPr>
                <w:rFonts w:hint="eastAsia" w:ascii="宋体" w:hAnsi="宋体" w:cs="宋体"/>
                <w:kern w:val="0"/>
                <w:szCs w:val="21"/>
              </w:rPr>
              <w:br w:type="textWrapping"/>
            </w:r>
            <w:r>
              <w:rPr>
                <w:rFonts w:hint="eastAsia" w:ascii="宋体" w:hAnsi="宋体" w:cs="宋体"/>
                <w:kern w:val="0"/>
                <w:szCs w:val="21"/>
              </w:rPr>
              <w:t>5、散热：调度控制台底部设计空间大，前后有门，前后门上有散气孔，可实现空气对流通畅，使设备安全性得到有效保证。</w:t>
            </w:r>
            <w:r>
              <w:rPr>
                <w:rFonts w:hint="eastAsia" w:ascii="宋体" w:hAnsi="宋体" w:cs="宋体"/>
                <w:kern w:val="0"/>
                <w:szCs w:val="21"/>
              </w:rPr>
              <w:br w:type="textWrapping"/>
            </w:r>
            <w:r>
              <w:rPr>
                <w:rFonts w:hint="eastAsia" w:ascii="宋体" w:hAnsi="宋体" w:cs="宋体"/>
                <w:kern w:val="0"/>
                <w:szCs w:val="21"/>
              </w:rPr>
              <w:t>6、理线：调度控制台内部设计专业的强弱电布线设计，将电源线与信号线使用专业线槽分开布置，确保不互相干扰。</w:t>
            </w:r>
            <w:r>
              <w:rPr>
                <w:rFonts w:hint="eastAsia" w:ascii="宋体" w:hAnsi="宋体" w:cs="宋体"/>
                <w:kern w:val="0"/>
                <w:szCs w:val="21"/>
              </w:rPr>
              <w:br w:type="textWrapping"/>
            </w:r>
            <w:r>
              <w:rPr>
                <w:rFonts w:hint="eastAsia" w:ascii="宋体" w:hAnsi="宋体" w:cs="宋体"/>
                <w:kern w:val="0"/>
                <w:szCs w:val="21"/>
              </w:rPr>
              <w:t>7、屏风：显示器后屏风采用高度200mm工业拉铝型材，表面黑色喷涂处理，凹槽可悬挂显示器支架;后屏风顶端镶嵌亚克力及发光灯带，铝型材横截面尺寸是根据此款式控制台架构特殊制定制，可安装特制的LCD支架、工作灯、电话架、文件架等，以明确坐席功能及提升整体形象。</w:t>
            </w:r>
            <w:r>
              <w:rPr>
                <w:rFonts w:hint="eastAsia" w:ascii="宋体" w:hAnsi="宋体" w:cs="宋体"/>
                <w:kern w:val="0"/>
                <w:szCs w:val="21"/>
              </w:rPr>
              <w:br w:type="textWrapping"/>
            </w:r>
            <w:r>
              <w:rPr>
                <w:rFonts w:hint="eastAsia" w:ascii="宋体" w:hAnsi="宋体" w:cs="宋体"/>
                <w:kern w:val="0"/>
                <w:szCs w:val="21"/>
              </w:rPr>
              <w:t>8、键盘架：双节走珠滑轨</w:t>
            </w:r>
            <w:r>
              <w:rPr>
                <w:rFonts w:hint="eastAsia" w:ascii="宋体" w:hAnsi="宋体" w:cs="宋体"/>
                <w:kern w:val="0"/>
                <w:szCs w:val="21"/>
              </w:rPr>
              <w:br w:type="textWrapping"/>
            </w:r>
            <w:r>
              <w:rPr>
                <w:rFonts w:hint="eastAsia" w:ascii="宋体" w:hAnsi="宋体" w:cs="宋体"/>
                <w:kern w:val="0"/>
                <w:szCs w:val="21"/>
              </w:rPr>
              <w:t>9、带隐藏式走线功能</w:t>
            </w:r>
            <w:r>
              <w:rPr>
                <w:rFonts w:hint="eastAsia" w:ascii="宋体" w:hAnsi="宋体" w:cs="宋体"/>
                <w:kern w:val="0"/>
                <w:szCs w:val="21"/>
              </w:rPr>
              <w:br w:type="textWrapping"/>
            </w:r>
            <w:r>
              <w:rPr>
                <w:rFonts w:hint="eastAsia" w:ascii="宋体" w:hAnsi="宋体" w:cs="宋体"/>
                <w:kern w:val="0"/>
                <w:szCs w:val="21"/>
              </w:rPr>
              <w:t>10、胶水：采用优质环保品牌绿色环保胶水。</w:t>
            </w:r>
            <w:r>
              <w:rPr>
                <w:rFonts w:hint="eastAsia" w:ascii="宋体" w:hAnsi="宋体" w:cs="宋体"/>
                <w:kern w:val="0"/>
                <w:szCs w:val="21"/>
              </w:rPr>
              <w:br w:type="textWrapping"/>
            </w:r>
            <w:r>
              <w:rPr>
                <w:rFonts w:hint="eastAsia" w:ascii="宋体" w:hAnsi="宋体" w:cs="宋体"/>
                <w:kern w:val="0"/>
                <w:szCs w:val="21"/>
              </w:rPr>
              <w:t>11、五金配件：采用优质品牌的门铰五金锁具，满足QB/T 2189-2013检测，要求耐久性达到8万次。</w:t>
            </w:r>
          </w:p>
        </w:tc>
        <w:tc>
          <w:tcPr>
            <w:tcW w:w="236" w:type="dxa"/>
            <w:noWrap w:val="0"/>
            <w:vAlign w:val="center"/>
          </w:tcPr>
          <w:p w14:paraId="1EE7EE84">
            <w:pPr>
              <w:widowControl/>
              <w:jc w:val="left"/>
              <w:rPr>
                <w:rFonts w:ascii="宋体" w:hAnsi="宋体"/>
                <w:kern w:val="0"/>
                <w:szCs w:val="21"/>
              </w:rPr>
            </w:pPr>
          </w:p>
        </w:tc>
      </w:tr>
      <w:tr w14:paraId="07594468">
        <w:tblPrEx>
          <w:tblCellMar>
            <w:top w:w="0" w:type="dxa"/>
            <w:left w:w="108" w:type="dxa"/>
            <w:bottom w:w="0" w:type="dxa"/>
            <w:right w:w="108" w:type="dxa"/>
          </w:tblCellMar>
        </w:tblPrEx>
        <w:trPr>
          <w:gridAfter w:val="2"/>
          <w:wAfter w:w="13296" w:type="dxa"/>
          <w:trHeight w:val="20" w:hRule="atLeast"/>
        </w:trPr>
        <w:tc>
          <w:tcPr>
            <w:tcW w:w="635" w:type="dxa"/>
            <w:tcBorders>
              <w:top w:val="nil"/>
              <w:left w:val="single" w:color="auto" w:sz="4" w:space="0"/>
              <w:bottom w:val="single" w:color="auto" w:sz="4" w:space="0"/>
              <w:right w:val="single" w:color="auto" w:sz="4" w:space="0"/>
            </w:tcBorders>
            <w:noWrap/>
            <w:vAlign w:val="center"/>
          </w:tcPr>
          <w:p w14:paraId="411A401D">
            <w:pPr>
              <w:widowControl/>
              <w:jc w:val="center"/>
              <w:rPr>
                <w:rFonts w:hint="eastAsia" w:ascii="宋体" w:hAnsi="宋体" w:cs="宋体"/>
                <w:kern w:val="0"/>
                <w:szCs w:val="21"/>
              </w:rPr>
            </w:pPr>
            <w:r>
              <w:rPr>
                <w:rFonts w:hint="eastAsia" w:ascii="宋体" w:hAnsi="宋体" w:cs="宋体"/>
                <w:kern w:val="0"/>
                <w:szCs w:val="21"/>
              </w:rPr>
              <w:t>2</w:t>
            </w:r>
          </w:p>
        </w:tc>
        <w:tc>
          <w:tcPr>
            <w:tcW w:w="1161" w:type="dxa"/>
            <w:tcBorders>
              <w:top w:val="nil"/>
              <w:left w:val="nil"/>
              <w:bottom w:val="single" w:color="auto" w:sz="4" w:space="0"/>
              <w:right w:val="single" w:color="auto" w:sz="4" w:space="0"/>
            </w:tcBorders>
            <w:noWrap w:val="0"/>
            <w:vAlign w:val="center"/>
          </w:tcPr>
          <w:p w14:paraId="54174135">
            <w:pPr>
              <w:widowControl/>
              <w:jc w:val="center"/>
              <w:rPr>
                <w:rFonts w:hint="eastAsia" w:ascii="宋体" w:hAnsi="宋体" w:cs="宋体"/>
                <w:kern w:val="0"/>
                <w:szCs w:val="21"/>
              </w:rPr>
            </w:pPr>
            <w:r>
              <w:rPr>
                <w:rFonts w:hint="eastAsia" w:ascii="宋体" w:hAnsi="宋体" w:cs="宋体"/>
                <w:kern w:val="0"/>
                <w:szCs w:val="21"/>
              </w:rPr>
              <w:t>办公椅（高背）</w:t>
            </w:r>
          </w:p>
        </w:tc>
        <w:tc>
          <w:tcPr>
            <w:tcW w:w="2315" w:type="dxa"/>
            <w:tcBorders>
              <w:top w:val="nil"/>
              <w:left w:val="nil"/>
              <w:bottom w:val="single" w:color="auto" w:sz="4" w:space="0"/>
              <w:right w:val="single" w:color="auto" w:sz="4" w:space="0"/>
            </w:tcBorders>
            <w:noWrap/>
            <w:vAlign w:val="center"/>
          </w:tcPr>
          <w:p w14:paraId="55056C66">
            <w:pPr>
              <w:widowControl/>
              <w:jc w:val="center"/>
              <w:rPr>
                <w:rFonts w:hint="eastAsia" w:ascii="宋体" w:hAnsi="宋体" w:cs="宋体"/>
                <w:kern w:val="0"/>
                <w:szCs w:val="21"/>
              </w:rPr>
            </w:pPr>
            <w:r>
              <w:rPr>
                <w:rFonts w:hint="eastAsia" w:ascii="宋体" w:hAnsi="宋体" w:cs="宋体"/>
                <w:kern w:val="0"/>
                <w:szCs w:val="21"/>
              </w:rPr>
              <w:t>620W*660D*1160-1220H</w:t>
            </w:r>
          </w:p>
        </w:tc>
        <w:tc>
          <w:tcPr>
            <w:tcW w:w="2300" w:type="dxa"/>
            <w:tcBorders>
              <w:top w:val="nil"/>
              <w:left w:val="nil"/>
              <w:bottom w:val="single" w:color="auto" w:sz="4" w:space="0"/>
              <w:right w:val="single" w:color="auto" w:sz="4" w:space="0"/>
            </w:tcBorders>
            <w:noWrap/>
            <w:vAlign w:val="center"/>
          </w:tcPr>
          <w:p w14:paraId="5CCEDDD5">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fldChar w:fldCharType="begin"/>
            </w:r>
            <w:r>
              <w:rPr>
                <w:rFonts w:hint="eastAsia" w:ascii="微软雅黑" w:hAnsi="微软雅黑" w:eastAsia="微软雅黑" w:cs="微软雅黑"/>
                <w:color w:val="000000"/>
                <w:kern w:val="0"/>
                <w:sz w:val="22"/>
                <w:szCs w:val="22"/>
                <w:lang w:bidi="ar"/>
              </w:rPr>
              <w:instrText xml:space="preserve">INCLUDEPICTURE \d "C:\\Users\\ADMINI~1\\AppData\\Local\\Temp\\ksohtml\\clip_cell_image41.png" \* MERGEFORMATINET </w:instrText>
            </w:r>
            <w:r>
              <w:rPr>
                <w:rFonts w:hint="eastAsia" w:ascii="微软雅黑" w:hAnsi="微软雅黑" w:eastAsia="微软雅黑" w:cs="微软雅黑"/>
                <w:color w:val="000000"/>
                <w:kern w:val="0"/>
                <w:sz w:val="22"/>
                <w:szCs w:val="22"/>
                <w:lang w:bidi="ar"/>
              </w:rPr>
              <w:fldChar w:fldCharType="separate"/>
            </w:r>
            <w:r>
              <w:rPr>
                <w:rFonts w:hint="eastAsia" w:ascii="微软雅黑" w:hAnsi="微软雅黑" w:eastAsia="微软雅黑" w:cs="微软雅黑"/>
                <w:color w:val="000000"/>
                <w:kern w:val="0"/>
                <w:sz w:val="22"/>
                <w:szCs w:val="22"/>
                <w:lang w:bidi="ar"/>
              </w:rPr>
              <w:drawing>
                <wp:inline distT="0" distB="0" distL="114300" distR="114300">
                  <wp:extent cx="800100" cy="1238885"/>
                  <wp:effectExtent l="0" t="0" r="0" b="18415"/>
                  <wp:docPr id="15"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 descr="IMG_256"/>
                          <pic:cNvPicPr>
                            <a:picLocks noChangeAspect="1"/>
                          </pic:cNvPicPr>
                        </pic:nvPicPr>
                        <pic:blipFill>
                          <a:blip r:embed="rId10"/>
                          <a:stretch>
                            <a:fillRect/>
                          </a:stretch>
                        </pic:blipFill>
                        <pic:spPr>
                          <a:xfrm>
                            <a:off x="0" y="0"/>
                            <a:ext cx="800100" cy="1238885"/>
                          </a:xfrm>
                          <a:prstGeom prst="rect">
                            <a:avLst/>
                          </a:prstGeom>
                          <a:noFill/>
                          <a:ln>
                            <a:noFill/>
                          </a:ln>
                        </pic:spPr>
                      </pic:pic>
                    </a:graphicData>
                  </a:graphic>
                </wp:inline>
              </w:drawing>
            </w:r>
            <w:r>
              <w:rPr>
                <w:rFonts w:hint="eastAsia" w:ascii="微软雅黑" w:hAnsi="微软雅黑" w:eastAsia="微软雅黑" w:cs="微软雅黑"/>
                <w:color w:val="000000"/>
                <w:kern w:val="0"/>
                <w:sz w:val="22"/>
                <w:szCs w:val="22"/>
                <w:lang w:bidi="ar"/>
              </w:rPr>
              <w:fldChar w:fldCharType="end"/>
            </w:r>
          </w:p>
        </w:tc>
        <w:tc>
          <w:tcPr>
            <w:tcW w:w="991" w:type="dxa"/>
            <w:tcBorders>
              <w:top w:val="nil"/>
              <w:left w:val="nil"/>
              <w:bottom w:val="single" w:color="auto" w:sz="4" w:space="0"/>
              <w:right w:val="single" w:color="auto" w:sz="4" w:space="0"/>
            </w:tcBorders>
            <w:noWrap/>
            <w:vAlign w:val="center"/>
          </w:tcPr>
          <w:p w14:paraId="7BED20F0">
            <w:pPr>
              <w:widowControl/>
              <w:jc w:val="center"/>
              <w:rPr>
                <w:rFonts w:hint="eastAsia" w:ascii="宋体" w:hAnsi="宋体" w:cs="宋体"/>
                <w:kern w:val="0"/>
                <w:szCs w:val="21"/>
              </w:rPr>
            </w:pPr>
            <w:r>
              <w:rPr>
                <w:rFonts w:hint="eastAsia" w:ascii="宋体" w:hAnsi="宋体" w:cs="宋体"/>
                <w:kern w:val="0"/>
                <w:szCs w:val="21"/>
              </w:rPr>
              <w:t>把</w:t>
            </w:r>
          </w:p>
        </w:tc>
        <w:tc>
          <w:tcPr>
            <w:tcW w:w="659" w:type="dxa"/>
            <w:tcBorders>
              <w:top w:val="nil"/>
              <w:left w:val="nil"/>
              <w:bottom w:val="single" w:color="auto" w:sz="4" w:space="0"/>
              <w:right w:val="single" w:color="auto" w:sz="4" w:space="0"/>
            </w:tcBorders>
            <w:noWrap/>
            <w:vAlign w:val="center"/>
          </w:tcPr>
          <w:p w14:paraId="652E7EF2">
            <w:pPr>
              <w:widowControl/>
              <w:jc w:val="center"/>
              <w:rPr>
                <w:rFonts w:hint="eastAsia" w:ascii="宋体" w:hAnsi="宋体" w:cs="宋体"/>
                <w:kern w:val="0"/>
                <w:szCs w:val="21"/>
              </w:rPr>
            </w:pPr>
            <w:r>
              <w:rPr>
                <w:rFonts w:hint="eastAsia" w:ascii="宋体" w:hAnsi="宋体" w:cs="宋体"/>
                <w:kern w:val="0"/>
                <w:szCs w:val="21"/>
              </w:rPr>
              <w:t>49</w:t>
            </w:r>
          </w:p>
        </w:tc>
        <w:tc>
          <w:tcPr>
            <w:tcW w:w="6256" w:type="dxa"/>
            <w:tcBorders>
              <w:top w:val="nil"/>
              <w:left w:val="nil"/>
              <w:bottom w:val="single" w:color="auto" w:sz="4" w:space="0"/>
              <w:right w:val="single" w:color="auto" w:sz="4" w:space="0"/>
            </w:tcBorders>
            <w:noWrap w:val="0"/>
            <w:vAlign w:val="center"/>
          </w:tcPr>
          <w:p w14:paraId="65D982BC">
            <w:pPr>
              <w:widowControl/>
              <w:jc w:val="left"/>
              <w:rPr>
                <w:rFonts w:hint="eastAsia" w:ascii="宋体" w:hAnsi="宋体" w:cs="宋体"/>
                <w:kern w:val="0"/>
                <w:szCs w:val="21"/>
              </w:rPr>
            </w:pPr>
            <w:r>
              <w:rPr>
                <w:rFonts w:hint="eastAsia" w:ascii="宋体" w:hAnsi="宋体" w:cs="宋体"/>
                <w:kern w:val="0"/>
                <w:szCs w:val="21"/>
              </w:rPr>
              <w:t>饰面：选用优质超纤西皮经液态浸色及防潮、防污等工艺处理；使用优质高弹性定型海棉，定型海棉密度座面≥45kg/m3，背≥45kg/m3，回弹性40%，表面涂有防止老化变形的保护膜，理化性能应符合国家现行标准，软硬适中，压膜量达到国家现行检测标准；椅框PA尼龙+加纤塑料颜色有黑色、白色和银色；背部由二部分给成，分为上背板和下背座，扶手连体胶板，均采用高强度工程采用PA尼龙加纤塑料，背可扪皮或布，坐高和座背倾仰角度和力度可以调节。优质品牌气压棒；能轻松调节高度（受力≥250kg）；伸缩30万次不漏气。</w:t>
            </w:r>
            <w:r>
              <w:rPr>
                <w:rFonts w:hint="eastAsia" w:ascii="宋体" w:hAnsi="宋体" w:cs="宋体"/>
                <w:kern w:val="0"/>
                <w:szCs w:val="21"/>
              </w:rPr>
              <w:br w:type="page"/>
            </w:r>
            <w:r>
              <w:rPr>
                <w:rFonts w:hint="eastAsia" w:ascii="宋体" w:hAnsi="宋体" w:cs="宋体"/>
                <w:kern w:val="0"/>
                <w:szCs w:val="21"/>
              </w:rPr>
              <w:t xml:space="preserve"> 配备有：多功能底盘，带升降功能及靠背倾仰锁定功能；配置铝合金脚;2.5寸PU静音轮，能有效避免刮伤地面和降低滚动时产生的噪音；适用于办公、会议等场合。</w:t>
            </w:r>
          </w:p>
        </w:tc>
        <w:tc>
          <w:tcPr>
            <w:tcW w:w="236" w:type="dxa"/>
            <w:noWrap w:val="0"/>
            <w:vAlign w:val="center"/>
          </w:tcPr>
          <w:p w14:paraId="3A4944AE">
            <w:pPr>
              <w:widowControl/>
              <w:jc w:val="left"/>
              <w:rPr>
                <w:rFonts w:ascii="宋体" w:hAnsi="宋体"/>
                <w:kern w:val="0"/>
                <w:szCs w:val="21"/>
              </w:rPr>
            </w:pPr>
          </w:p>
        </w:tc>
      </w:tr>
      <w:tr w14:paraId="1AE8697C">
        <w:tblPrEx>
          <w:tblCellMar>
            <w:top w:w="0" w:type="dxa"/>
            <w:left w:w="108" w:type="dxa"/>
            <w:bottom w:w="0" w:type="dxa"/>
            <w:right w:w="108" w:type="dxa"/>
          </w:tblCellMar>
        </w:tblPrEx>
        <w:trPr>
          <w:gridAfter w:val="2"/>
          <w:wAfter w:w="13296" w:type="dxa"/>
          <w:trHeight w:val="20" w:hRule="atLeast"/>
        </w:trPr>
        <w:tc>
          <w:tcPr>
            <w:tcW w:w="635" w:type="dxa"/>
            <w:tcBorders>
              <w:top w:val="nil"/>
              <w:left w:val="single" w:color="auto" w:sz="4" w:space="0"/>
              <w:bottom w:val="single" w:color="auto" w:sz="4" w:space="0"/>
              <w:right w:val="single" w:color="auto" w:sz="4" w:space="0"/>
            </w:tcBorders>
            <w:noWrap/>
            <w:vAlign w:val="center"/>
          </w:tcPr>
          <w:p w14:paraId="22B50B39">
            <w:pPr>
              <w:widowControl/>
              <w:jc w:val="center"/>
              <w:rPr>
                <w:rFonts w:hint="eastAsia" w:ascii="宋体" w:hAnsi="宋体" w:cs="宋体"/>
                <w:kern w:val="0"/>
                <w:szCs w:val="21"/>
              </w:rPr>
            </w:pPr>
            <w:r>
              <w:rPr>
                <w:rFonts w:hint="eastAsia" w:ascii="宋体" w:hAnsi="宋体" w:cs="宋体"/>
                <w:kern w:val="0"/>
                <w:szCs w:val="21"/>
              </w:rPr>
              <w:t>3</w:t>
            </w:r>
          </w:p>
        </w:tc>
        <w:tc>
          <w:tcPr>
            <w:tcW w:w="1161" w:type="dxa"/>
            <w:tcBorders>
              <w:top w:val="nil"/>
              <w:left w:val="nil"/>
              <w:bottom w:val="single" w:color="auto" w:sz="4" w:space="0"/>
              <w:right w:val="single" w:color="auto" w:sz="4" w:space="0"/>
            </w:tcBorders>
            <w:noWrap w:val="0"/>
            <w:vAlign w:val="center"/>
          </w:tcPr>
          <w:p w14:paraId="4BEFA93F">
            <w:pPr>
              <w:widowControl/>
              <w:jc w:val="center"/>
              <w:rPr>
                <w:rFonts w:hint="eastAsia" w:ascii="宋体" w:hAnsi="宋体" w:cs="宋体"/>
                <w:kern w:val="0"/>
                <w:szCs w:val="21"/>
              </w:rPr>
            </w:pPr>
            <w:r>
              <w:rPr>
                <w:rFonts w:hint="eastAsia" w:ascii="宋体" w:hAnsi="宋体" w:cs="宋体"/>
                <w:kern w:val="0"/>
                <w:szCs w:val="21"/>
              </w:rPr>
              <w:t>七人位控制台</w:t>
            </w:r>
          </w:p>
        </w:tc>
        <w:tc>
          <w:tcPr>
            <w:tcW w:w="2315" w:type="dxa"/>
            <w:tcBorders>
              <w:top w:val="nil"/>
              <w:left w:val="nil"/>
              <w:bottom w:val="single" w:color="auto" w:sz="4" w:space="0"/>
              <w:right w:val="single" w:color="auto" w:sz="4" w:space="0"/>
            </w:tcBorders>
            <w:noWrap w:val="0"/>
            <w:vAlign w:val="center"/>
          </w:tcPr>
          <w:p w14:paraId="48457461">
            <w:pPr>
              <w:widowControl/>
              <w:jc w:val="center"/>
              <w:rPr>
                <w:rFonts w:hint="eastAsia" w:ascii="宋体" w:hAnsi="宋体" w:cs="宋体"/>
                <w:kern w:val="0"/>
                <w:szCs w:val="21"/>
              </w:rPr>
            </w:pPr>
            <w:r>
              <w:rPr>
                <w:rFonts w:hint="eastAsia" w:ascii="宋体" w:hAnsi="宋体" w:cs="宋体"/>
                <w:kern w:val="0"/>
                <w:szCs w:val="21"/>
              </w:rPr>
              <w:t>5600W*695D*750H</w:t>
            </w:r>
          </w:p>
        </w:tc>
        <w:tc>
          <w:tcPr>
            <w:tcW w:w="2300" w:type="dxa"/>
            <w:tcBorders>
              <w:top w:val="nil"/>
              <w:left w:val="nil"/>
              <w:bottom w:val="single" w:color="auto" w:sz="4" w:space="0"/>
              <w:right w:val="single" w:color="auto" w:sz="4" w:space="0"/>
            </w:tcBorders>
            <w:noWrap/>
            <w:vAlign w:val="center"/>
          </w:tcPr>
          <w:p w14:paraId="730E2F48">
            <w:pPr>
              <w:widowControl/>
              <w:jc w:val="left"/>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fldChar w:fldCharType="begin"/>
            </w:r>
            <w:r>
              <w:rPr>
                <w:rFonts w:hint="eastAsia" w:ascii="等线" w:hAnsi="等线" w:eastAsia="等线" w:cs="等线"/>
                <w:color w:val="000000"/>
                <w:kern w:val="0"/>
                <w:sz w:val="22"/>
                <w:szCs w:val="22"/>
                <w:lang w:bidi="ar"/>
              </w:rPr>
              <w:instrText xml:space="preserve">INCLUDEPICTURE \d "C:\\Users\\ADMINI~1\\AppData\\Local\\Temp\\ksohtml\\clip_cell_image42.png" \* MERGEFORMATINET </w:instrText>
            </w:r>
            <w:r>
              <w:rPr>
                <w:rFonts w:hint="eastAsia" w:ascii="等线" w:hAnsi="等线" w:eastAsia="等线" w:cs="等线"/>
                <w:color w:val="000000"/>
                <w:kern w:val="0"/>
                <w:sz w:val="22"/>
                <w:szCs w:val="22"/>
                <w:lang w:bidi="ar"/>
              </w:rPr>
              <w:fldChar w:fldCharType="separate"/>
            </w:r>
            <w:r>
              <w:rPr>
                <w:rFonts w:hint="eastAsia" w:ascii="等线" w:hAnsi="等线" w:eastAsia="等线" w:cs="等线"/>
                <w:color w:val="000000"/>
                <w:kern w:val="0"/>
                <w:sz w:val="22"/>
                <w:szCs w:val="22"/>
                <w:lang w:bidi="ar"/>
              </w:rPr>
              <w:drawing>
                <wp:inline distT="0" distB="0" distL="114300" distR="114300">
                  <wp:extent cx="1373505" cy="1251585"/>
                  <wp:effectExtent l="0" t="0" r="17145" b="5715"/>
                  <wp:docPr id="11"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IMG_256"/>
                          <pic:cNvPicPr>
                            <a:picLocks noChangeAspect="1"/>
                          </pic:cNvPicPr>
                        </pic:nvPicPr>
                        <pic:blipFill>
                          <a:blip r:embed="rId11"/>
                          <a:stretch>
                            <a:fillRect/>
                          </a:stretch>
                        </pic:blipFill>
                        <pic:spPr>
                          <a:xfrm>
                            <a:off x="0" y="0"/>
                            <a:ext cx="1373505" cy="1251585"/>
                          </a:xfrm>
                          <a:prstGeom prst="rect">
                            <a:avLst/>
                          </a:prstGeom>
                          <a:noFill/>
                          <a:ln>
                            <a:noFill/>
                          </a:ln>
                        </pic:spPr>
                      </pic:pic>
                    </a:graphicData>
                  </a:graphic>
                </wp:inline>
              </w:drawing>
            </w:r>
            <w:r>
              <w:rPr>
                <w:rFonts w:hint="eastAsia" w:ascii="等线" w:hAnsi="等线" w:eastAsia="等线" w:cs="等线"/>
                <w:color w:val="000000"/>
                <w:kern w:val="0"/>
                <w:sz w:val="22"/>
                <w:szCs w:val="22"/>
                <w:lang w:bidi="ar"/>
              </w:rPr>
              <w:fldChar w:fldCharType="end"/>
            </w:r>
          </w:p>
        </w:tc>
        <w:tc>
          <w:tcPr>
            <w:tcW w:w="991" w:type="dxa"/>
            <w:tcBorders>
              <w:top w:val="nil"/>
              <w:left w:val="nil"/>
              <w:bottom w:val="single" w:color="auto" w:sz="4" w:space="0"/>
              <w:right w:val="single" w:color="auto" w:sz="4" w:space="0"/>
            </w:tcBorders>
            <w:noWrap/>
            <w:vAlign w:val="center"/>
          </w:tcPr>
          <w:p w14:paraId="0FF21A0A">
            <w:pPr>
              <w:widowControl/>
              <w:jc w:val="center"/>
              <w:rPr>
                <w:rFonts w:hint="eastAsia" w:ascii="宋体" w:hAnsi="宋体" w:cs="宋体"/>
                <w:kern w:val="0"/>
                <w:szCs w:val="21"/>
              </w:rPr>
            </w:pPr>
            <w:r>
              <w:rPr>
                <w:rFonts w:hint="eastAsia" w:ascii="宋体" w:hAnsi="宋体" w:cs="宋体"/>
                <w:kern w:val="0"/>
                <w:szCs w:val="21"/>
              </w:rPr>
              <w:t>套</w:t>
            </w:r>
          </w:p>
        </w:tc>
        <w:tc>
          <w:tcPr>
            <w:tcW w:w="659" w:type="dxa"/>
            <w:tcBorders>
              <w:top w:val="nil"/>
              <w:left w:val="nil"/>
              <w:bottom w:val="single" w:color="auto" w:sz="4" w:space="0"/>
              <w:right w:val="single" w:color="auto" w:sz="4" w:space="0"/>
            </w:tcBorders>
            <w:noWrap/>
            <w:vAlign w:val="center"/>
          </w:tcPr>
          <w:p w14:paraId="66EB86C0">
            <w:pPr>
              <w:widowControl/>
              <w:jc w:val="center"/>
              <w:rPr>
                <w:rFonts w:hint="eastAsia" w:ascii="宋体" w:hAnsi="宋体" w:cs="宋体"/>
                <w:kern w:val="0"/>
                <w:szCs w:val="21"/>
              </w:rPr>
            </w:pPr>
            <w:r>
              <w:rPr>
                <w:rFonts w:hint="eastAsia" w:ascii="宋体" w:hAnsi="宋体" w:cs="宋体"/>
                <w:kern w:val="0"/>
                <w:szCs w:val="21"/>
              </w:rPr>
              <w:t>3</w:t>
            </w:r>
          </w:p>
        </w:tc>
        <w:tc>
          <w:tcPr>
            <w:tcW w:w="6256" w:type="dxa"/>
            <w:tcBorders>
              <w:top w:val="nil"/>
              <w:left w:val="nil"/>
              <w:bottom w:val="single" w:color="auto" w:sz="4" w:space="0"/>
              <w:right w:val="single" w:color="auto" w:sz="4" w:space="0"/>
            </w:tcBorders>
            <w:noWrap w:val="0"/>
            <w:vAlign w:val="center"/>
          </w:tcPr>
          <w:p w14:paraId="09B76269">
            <w:pPr>
              <w:widowControl/>
              <w:jc w:val="left"/>
              <w:rPr>
                <w:rFonts w:hint="eastAsia" w:ascii="宋体" w:hAnsi="宋体" w:cs="宋体"/>
                <w:kern w:val="0"/>
                <w:szCs w:val="21"/>
              </w:rPr>
            </w:pPr>
            <w:r>
              <w:rPr>
                <w:rFonts w:hint="eastAsia" w:ascii="宋体" w:hAnsi="宋体" w:cs="宋体"/>
                <w:kern w:val="0"/>
                <w:szCs w:val="21"/>
              </w:rPr>
              <w:t>1、基材：采用优质环保ENF级高密度中纤板,甲醛含量≤0.8mg/L密度≥760kg/m3,静曲张度≥ 51.5Mpa,吸水膨胀率≤8.1%；</w:t>
            </w:r>
            <w:r>
              <w:rPr>
                <w:rFonts w:hint="eastAsia" w:ascii="宋体" w:hAnsi="宋体" w:cs="宋体"/>
                <w:kern w:val="0"/>
                <w:szCs w:val="21"/>
              </w:rPr>
              <w:br w:type="textWrapping"/>
            </w:r>
            <w:r>
              <w:rPr>
                <w:rFonts w:hint="eastAsia" w:ascii="宋体" w:hAnsi="宋体" w:cs="宋体"/>
                <w:kern w:val="0"/>
                <w:szCs w:val="21"/>
              </w:rPr>
              <w:t xml:space="preserve">2、烤漆涂层固化后其涂层的稳定性、耐久性、耐候性、耐摩擦性、耐腐蚀性和硬度高，经抛光后，表面光洁度高，镜面效果好； </w:t>
            </w:r>
            <w:r>
              <w:rPr>
                <w:rFonts w:hint="eastAsia" w:ascii="宋体" w:hAnsi="宋体" w:cs="宋体"/>
                <w:kern w:val="0"/>
                <w:szCs w:val="21"/>
              </w:rPr>
              <w:br w:type="textWrapping"/>
            </w:r>
            <w:r>
              <w:rPr>
                <w:rFonts w:hint="eastAsia" w:ascii="宋体" w:hAnsi="宋体" w:cs="宋体"/>
                <w:kern w:val="0"/>
                <w:szCs w:val="21"/>
              </w:rPr>
              <w:t xml:space="preserve">3、防潮、防水性能 优越；不需封边；易清洁，不渗油，不褪色；                                        </w:t>
            </w:r>
            <w:r>
              <w:rPr>
                <w:rFonts w:hint="eastAsia" w:ascii="宋体" w:hAnsi="宋体" w:cs="宋体"/>
                <w:kern w:val="0"/>
                <w:szCs w:val="21"/>
              </w:rPr>
              <w:br w:type="textWrapping"/>
            </w:r>
            <w:r>
              <w:rPr>
                <w:rFonts w:hint="eastAsia" w:ascii="宋体" w:hAnsi="宋体" w:cs="宋体"/>
                <w:kern w:val="0"/>
                <w:szCs w:val="21"/>
              </w:rPr>
              <w:t>4、主体框架：材质为冷轧钢板SPCC冲压折弯成型，均匀数控剪切，平稳冲压，无焦点焊接，打沙，脱脂，酸洗，防锈磷化，静电喷塑。门板以及内部结构件厚度为1.0-1.5mm冷轧钢板。控制台装饰防眩目灯带，灯光颜色蒂芙尼蓝色。</w:t>
            </w:r>
            <w:r>
              <w:rPr>
                <w:rFonts w:hint="eastAsia" w:ascii="宋体" w:hAnsi="宋体" w:cs="宋体"/>
                <w:kern w:val="0"/>
                <w:szCs w:val="21"/>
              </w:rPr>
              <w:br w:type="textWrapping"/>
            </w:r>
            <w:r>
              <w:rPr>
                <w:rFonts w:hint="eastAsia" w:ascii="宋体" w:hAnsi="宋体" w:cs="宋体"/>
                <w:kern w:val="0"/>
                <w:szCs w:val="21"/>
              </w:rPr>
              <w:t>5、散热：调度控制台底部设计空间大，前后有门，前后门上有散气孔，可实现空气对流通畅，使设备安全性得到有效保证。</w:t>
            </w:r>
            <w:r>
              <w:rPr>
                <w:rFonts w:hint="eastAsia" w:ascii="宋体" w:hAnsi="宋体" w:cs="宋体"/>
                <w:kern w:val="0"/>
                <w:szCs w:val="21"/>
              </w:rPr>
              <w:br w:type="textWrapping"/>
            </w:r>
            <w:r>
              <w:rPr>
                <w:rFonts w:hint="eastAsia" w:ascii="宋体" w:hAnsi="宋体" w:cs="宋体"/>
                <w:kern w:val="0"/>
                <w:szCs w:val="21"/>
              </w:rPr>
              <w:t>6、理线：调度控制台内部设计专业的强弱电布线设计，将电源线与信号线使用专业线槽分开布置，确保不互相干扰。</w:t>
            </w:r>
            <w:r>
              <w:rPr>
                <w:rFonts w:hint="eastAsia" w:ascii="宋体" w:hAnsi="宋体" w:cs="宋体"/>
                <w:kern w:val="0"/>
                <w:szCs w:val="21"/>
              </w:rPr>
              <w:br w:type="textWrapping"/>
            </w:r>
            <w:r>
              <w:rPr>
                <w:rFonts w:hint="eastAsia" w:ascii="宋体" w:hAnsi="宋体" w:cs="宋体"/>
                <w:kern w:val="0"/>
                <w:szCs w:val="21"/>
              </w:rPr>
              <w:t>7、屏风：显示器后屏风采用高度200mm工业拉铝型材，表面黑色喷涂处理，凹槽可悬挂显示器支架;后屏风顶端镶嵌亚克力及发光灯带，铝型材横截面尺寸是根据此款式控制台架构特殊制定制，可安装特制的LCD支架、工作灯、电话架、文件架等，以明确坐席功能及提升整体形象。</w:t>
            </w:r>
            <w:r>
              <w:rPr>
                <w:rFonts w:hint="eastAsia" w:ascii="宋体" w:hAnsi="宋体" w:cs="宋体"/>
                <w:kern w:val="0"/>
                <w:szCs w:val="21"/>
              </w:rPr>
              <w:br w:type="textWrapping"/>
            </w:r>
            <w:r>
              <w:rPr>
                <w:rFonts w:hint="eastAsia" w:ascii="宋体" w:hAnsi="宋体" w:cs="宋体"/>
                <w:kern w:val="0"/>
                <w:szCs w:val="21"/>
              </w:rPr>
              <w:t>8、键盘架：双节走珠滑轨</w:t>
            </w:r>
            <w:r>
              <w:rPr>
                <w:rFonts w:hint="eastAsia" w:ascii="宋体" w:hAnsi="宋体" w:cs="宋体"/>
                <w:kern w:val="0"/>
                <w:szCs w:val="21"/>
              </w:rPr>
              <w:br w:type="textWrapping"/>
            </w:r>
            <w:r>
              <w:rPr>
                <w:rFonts w:hint="eastAsia" w:ascii="宋体" w:hAnsi="宋体" w:cs="宋体"/>
                <w:kern w:val="0"/>
                <w:szCs w:val="21"/>
              </w:rPr>
              <w:t>9、带隐藏式走线功能</w:t>
            </w:r>
            <w:r>
              <w:rPr>
                <w:rFonts w:hint="eastAsia" w:ascii="宋体" w:hAnsi="宋体" w:cs="宋体"/>
                <w:kern w:val="0"/>
                <w:szCs w:val="21"/>
              </w:rPr>
              <w:br w:type="textWrapping"/>
            </w:r>
            <w:r>
              <w:rPr>
                <w:rFonts w:hint="eastAsia" w:ascii="宋体" w:hAnsi="宋体" w:cs="宋体"/>
                <w:kern w:val="0"/>
                <w:szCs w:val="21"/>
              </w:rPr>
              <w:t>10、胶水：采用优质环保品牌绿色环保胶水。</w:t>
            </w:r>
            <w:r>
              <w:rPr>
                <w:rFonts w:hint="eastAsia" w:ascii="宋体" w:hAnsi="宋体" w:cs="宋体"/>
                <w:kern w:val="0"/>
                <w:szCs w:val="21"/>
              </w:rPr>
              <w:br w:type="textWrapping"/>
            </w:r>
            <w:r>
              <w:rPr>
                <w:rFonts w:hint="eastAsia" w:ascii="宋体" w:hAnsi="宋体" w:cs="宋体"/>
                <w:kern w:val="0"/>
                <w:szCs w:val="21"/>
              </w:rPr>
              <w:t>11、五金配件：采用优质品牌的门铰五金锁具，满足QB/T 2189-2013检测，要求耐久性达到8万次。</w:t>
            </w:r>
          </w:p>
        </w:tc>
        <w:tc>
          <w:tcPr>
            <w:tcW w:w="236" w:type="dxa"/>
            <w:noWrap w:val="0"/>
            <w:vAlign w:val="center"/>
          </w:tcPr>
          <w:p w14:paraId="515176C8">
            <w:pPr>
              <w:widowControl/>
              <w:jc w:val="left"/>
              <w:rPr>
                <w:rFonts w:ascii="宋体" w:hAnsi="宋体"/>
                <w:kern w:val="0"/>
                <w:szCs w:val="21"/>
              </w:rPr>
            </w:pPr>
          </w:p>
        </w:tc>
      </w:tr>
      <w:tr w14:paraId="3FB68EF4">
        <w:tblPrEx>
          <w:tblCellMar>
            <w:top w:w="0" w:type="dxa"/>
            <w:left w:w="108" w:type="dxa"/>
            <w:bottom w:w="0" w:type="dxa"/>
            <w:right w:w="108" w:type="dxa"/>
          </w:tblCellMar>
        </w:tblPrEx>
        <w:trPr>
          <w:gridAfter w:val="2"/>
          <w:wAfter w:w="13296" w:type="dxa"/>
          <w:trHeight w:val="20" w:hRule="atLeast"/>
        </w:trPr>
        <w:tc>
          <w:tcPr>
            <w:tcW w:w="635" w:type="dxa"/>
            <w:tcBorders>
              <w:top w:val="nil"/>
              <w:left w:val="single" w:color="auto" w:sz="4" w:space="0"/>
              <w:bottom w:val="single" w:color="auto" w:sz="4" w:space="0"/>
              <w:right w:val="single" w:color="auto" w:sz="4" w:space="0"/>
            </w:tcBorders>
            <w:noWrap/>
            <w:vAlign w:val="center"/>
          </w:tcPr>
          <w:p w14:paraId="3A39353D">
            <w:pPr>
              <w:widowControl/>
              <w:jc w:val="center"/>
              <w:rPr>
                <w:rFonts w:hint="eastAsia" w:ascii="宋体" w:hAnsi="宋体" w:cs="宋体"/>
                <w:kern w:val="0"/>
                <w:szCs w:val="21"/>
              </w:rPr>
            </w:pPr>
            <w:r>
              <w:rPr>
                <w:rFonts w:hint="eastAsia" w:ascii="宋体" w:hAnsi="宋体" w:cs="宋体"/>
                <w:kern w:val="0"/>
                <w:szCs w:val="21"/>
              </w:rPr>
              <w:t>4</w:t>
            </w:r>
          </w:p>
        </w:tc>
        <w:tc>
          <w:tcPr>
            <w:tcW w:w="1161" w:type="dxa"/>
            <w:tcBorders>
              <w:top w:val="nil"/>
              <w:left w:val="nil"/>
              <w:bottom w:val="single" w:color="auto" w:sz="4" w:space="0"/>
              <w:right w:val="single" w:color="auto" w:sz="4" w:space="0"/>
            </w:tcBorders>
            <w:noWrap w:val="0"/>
            <w:vAlign w:val="center"/>
          </w:tcPr>
          <w:p w14:paraId="1B30A115">
            <w:pPr>
              <w:widowControl/>
              <w:jc w:val="center"/>
              <w:rPr>
                <w:rFonts w:hint="eastAsia" w:ascii="宋体" w:hAnsi="宋体" w:cs="宋体"/>
                <w:kern w:val="0"/>
                <w:szCs w:val="21"/>
              </w:rPr>
            </w:pPr>
            <w:r>
              <w:rPr>
                <w:rFonts w:hint="eastAsia" w:ascii="宋体" w:hAnsi="宋体" w:cs="宋体"/>
                <w:kern w:val="0"/>
                <w:szCs w:val="21"/>
              </w:rPr>
              <w:t>四人位控制台</w:t>
            </w:r>
          </w:p>
        </w:tc>
        <w:tc>
          <w:tcPr>
            <w:tcW w:w="2315" w:type="dxa"/>
            <w:tcBorders>
              <w:top w:val="nil"/>
              <w:left w:val="nil"/>
              <w:bottom w:val="single" w:color="auto" w:sz="4" w:space="0"/>
              <w:right w:val="single" w:color="auto" w:sz="4" w:space="0"/>
            </w:tcBorders>
            <w:noWrap w:val="0"/>
            <w:vAlign w:val="center"/>
          </w:tcPr>
          <w:p w14:paraId="2E65816E">
            <w:pPr>
              <w:widowControl/>
              <w:jc w:val="center"/>
              <w:rPr>
                <w:rFonts w:hint="eastAsia" w:ascii="宋体" w:hAnsi="宋体" w:cs="宋体"/>
                <w:kern w:val="0"/>
                <w:szCs w:val="21"/>
              </w:rPr>
            </w:pPr>
            <w:r>
              <w:rPr>
                <w:rFonts w:hint="eastAsia" w:ascii="宋体" w:hAnsi="宋体" w:cs="宋体"/>
                <w:kern w:val="0"/>
                <w:szCs w:val="21"/>
              </w:rPr>
              <w:t>5600W*800D*950H</w:t>
            </w:r>
          </w:p>
        </w:tc>
        <w:tc>
          <w:tcPr>
            <w:tcW w:w="2300" w:type="dxa"/>
            <w:tcBorders>
              <w:top w:val="nil"/>
              <w:left w:val="nil"/>
              <w:bottom w:val="single" w:color="auto" w:sz="4" w:space="0"/>
              <w:right w:val="single" w:color="auto" w:sz="4" w:space="0"/>
            </w:tcBorders>
            <w:noWrap/>
            <w:vAlign w:val="center"/>
          </w:tcPr>
          <w:p w14:paraId="5CC3AA9E">
            <w:pPr>
              <w:widowControl/>
              <w:jc w:val="left"/>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fldChar w:fldCharType="begin"/>
            </w:r>
            <w:r>
              <w:rPr>
                <w:rFonts w:hint="eastAsia" w:ascii="等线" w:hAnsi="等线" w:eastAsia="等线" w:cs="等线"/>
                <w:color w:val="000000"/>
                <w:kern w:val="0"/>
                <w:sz w:val="22"/>
                <w:szCs w:val="22"/>
                <w:lang w:bidi="ar"/>
              </w:rPr>
              <w:instrText xml:space="preserve">INCLUDEPICTURE \d "C:\\Users\\ADMINI~1\\AppData\\Local\\Temp\\ksohtml\\clip_cell_image43.png" \* MERGEFORMATINET </w:instrText>
            </w:r>
            <w:r>
              <w:rPr>
                <w:rFonts w:hint="eastAsia" w:ascii="等线" w:hAnsi="等线" w:eastAsia="等线" w:cs="等线"/>
                <w:color w:val="000000"/>
                <w:kern w:val="0"/>
                <w:sz w:val="22"/>
                <w:szCs w:val="22"/>
                <w:lang w:bidi="ar"/>
              </w:rPr>
              <w:fldChar w:fldCharType="separate"/>
            </w:r>
            <w:r>
              <w:rPr>
                <w:rFonts w:hint="eastAsia" w:ascii="等线" w:hAnsi="等线" w:eastAsia="等线" w:cs="等线"/>
                <w:color w:val="000000"/>
                <w:kern w:val="0"/>
                <w:sz w:val="22"/>
                <w:szCs w:val="22"/>
                <w:lang w:bidi="ar"/>
              </w:rPr>
              <w:drawing>
                <wp:inline distT="0" distB="0" distL="114300" distR="114300">
                  <wp:extent cx="1332865" cy="1332865"/>
                  <wp:effectExtent l="0" t="0" r="635" b="635"/>
                  <wp:docPr id="8"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IMG_256"/>
                          <pic:cNvPicPr>
                            <a:picLocks noChangeAspect="1"/>
                          </pic:cNvPicPr>
                        </pic:nvPicPr>
                        <pic:blipFill>
                          <a:blip r:embed="rId12"/>
                          <a:stretch>
                            <a:fillRect/>
                          </a:stretch>
                        </pic:blipFill>
                        <pic:spPr>
                          <a:xfrm>
                            <a:off x="0" y="0"/>
                            <a:ext cx="1332865" cy="1332865"/>
                          </a:xfrm>
                          <a:prstGeom prst="rect">
                            <a:avLst/>
                          </a:prstGeom>
                          <a:noFill/>
                          <a:ln>
                            <a:noFill/>
                          </a:ln>
                        </pic:spPr>
                      </pic:pic>
                    </a:graphicData>
                  </a:graphic>
                </wp:inline>
              </w:drawing>
            </w:r>
            <w:r>
              <w:rPr>
                <w:rFonts w:hint="eastAsia" w:ascii="等线" w:hAnsi="等线" w:eastAsia="等线" w:cs="等线"/>
                <w:color w:val="000000"/>
                <w:kern w:val="0"/>
                <w:sz w:val="22"/>
                <w:szCs w:val="22"/>
                <w:lang w:bidi="ar"/>
              </w:rPr>
              <w:fldChar w:fldCharType="end"/>
            </w:r>
          </w:p>
        </w:tc>
        <w:tc>
          <w:tcPr>
            <w:tcW w:w="991" w:type="dxa"/>
            <w:tcBorders>
              <w:top w:val="nil"/>
              <w:left w:val="nil"/>
              <w:bottom w:val="single" w:color="auto" w:sz="4" w:space="0"/>
              <w:right w:val="single" w:color="auto" w:sz="4" w:space="0"/>
            </w:tcBorders>
            <w:noWrap/>
            <w:vAlign w:val="center"/>
          </w:tcPr>
          <w:p w14:paraId="29A40AAE">
            <w:pPr>
              <w:widowControl/>
              <w:jc w:val="center"/>
              <w:rPr>
                <w:rFonts w:hint="eastAsia" w:ascii="宋体" w:hAnsi="宋体" w:cs="宋体"/>
                <w:kern w:val="0"/>
                <w:szCs w:val="21"/>
              </w:rPr>
            </w:pPr>
            <w:r>
              <w:rPr>
                <w:rFonts w:hint="eastAsia" w:ascii="宋体" w:hAnsi="宋体" w:cs="宋体"/>
                <w:kern w:val="0"/>
                <w:szCs w:val="21"/>
              </w:rPr>
              <w:t>套</w:t>
            </w:r>
          </w:p>
        </w:tc>
        <w:tc>
          <w:tcPr>
            <w:tcW w:w="659" w:type="dxa"/>
            <w:tcBorders>
              <w:top w:val="nil"/>
              <w:left w:val="nil"/>
              <w:bottom w:val="single" w:color="auto" w:sz="4" w:space="0"/>
              <w:right w:val="single" w:color="auto" w:sz="4" w:space="0"/>
            </w:tcBorders>
            <w:noWrap/>
            <w:vAlign w:val="center"/>
          </w:tcPr>
          <w:p w14:paraId="535AFC7A">
            <w:pPr>
              <w:widowControl/>
              <w:jc w:val="center"/>
              <w:rPr>
                <w:rFonts w:hint="eastAsia" w:ascii="宋体" w:hAnsi="宋体" w:cs="宋体"/>
                <w:kern w:val="0"/>
                <w:szCs w:val="21"/>
              </w:rPr>
            </w:pPr>
            <w:r>
              <w:rPr>
                <w:rFonts w:hint="eastAsia" w:ascii="宋体" w:hAnsi="宋体" w:cs="宋体"/>
                <w:kern w:val="0"/>
                <w:szCs w:val="21"/>
              </w:rPr>
              <w:t>1</w:t>
            </w:r>
          </w:p>
        </w:tc>
        <w:tc>
          <w:tcPr>
            <w:tcW w:w="6256" w:type="dxa"/>
            <w:tcBorders>
              <w:top w:val="nil"/>
              <w:left w:val="nil"/>
              <w:bottom w:val="single" w:color="auto" w:sz="4" w:space="0"/>
              <w:right w:val="single" w:color="auto" w:sz="4" w:space="0"/>
            </w:tcBorders>
            <w:noWrap w:val="0"/>
            <w:vAlign w:val="center"/>
          </w:tcPr>
          <w:p w14:paraId="71D1CD80">
            <w:pPr>
              <w:widowControl/>
              <w:jc w:val="left"/>
              <w:rPr>
                <w:rFonts w:hint="eastAsia" w:ascii="宋体" w:hAnsi="宋体" w:cs="宋体"/>
                <w:kern w:val="0"/>
                <w:szCs w:val="21"/>
              </w:rPr>
            </w:pPr>
            <w:r>
              <w:rPr>
                <w:rFonts w:hint="eastAsia" w:ascii="宋体" w:hAnsi="宋体" w:cs="宋体"/>
                <w:kern w:val="0"/>
                <w:szCs w:val="21"/>
              </w:rPr>
              <w:t>1、基材：采用优质环保ENF级高密度中纤板,甲醛含量≤0.8mg/L密度≥760kg/m3,静曲张度≥ 51.5Mpa,吸水膨胀率≤8.1%；</w:t>
            </w:r>
            <w:r>
              <w:rPr>
                <w:rFonts w:hint="eastAsia" w:ascii="宋体" w:hAnsi="宋体" w:cs="宋体"/>
                <w:kern w:val="0"/>
                <w:szCs w:val="21"/>
              </w:rPr>
              <w:br w:type="page"/>
            </w:r>
            <w:r>
              <w:rPr>
                <w:rFonts w:hint="eastAsia" w:ascii="宋体" w:hAnsi="宋体" w:cs="宋体"/>
                <w:kern w:val="0"/>
                <w:szCs w:val="21"/>
              </w:rPr>
              <w:t xml:space="preserve">2、烤漆涂层固化后其涂层的稳定性、耐久性、耐候性、耐摩擦性、耐腐蚀性和硬度高，经抛光后，表面光洁度高，镜面效果好； </w:t>
            </w:r>
            <w:r>
              <w:rPr>
                <w:rFonts w:hint="eastAsia" w:ascii="宋体" w:hAnsi="宋体" w:cs="宋体"/>
                <w:kern w:val="0"/>
                <w:szCs w:val="21"/>
              </w:rPr>
              <w:br w:type="page"/>
            </w:r>
            <w:r>
              <w:rPr>
                <w:rFonts w:hint="eastAsia" w:ascii="宋体" w:hAnsi="宋体" w:cs="宋体"/>
                <w:kern w:val="0"/>
                <w:szCs w:val="21"/>
              </w:rPr>
              <w:t xml:space="preserve">3、防潮、防水性能 优越；不需封边；易清洁，不渗油，不褪色；                                        </w:t>
            </w:r>
            <w:r>
              <w:rPr>
                <w:rFonts w:hint="eastAsia" w:ascii="宋体" w:hAnsi="宋体" w:cs="宋体"/>
                <w:kern w:val="0"/>
                <w:szCs w:val="21"/>
              </w:rPr>
              <w:br w:type="page"/>
            </w:r>
            <w:r>
              <w:rPr>
                <w:rFonts w:hint="eastAsia" w:ascii="宋体" w:hAnsi="宋体" w:cs="宋体"/>
                <w:kern w:val="0"/>
                <w:szCs w:val="21"/>
              </w:rPr>
              <w:t>4、主体框架：材质为冷轧钢板SPCC冲压折弯成型，均匀数控剪切，平稳冲压，无焦点焊接，打沙，脱脂，酸洗，防锈磷化，静电喷塑。门板以及内部结构件厚度为1.0-1.5mm冷轧钢板。控制台装饰防眩目灯带，灯光颜色蒂芙尼蓝色。</w:t>
            </w:r>
            <w:r>
              <w:rPr>
                <w:rFonts w:hint="eastAsia" w:ascii="宋体" w:hAnsi="宋体" w:cs="宋体"/>
                <w:kern w:val="0"/>
                <w:szCs w:val="21"/>
              </w:rPr>
              <w:br w:type="page"/>
            </w:r>
            <w:r>
              <w:rPr>
                <w:rFonts w:hint="eastAsia" w:ascii="宋体" w:hAnsi="宋体" w:cs="宋体"/>
                <w:kern w:val="0"/>
                <w:szCs w:val="21"/>
              </w:rPr>
              <w:t>5、散热：调度控制台底部设计空间大，前后有门，前后门上有散气孔，可实现空气对流通畅，使设备安全性得到有效保证。</w:t>
            </w:r>
            <w:r>
              <w:rPr>
                <w:rFonts w:hint="eastAsia" w:ascii="宋体" w:hAnsi="宋体" w:cs="宋体"/>
                <w:kern w:val="0"/>
                <w:szCs w:val="21"/>
              </w:rPr>
              <w:br w:type="page"/>
            </w:r>
            <w:r>
              <w:rPr>
                <w:rFonts w:hint="eastAsia" w:ascii="宋体" w:hAnsi="宋体" w:cs="宋体"/>
                <w:kern w:val="0"/>
                <w:szCs w:val="21"/>
              </w:rPr>
              <w:t>6、理线：调度控制台内部设计专业的强弱电布线设计，将电源线与信号线使用专业线槽分开布置，确保不互相干扰。</w:t>
            </w:r>
            <w:r>
              <w:rPr>
                <w:rFonts w:hint="eastAsia" w:ascii="宋体" w:hAnsi="宋体" w:cs="宋体"/>
                <w:kern w:val="0"/>
                <w:szCs w:val="21"/>
              </w:rPr>
              <w:br w:type="page"/>
            </w:r>
            <w:r>
              <w:rPr>
                <w:rFonts w:hint="eastAsia" w:ascii="宋体" w:hAnsi="宋体" w:cs="宋体"/>
                <w:kern w:val="0"/>
                <w:szCs w:val="21"/>
              </w:rPr>
              <w:t>7、屏风：显示器后屏风采用高度200mm工业拉铝型材，表面黑色喷涂处理，凹槽可悬挂显示器支架;后屏风顶端镶嵌亚克力及发光灯带，铝型材横截面尺寸是根据此款式控制台架构特殊制定制，可安装特制的LCD支架、工作灯、电话架、文件架等，以明确坐席功能及提升整体形象。</w:t>
            </w:r>
            <w:r>
              <w:rPr>
                <w:rFonts w:hint="eastAsia" w:ascii="宋体" w:hAnsi="宋体" w:cs="宋体"/>
                <w:kern w:val="0"/>
                <w:szCs w:val="21"/>
              </w:rPr>
              <w:br w:type="page"/>
            </w:r>
            <w:r>
              <w:rPr>
                <w:rFonts w:hint="eastAsia" w:ascii="宋体" w:hAnsi="宋体" w:cs="宋体"/>
                <w:kern w:val="0"/>
                <w:szCs w:val="21"/>
              </w:rPr>
              <w:t>8、键盘架：双节走珠滑轨</w:t>
            </w:r>
            <w:r>
              <w:rPr>
                <w:rFonts w:hint="eastAsia" w:ascii="宋体" w:hAnsi="宋体" w:cs="宋体"/>
                <w:kern w:val="0"/>
                <w:szCs w:val="21"/>
              </w:rPr>
              <w:br w:type="page"/>
            </w:r>
            <w:r>
              <w:rPr>
                <w:rFonts w:hint="eastAsia" w:ascii="宋体" w:hAnsi="宋体" w:cs="宋体"/>
                <w:kern w:val="0"/>
                <w:szCs w:val="21"/>
              </w:rPr>
              <w:t>9、带隐藏式走线功能</w:t>
            </w:r>
            <w:r>
              <w:rPr>
                <w:rFonts w:hint="eastAsia" w:ascii="宋体" w:hAnsi="宋体" w:cs="宋体"/>
                <w:kern w:val="0"/>
                <w:szCs w:val="21"/>
              </w:rPr>
              <w:br w:type="page"/>
            </w:r>
            <w:r>
              <w:rPr>
                <w:rFonts w:hint="eastAsia" w:ascii="宋体" w:hAnsi="宋体" w:cs="宋体"/>
                <w:kern w:val="0"/>
                <w:szCs w:val="21"/>
              </w:rPr>
              <w:t>10、胶水：采用优质环保品牌绿色环保胶水。</w:t>
            </w:r>
            <w:r>
              <w:rPr>
                <w:rFonts w:hint="eastAsia" w:ascii="宋体" w:hAnsi="宋体" w:cs="宋体"/>
                <w:kern w:val="0"/>
                <w:szCs w:val="21"/>
              </w:rPr>
              <w:br w:type="page"/>
            </w:r>
            <w:r>
              <w:rPr>
                <w:rFonts w:hint="eastAsia" w:ascii="宋体" w:hAnsi="宋体" w:cs="宋体"/>
                <w:kern w:val="0"/>
                <w:szCs w:val="21"/>
              </w:rPr>
              <w:t>11、五金配件：采用优质品牌的门铰五金锁具，满足QB/T 2189-2013检测，要求耐久性达到8万次。</w:t>
            </w:r>
            <w:r>
              <w:rPr>
                <w:rFonts w:hint="eastAsia" w:ascii="宋体" w:hAnsi="宋体" w:cs="宋体"/>
                <w:kern w:val="0"/>
                <w:szCs w:val="21"/>
              </w:rPr>
              <w:br w:type="page"/>
            </w:r>
          </w:p>
        </w:tc>
        <w:tc>
          <w:tcPr>
            <w:tcW w:w="236" w:type="dxa"/>
            <w:noWrap w:val="0"/>
            <w:vAlign w:val="center"/>
          </w:tcPr>
          <w:p w14:paraId="294F9337">
            <w:pPr>
              <w:widowControl/>
              <w:jc w:val="left"/>
              <w:rPr>
                <w:rFonts w:ascii="宋体" w:hAnsi="宋体"/>
                <w:kern w:val="0"/>
                <w:szCs w:val="21"/>
              </w:rPr>
            </w:pPr>
          </w:p>
        </w:tc>
      </w:tr>
      <w:tr w14:paraId="53B4CD85">
        <w:tblPrEx>
          <w:tblCellMar>
            <w:top w:w="0" w:type="dxa"/>
            <w:left w:w="108" w:type="dxa"/>
            <w:bottom w:w="0" w:type="dxa"/>
            <w:right w:w="108" w:type="dxa"/>
          </w:tblCellMar>
        </w:tblPrEx>
        <w:trPr>
          <w:gridAfter w:val="2"/>
          <w:wAfter w:w="13296" w:type="dxa"/>
          <w:trHeight w:val="20" w:hRule="atLeast"/>
        </w:trPr>
        <w:tc>
          <w:tcPr>
            <w:tcW w:w="635" w:type="dxa"/>
            <w:tcBorders>
              <w:top w:val="nil"/>
              <w:left w:val="single" w:color="auto" w:sz="4" w:space="0"/>
              <w:bottom w:val="single" w:color="auto" w:sz="4" w:space="0"/>
              <w:right w:val="single" w:color="auto" w:sz="4" w:space="0"/>
            </w:tcBorders>
            <w:noWrap/>
            <w:vAlign w:val="center"/>
          </w:tcPr>
          <w:p w14:paraId="4EED4091">
            <w:pPr>
              <w:widowControl/>
              <w:jc w:val="center"/>
              <w:rPr>
                <w:rFonts w:hint="eastAsia" w:ascii="宋体" w:hAnsi="宋体" w:cs="宋体"/>
                <w:kern w:val="0"/>
                <w:szCs w:val="21"/>
              </w:rPr>
            </w:pPr>
            <w:r>
              <w:rPr>
                <w:rFonts w:hint="eastAsia" w:ascii="宋体" w:hAnsi="宋体" w:cs="宋体"/>
                <w:kern w:val="0"/>
                <w:szCs w:val="21"/>
              </w:rPr>
              <w:t>5</w:t>
            </w:r>
          </w:p>
        </w:tc>
        <w:tc>
          <w:tcPr>
            <w:tcW w:w="1161" w:type="dxa"/>
            <w:tcBorders>
              <w:top w:val="nil"/>
              <w:left w:val="nil"/>
              <w:bottom w:val="single" w:color="auto" w:sz="4" w:space="0"/>
              <w:right w:val="single" w:color="auto" w:sz="4" w:space="0"/>
            </w:tcBorders>
            <w:noWrap w:val="0"/>
            <w:vAlign w:val="center"/>
          </w:tcPr>
          <w:p w14:paraId="3D75465D">
            <w:pPr>
              <w:widowControl/>
              <w:jc w:val="center"/>
              <w:rPr>
                <w:rFonts w:hint="eastAsia" w:ascii="宋体" w:hAnsi="宋体" w:cs="宋体"/>
                <w:kern w:val="0"/>
                <w:szCs w:val="21"/>
              </w:rPr>
            </w:pPr>
            <w:r>
              <w:rPr>
                <w:rFonts w:hint="eastAsia" w:ascii="宋体" w:hAnsi="宋体" w:cs="宋体"/>
                <w:kern w:val="0"/>
                <w:szCs w:val="21"/>
              </w:rPr>
              <w:t>展示桌</w:t>
            </w:r>
          </w:p>
        </w:tc>
        <w:tc>
          <w:tcPr>
            <w:tcW w:w="2315" w:type="dxa"/>
            <w:tcBorders>
              <w:top w:val="nil"/>
              <w:left w:val="nil"/>
              <w:bottom w:val="single" w:color="auto" w:sz="4" w:space="0"/>
              <w:right w:val="single" w:color="auto" w:sz="4" w:space="0"/>
            </w:tcBorders>
            <w:noWrap w:val="0"/>
            <w:vAlign w:val="center"/>
          </w:tcPr>
          <w:p w14:paraId="23E85811">
            <w:pPr>
              <w:widowControl/>
              <w:jc w:val="center"/>
              <w:rPr>
                <w:rFonts w:hint="eastAsia" w:ascii="宋体" w:hAnsi="宋体" w:cs="宋体"/>
                <w:kern w:val="0"/>
                <w:szCs w:val="21"/>
              </w:rPr>
            </w:pPr>
            <w:r>
              <w:rPr>
                <w:rFonts w:hint="eastAsia" w:ascii="宋体" w:hAnsi="宋体" w:cs="宋体"/>
                <w:kern w:val="0"/>
                <w:szCs w:val="21"/>
              </w:rPr>
              <w:t>1600W*600D*760H</w:t>
            </w:r>
          </w:p>
        </w:tc>
        <w:tc>
          <w:tcPr>
            <w:tcW w:w="2300" w:type="dxa"/>
            <w:tcBorders>
              <w:top w:val="nil"/>
              <w:left w:val="nil"/>
              <w:bottom w:val="single" w:color="auto" w:sz="4" w:space="0"/>
              <w:right w:val="single" w:color="auto" w:sz="4" w:space="0"/>
            </w:tcBorders>
            <w:noWrap/>
            <w:vAlign w:val="center"/>
          </w:tcPr>
          <w:p w14:paraId="1EAF8CE5">
            <w:pPr>
              <w:widowControl/>
              <w:jc w:val="left"/>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fldChar w:fldCharType="begin"/>
            </w:r>
            <w:r>
              <w:rPr>
                <w:rFonts w:hint="eastAsia" w:ascii="等线" w:hAnsi="等线" w:eastAsia="等线" w:cs="等线"/>
                <w:color w:val="000000"/>
                <w:kern w:val="0"/>
                <w:sz w:val="22"/>
                <w:szCs w:val="22"/>
                <w:lang w:bidi="ar"/>
              </w:rPr>
              <w:instrText xml:space="preserve">INCLUDEPICTURE \d "C:\\Users\\ADMINI~1\\AppData\\Local\\Temp\\ksohtml\\clip_cell_image44.png" \* MERGEFORMATINET </w:instrText>
            </w:r>
            <w:r>
              <w:rPr>
                <w:rFonts w:hint="eastAsia" w:ascii="等线" w:hAnsi="等线" w:eastAsia="等线" w:cs="等线"/>
                <w:color w:val="000000"/>
                <w:kern w:val="0"/>
                <w:sz w:val="22"/>
                <w:szCs w:val="22"/>
                <w:lang w:bidi="ar"/>
              </w:rPr>
              <w:fldChar w:fldCharType="separate"/>
            </w:r>
            <w:r>
              <w:rPr>
                <w:rFonts w:hint="eastAsia" w:ascii="等线" w:hAnsi="等线" w:eastAsia="等线" w:cs="等线"/>
                <w:color w:val="000000"/>
                <w:kern w:val="0"/>
                <w:sz w:val="22"/>
                <w:szCs w:val="22"/>
                <w:lang w:bidi="ar"/>
              </w:rPr>
              <w:drawing>
                <wp:inline distT="0" distB="0" distL="114300" distR="114300">
                  <wp:extent cx="1301750" cy="1167130"/>
                  <wp:effectExtent l="0" t="0" r="12700" b="13970"/>
                  <wp:docPr id="13"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descr="IMG_256"/>
                          <pic:cNvPicPr>
                            <a:picLocks noChangeAspect="1"/>
                          </pic:cNvPicPr>
                        </pic:nvPicPr>
                        <pic:blipFill>
                          <a:blip r:embed="rId13"/>
                          <a:stretch>
                            <a:fillRect/>
                          </a:stretch>
                        </pic:blipFill>
                        <pic:spPr>
                          <a:xfrm>
                            <a:off x="0" y="0"/>
                            <a:ext cx="1301750" cy="1167130"/>
                          </a:xfrm>
                          <a:prstGeom prst="rect">
                            <a:avLst/>
                          </a:prstGeom>
                          <a:noFill/>
                          <a:ln>
                            <a:noFill/>
                          </a:ln>
                        </pic:spPr>
                      </pic:pic>
                    </a:graphicData>
                  </a:graphic>
                </wp:inline>
              </w:drawing>
            </w:r>
            <w:r>
              <w:rPr>
                <w:rFonts w:hint="eastAsia" w:ascii="等线" w:hAnsi="等线" w:eastAsia="等线" w:cs="等线"/>
                <w:color w:val="000000"/>
                <w:kern w:val="0"/>
                <w:sz w:val="22"/>
                <w:szCs w:val="22"/>
                <w:lang w:bidi="ar"/>
              </w:rPr>
              <w:fldChar w:fldCharType="end"/>
            </w:r>
          </w:p>
        </w:tc>
        <w:tc>
          <w:tcPr>
            <w:tcW w:w="991" w:type="dxa"/>
            <w:tcBorders>
              <w:top w:val="nil"/>
              <w:left w:val="nil"/>
              <w:bottom w:val="single" w:color="auto" w:sz="4" w:space="0"/>
              <w:right w:val="single" w:color="auto" w:sz="4" w:space="0"/>
            </w:tcBorders>
            <w:noWrap/>
            <w:vAlign w:val="center"/>
          </w:tcPr>
          <w:p w14:paraId="394859B9">
            <w:pPr>
              <w:widowControl/>
              <w:jc w:val="center"/>
              <w:rPr>
                <w:rFonts w:hint="eastAsia" w:ascii="宋体" w:hAnsi="宋体" w:cs="宋体"/>
                <w:kern w:val="0"/>
                <w:szCs w:val="21"/>
              </w:rPr>
            </w:pPr>
            <w:r>
              <w:rPr>
                <w:rFonts w:hint="eastAsia" w:ascii="宋体" w:hAnsi="宋体" w:cs="宋体"/>
                <w:kern w:val="0"/>
                <w:szCs w:val="21"/>
              </w:rPr>
              <w:t>张</w:t>
            </w:r>
          </w:p>
        </w:tc>
        <w:tc>
          <w:tcPr>
            <w:tcW w:w="659" w:type="dxa"/>
            <w:tcBorders>
              <w:top w:val="nil"/>
              <w:left w:val="nil"/>
              <w:bottom w:val="single" w:color="auto" w:sz="4" w:space="0"/>
              <w:right w:val="single" w:color="auto" w:sz="4" w:space="0"/>
            </w:tcBorders>
            <w:noWrap/>
            <w:vAlign w:val="center"/>
          </w:tcPr>
          <w:p w14:paraId="65B56AAF">
            <w:pPr>
              <w:widowControl/>
              <w:jc w:val="center"/>
              <w:rPr>
                <w:rFonts w:hint="eastAsia" w:ascii="宋体" w:hAnsi="宋体" w:cs="宋体"/>
                <w:kern w:val="0"/>
                <w:szCs w:val="21"/>
              </w:rPr>
            </w:pPr>
            <w:r>
              <w:rPr>
                <w:rFonts w:hint="eastAsia" w:ascii="宋体" w:hAnsi="宋体" w:cs="宋体"/>
                <w:kern w:val="0"/>
                <w:szCs w:val="21"/>
              </w:rPr>
              <w:t>3</w:t>
            </w:r>
          </w:p>
        </w:tc>
        <w:tc>
          <w:tcPr>
            <w:tcW w:w="6256" w:type="dxa"/>
            <w:tcBorders>
              <w:top w:val="nil"/>
              <w:left w:val="nil"/>
              <w:bottom w:val="single" w:color="auto" w:sz="4" w:space="0"/>
              <w:right w:val="single" w:color="auto" w:sz="4" w:space="0"/>
            </w:tcBorders>
            <w:noWrap w:val="0"/>
            <w:vAlign w:val="top"/>
          </w:tcPr>
          <w:p w14:paraId="6CED19E8">
            <w:pPr>
              <w:widowControl/>
              <w:jc w:val="left"/>
              <w:rPr>
                <w:rFonts w:hint="eastAsia" w:ascii="宋体" w:hAnsi="宋体" w:cs="宋体"/>
                <w:kern w:val="0"/>
                <w:szCs w:val="21"/>
              </w:rPr>
            </w:pPr>
            <w:r>
              <w:rPr>
                <w:rFonts w:hint="eastAsia" w:ascii="宋体" w:hAnsi="宋体" w:cs="宋体"/>
                <w:kern w:val="0"/>
                <w:szCs w:val="21"/>
              </w:rPr>
              <w:t>1、基材：采用优质环保ENF级高密度中纤板,甲醛含量≤0.8mg/L密度≥760kg/m3,静曲张度≥ 51.5Mpa,吸水膨胀率≤8.1%；</w:t>
            </w:r>
            <w:r>
              <w:rPr>
                <w:rFonts w:hint="eastAsia" w:ascii="宋体" w:hAnsi="宋体" w:cs="宋体"/>
                <w:kern w:val="0"/>
                <w:szCs w:val="21"/>
              </w:rPr>
              <w:br w:type="page"/>
            </w:r>
            <w:r>
              <w:rPr>
                <w:rFonts w:hint="eastAsia" w:ascii="宋体" w:hAnsi="宋体" w:cs="宋体"/>
                <w:kern w:val="0"/>
                <w:szCs w:val="21"/>
              </w:rPr>
              <w:t xml:space="preserve">2、烤漆涂层固化后其涂层的稳定性、耐久性、耐候性、耐摩擦性、耐腐蚀性和硬度高，经抛光后，表面光洁度高，镜面效果好； </w:t>
            </w:r>
            <w:r>
              <w:rPr>
                <w:rFonts w:hint="eastAsia" w:ascii="宋体" w:hAnsi="宋体" w:cs="宋体"/>
                <w:kern w:val="0"/>
                <w:szCs w:val="21"/>
              </w:rPr>
              <w:br w:type="page"/>
            </w:r>
            <w:r>
              <w:rPr>
                <w:rFonts w:hint="eastAsia" w:ascii="宋体" w:hAnsi="宋体" w:cs="宋体"/>
                <w:kern w:val="0"/>
                <w:szCs w:val="21"/>
              </w:rPr>
              <w:t xml:space="preserve">3、防潮、防水性能 优越；不需封边；易清洁，不渗油，不褪色；                                        </w:t>
            </w:r>
            <w:r>
              <w:rPr>
                <w:rFonts w:hint="eastAsia" w:ascii="宋体" w:hAnsi="宋体" w:cs="宋体"/>
                <w:kern w:val="0"/>
                <w:szCs w:val="21"/>
              </w:rPr>
              <w:br w:type="page"/>
            </w:r>
            <w:r>
              <w:rPr>
                <w:rFonts w:hint="eastAsia" w:ascii="宋体" w:hAnsi="宋体" w:cs="宋体"/>
                <w:kern w:val="0"/>
                <w:szCs w:val="21"/>
              </w:rPr>
              <w:t>4、主体框架：材质为冷轧钢板SPCC冲压折弯成型，均匀数控剪切，平稳冲压，无焦点焊接，打沙，脱脂，酸洗，防锈磷化，静电喷塑。门板以及内部结构件厚度为1.0-1.5mm冷轧钢板。控制台装饰防眩目灯带，灯光颜色蒂芙尼蓝色。</w:t>
            </w:r>
            <w:r>
              <w:rPr>
                <w:rFonts w:hint="eastAsia" w:ascii="宋体" w:hAnsi="宋体" w:cs="宋体"/>
                <w:kern w:val="0"/>
                <w:szCs w:val="21"/>
              </w:rPr>
              <w:br w:type="page"/>
            </w:r>
            <w:r>
              <w:rPr>
                <w:rFonts w:hint="eastAsia" w:ascii="宋体" w:hAnsi="宋体" w:cs="宋体"/>
                <w:kern w:val="0"/>
                <w:szCs w:val="21"/>
              </w:rPr>
              <w:t>5、散热：调度控制台底部设计空间大，前后有门，前后门上有散气孔，可实现空气对流通畅，使设备安全性得到有效保证。</w:t>
            </w:r>
            <w:r>
              <w:rPr>
                <w:rFonts w:hint="eastAsia" w:ascii="宋体" w:hAnsi="宋体" w:cs="宋体"/>
                <w:kern w:val="0"/>
                <w:szCs w:val="21"/>
              </w:rPr>
              <w:br w:type="page"/>
            </w:r>
            <w:r>
              <w:rPr>
                <w:rFonts w:hint="eastAsia" w:ascii="宋体" w:hAnsi="宋体" w:cs="宋体"/>
                <w:kern w:val="0"/>
                <w:szCs w:val="21"/>
              </w:rPr>
              <w:t>6、理线：调度控制台内部设计专业的强弱电布线设计，将电源线与信号线使用专业线槽分开布置，确保不互相干扰。</w:t>
            </w:r>
            <w:r>
              <w:rPr>
                <w:rFonts w:hint="eastAsia" w:ascii="宋体" w:hAnsi="宋体" w:cs="宋体"/>
                <w:kern w:val="0"/>
                <w:szCs w:val="21"/>
              </w:rPr>
              <w:br w:type="page"/>
            </w:r>
            <w:r>
              <w:rPr>
                <w:rFonts w:hint="eastAsia" w:ascii="宋体" w:hAnsi="宋体" w:cs="宋体"/>
                <w:kern w:val="0"/>
                <w:szCs w:val="21"/>
              </w:rPr>
              <w:t>7、屏风：显示器后屏风采用高度200mm工业拉铝型材，表面黑色喷涂处理，凹槽可悬挂显示器支架;后屏风顶端镶嵌亚克力及发光灯带，铝型材横截面尺寸是根据此款式控制台架构特殊制定制，可安装特制的LCD支架、工作灯、电话架、文件架等，以明确坐席功能及提升整体形象。</w:t>
            </w:r>
            <w:r>
              <w:rPr>
                <w:rFonts w:hint="eastAsia" w:ascii="宋体" w:hAnsi="宋体" w:cs="宋体"/>
                <w:kern w:val="0"/>
                <w:szCs w:val="21"/>
              </w:rPr>
              <w:br w:type="page"/>
            </w:r>
            <w:r>
              <w:rPr>
                <w:rFonts w:hint="eastAsia" w:ascii="宋体" w:hAnsi="宋体" w:cs="宋体"/>
                <w:kern w:val="0"/>
                <w:szCs w:val="21"/>
              </w:rPr>
              <w:t>8、键盘架：双节走珠滑轨</w:t>
            </w:r>
            <w:r>
              <w:rPr>
                <w:rFonts w:hint="eastAsia" w:ascii="宋体" w:hAnsi="宋体" w:cs="宋体"/>
                <w:kern w:val="0"/>
                <w:szCs w:val="21"/>
              </w:rPr>
              <w:br w:type="page"/>
            </w:r>
            <w:r>
              <w:rPr>
                <w:rFonts w:hint="eastAsia" w:ascii="宋体" w:hAnsi="宋体" w:cs="宋体"/>
                <w:kern w:val="0"/>
                <w:szCs w:val="21"/>
              </w:rPr>
              <w:t>9、胶水：采用优质环保品牌绿色环保胶水。</w:t>
            </w:r>
            <w:r>
              <w:rPr>
                <w:rFonts w:hint="eastAsia" w:ascii="宋体" w:hAnsi="宋体" w:cs="宋体"/>
                <w:kern w:val="0"/>
                <w:szCs w:val="21"/>
              </w:rPr>
              <w:br w:type="page"/>
            </w:r>
            <w:r>
              <w:rPr>
                <w:rFonts w:hint="eastAsia" w:ascii="宋体" w:hAnsi="宋体" w:cs="宋体"/>
                <w:kern w:val="0"/>
                <w:szCs w:val="21"/>
              </w:rPr>
              <w:t>10、五金配件：采用优质品牌的门铰五金锁具，满足QB/T 2189-2013检测，要求耐久性达到8万次。</w:t>
            </w:r>
          </w:p>
        </w:tc>
        <w:tc>
          <w:tcPr>
            <w:tcW w:w="236" w:type="dxa"/>
            <w:noWrap w:val="0"/>
            <w:vAlign w:val="center"/>
          </w:tcPr>
          <w:p w14:paraId="6A06913C">
            <w:pPr>
              <w:widowControl/>
              <w:jc w:val="left"/>
              <w:rPr>
                <w:rFonts w:ascii="宋体" w:hAnsi="宋体"/>
                <w:kern w:val="0"/>
                <w:szCs w:val="21"/>
              </w:rPr>
            </w:pPr>
          </w:p>
        </w:tc>
      </w:tr>
      <w:tr w14:paraId="5C6FEDC8">
        <w:tblPrEx>
          <w:tblCellMar>
            <w:top w:w="0" w:type="dxa"/>
            <w:left w:w="108" w:type="dxa"/>
            <w:bottom w:w="0" w:type="dxa"/>
            <w:right w:w="108" w:type="dxa"/>
          </w:tblCellMar>
        </w:tblPrEx>
        <w:trPr>
          <w:gridAfter w:val="2"/>
          <w:wAfter w:w="13296" w:type="dxa"/>
          <w:trHeight w:val="20" w:hRule="atLeast"/>
        </w:trPr>
        <w:tc>
          <w:tcPr>
            <w:tcW w:w="635" w:type="dxa"/>
            <w:tcBorders>
              <w:top w:val="nil"/>
              <w:left w:val="single" w:color="auto" w:sz="4" w:space="0"/>
              <w:bottom w:val="single" w:color="auto" w:sz="4" w:space="0"/>
              <w:right w:val="single" w:color="auto" w:sz="4" w:space="0"/>
            </w:tcBorders>
            <w:noWrap/>
            <w:vAlign w:val="center"/>
          </w:tcPr>
          <w:p w14:paraId="479ADA66">
            <w:pPr>
              <w:widowControl/>
              <w:jc w:val="center"/>
              <w:rPr>
                <w:rFonts w:hint="eastAsia" w:ascii="宋体" w:hAnsi="宋体" w:cs="宋体"/>
                <w:kern w:val="0"/>
                <w:szCs w:val="21"/>
              </w:rPr>
            </w:pPr>
            <w:r>
              <w:rPr>
                <w:rFonts w:hint="eastAsia" w:ascii="宋体" w:hAnsi="宋体" w:cs="宋体"/>
                <w:kern w:val="0"/>
                <w:szCs w:val="21"/>
              </w:rPr>
              <w:t>6</w:t>
            </w:r>
          </w:p>
        </w:tc>
        <w:tc>
          <w:tcPr>
            <w:tcW w:w="1161" w:type="dxa"/>
            <w:tcBorders>
              <w:top w:val="nil"/>
              <w:left w:val="nil"/>
              <w:bottom w:val="single" w:color="auto" w:sz="4" w:space="0"/>
              <w:right w:val="single" w:color="auto" w:sz="4" w:space="0"/>
            </w:tcBorders>
            <w:noWrap w:val="0"/>
            <w:vAlign w:val="center"/>
          </w:tcPr>
          <w:p w14:paraId="2B8EE00D">
            <w:pPr>
              <w:widowControl/>
              <w:jc w:val="center"/>
              <w:rPr>
                <w:rFonts w:hint="eastAsia" w:ascii="宋体" w:hAnsi="宋体" w:cs="宋体"/>
                <w:kern w:val="0"/>
                <w:szCs w:val="21"/>
              </w:rPr>
            </w:pPr>
            <w:r>
              <w:rPr>
                <w:rFonts w:hint="eastAsia" w:ascii="宋体" w:hAnsi="宋体" w:cs="宋体"/>
                <w:kern w:val="0"/>
                <w:szCs w:val="21"/>
              </w:rPr>
              <w:t>水吧台</w:t>
            </w:r>
          </w:p>
        </w:tc>
        <w:tc>
          <w:tcPr>
            <w:tcW w:w="2315" w:type="dxa"/>
            <w:tcBorders>
              <w:top w:val="nil"/>
              <w:left w:val="nil"/>
              <w:bottom w:val="single" w:color="auto" w:sz="4" w:space="0"/>
              <w:right w:val="single" w:color="auto" w:sz="4" w:space="0"/>
            </w:tcBorders>
            <w:noWrap w:val="0"/>
            <w:vAlign w:val="center"/>
          </w:tcPr>
          <w:p w14:paraId="1E4B38D7">
            <w:pPr>
              <w:widowControl/>
              <w:jc w:val="center"/>
              <w:rPr>
                <w:rFonts w:hint="eastAsia" w:ascii="宋体" w:hAnsi="宋体" w:cs="宋体"/>
                <w:kern w:val="0"/>
                <w:szCs w:val="21"/>
              </w:rPr>
            </w:pPr>
            <w:r>
              <w:rPr>
                <w:rFonts w:hint="eastAsia" w:ascii="宋体" w:hAnsi="宋体" w:cs="宋体"/>
                <w:kern w:val="0"/>
                <w:szCs w:val="21"/>
              </w:rPr>
              <w:t>2010W*600D*1050H</w:t>
            </w:r>
          </w:p>
        </w:tc>
        <w:tc>
          <w:tcPr>
            <w:tcW w:w="2300" w:type="dxa"/>
            <w:tcBorders>
              <w:top w:val="nil"/>
              <w:left w:val="nil"/>
              <w:bottom w:val="single" w:color="auto" w:sz="4" w:space="0"/>
              <w:right w:val="single" w:color="auto" w:sz="4" w:space="0"/>
            </w:tcBorders>
            <w:noWrap/>
            <w:vAlign w:val="center"/>
          </w:tcPr>
          <w:p w14:paraId="733B3159">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fldChar w:fldCharType="begin"/>
            </w:r>
            <w:r>
              <w:rPr>
                <w:rFonts w:hint="eastAsia" w:ascii="微软雅黑" w:hAnsi="微软雅黑" w:eastAsia="微软雅黑" w:cs="微软雅黑"/>
                <w:color w:val="000000"/>
                <w:kern w:val="0"/>
                <w:sz w:val="22"/>
                <w:szCs w:val="22"/>
                <w:lang w:bidi="ar"/>
              </w:rPr>
              <w:instrText xml:space="preserve">INCLUDEPICTURE \d "C:\\Users\\ADMINI~1\\AppData\\Local\\Temp\\ksohtml\\clip_cell_image45.png" \* MERGEFORMATINET </w:instrText>
            </w:r>
            <w:r>
              <w:rPr>
                <w:rFonts w:hint="eastAsia" w:ascii="微软雅黑" w:hAnsi="微软雅黑" w:eastAsia="微软雅黑" w:cs="微软雅黑"/>
                <w:color w:val="000000"/>
                <w:kern w:val="0"/>
                <w:sz w:val="22"/>
                <w:szCs w:val="22"/>
                <w:lang w:bidi="ar"/>
              </w:rPr>
              <w:fldChar w:fldCharType="separate"/>
            </w:r>
            <w:r>
              <w:rPr>
                <w:rFonts w:hint="eastAsia" w:ascii="微软雅黑" w:hAnsi="微软雅黑" w:eastAsia="微软雅黑" w:cs="微软雅黑"/>
                <w:color w:val="000000"/>
                <w:kern w:val="0"/>
                <w:sz w:val="22"/>
                <w:szCs w:val="22"/>
                <w:lang w:bidi="ar"/>
              </w:rPr>
              <w:drawing>
                <wp:inline distT="0" distB="0" distL="114300" distR="114300">
                  <wp:extent cx="1256030" cy="1294765"/>
                  <wp:effectExtent l="0" t="0" r="1270" b="635"/>
                  <wp:docPr id="16"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6" descr="IMG_256"/>
                          <pic:cNvPicPr>
                            <a:picLocks noChangeAspect="1"/>
                          </pic:cNvPicPr>
                        </pic:nvPicPr>
                        <pic:blipFill>
                          <a:blip r:embed="rId14"/>
                          <a:stretch>
                            <a:fillRect/>
                          </a:stretch>
                        </pic:blipFill>
                        <pic:spPr>
                          <a:xfrm>
                            <a:off x="0" y="0"/>
                            <a:ext cx="1256030" cy="1294765"/>
                          </a:xfrm>
                          <a:prstGeom prst="rect">
                            <a:avLst/>
                          </a:prstGeom>
                          <a:noFill/>
                          <a:ln>
                            <a:noFill/>
                          </a:ln>
                        </pic:spPr>
                      </pic:pic>
                    </a:graphicData>
                  </a:graphic>
                </wp:inline>
              </w:drawing>
            </w:r>
            <w:r>
              <w:rPr>
                <w:rFonts w:hint="eastAsia" w:ascii="微软雅黑" w:hAnsi="微软雅黑" w:eastAsia="微软雅黑" w:cs="微软雅黑"/>
                <w:color w:val="000000"/>
                <w:kern w:val="0"/>
                <w:sz w:val="22"/>
                <w:szCs w:val="22"/>
                <w:lang w:bidi="ar"/>
              </w:rPr>
              <w:fldChar w:fldCharType="end"/>
            </w:r>
          </w:p>
        </w:tc>
        <w:tc>
          <w:tcPr>
            <w:tcW w:w="991" w:type="dxa"/>
            <w:tcBorders>
              <w:top w:val="nil"/>
              <w:left w:val="nil"/>
              <w:bottom w:val="single" w:color="auto" w:sz="4" w:space="0"/>
              <w:right w:val="single" w:color="auto" w:sz="4" w:space="0"/>
            </w:tcBorders>
            <w:noWrap/>
            <w:vAlign w:val="center"/>
          </w:tcPr>
          <w:p w14:paraId="6BBB99BE">
            <w:pPr>
              <w:widowControl/>
              <w:jc w:val="center"/>
              <w:rPr>
                <w:rFonts w:hint="eastAsia" w:ascii="宋体" w:hAnsi="宋体" w:cs="宋体"/>
                <w:kern w:val="0"/>
                <w:szCs w:val="21"/>
              </w:rPr>
            </w:pPr>
            <w:r>
              <w:rPr>
                <w:rFonts w:hint="eastAsia" w:ascii="宋体" w:hAnsi="宋体" w:cs="宋体"/>
                <w:kern w:val="0"/>
                <w:szCs w:val="21"/>
              </w:rPr>
              <w:t>个</w:t>
            </w:r>
          </w:p>
        </w:tc>
        <w:tc>
          <w:tcPr>
            <w:tcW w:w="659" w:type="dxa"/>
            <w:tcBorders>
              <w:top w:val="nil"/>
              <w:left w:val="nil"/>
              <w:bottom w:val="single" w:color="auto" w:sz="4" w:space="0"/>
              <w:right w:val="single" w:color="auto" w:sz="4" w:space="0"/>
            </w:tcBorders>
            <w:noWrap/>
            <w:vAlign w:val="center"/>
          </w:tcPr>
          <w:p w14:paraId="30FD4F71">
            <w:pPr>
              <w:widowControl/>
              <w:jc w:val="center"/>
              <w:rPr>
                <w:rFonts w:hint="eastAsia" w:ascii="宋体" w:hAnsi="宋体" w:cs="宋体"/>
                <w:kern w:val="0"/>
                <w:szCs w:val="21"/>
              </w:rPr>
            </w:pPr>
            <w:r>
              <w:rPr>
                <w:rFonts w:hint="eastAsia" w:ascii="宋体" w:hAnsi="宋体" w:cs="宋体"/>
                <w:kern w:val="0"/>
                <w:szCs w:val="21"/>
              </w:rPr>
              <w:t>1</w:t>
            </w:r>
          </w:p>
        </w:tc>
        <w:tc>
          <w:tcPr>
            <w:tcW w:w="6256" w:type="dxa"/>
            <w:tcBorders>
              <w:top w:val="nil"/>
              <w:left w:val="nil"/>
              <w:bottom w:val="single" w:color="auto" w:sz="4" w:space="0"/>
              <w:right w:val="single" w:color="auto" w:sz="4" w:space="0"/>
            </w:tcBorders>
            <w:noWrap w:val="0"/>
            <w:vAlign w:val="center"/>
          </w:tcPr>
          <w:p w14:paraId="1BF6D1E1">
            <w:pPr>
              <w:widowControl/>
              <w:jc w:val="left"/>
              <w:rPr>
                <w:rFonts w:hint="eastAsia" w:ascii="宋体" w:hAnsi="宋体" w:cs="宋体"/>
                <w:kern w:val="0"/>
                <w:szCs w:val="21"/>
              </w:rPr>
            </w:pPr>
            <w:r>
              <w:rPr>
                <w:rFonts w:hint="eastAsia" w:ascii="宋体" w:hAnsi="宋体" w:cs="宋体"/>
                <w:kern w:val="0"/>
                <w:szCs w:val="21"/>
              </w:rPr>
              <w:t>1、基材：采用优质环保ENF级高密度中纤板,优质绿色环保产品,甲醛含量≤1.0mg/L密度≥760kg/m3,静曲张度≥ 51.5Mpa,吸水膨胀率≤8.1%；</w:t>
            </w:r>
            <w:r>
              <w:rPr>
                <w:rFonts w:hint="eastAsia" w:ascii="宋体" w:hAnsi="宋体" w:cs="宋体"/>
                <w:kern w:val="0"/>
                <w:szCs w:val="21"/>
              </w:rPr>
              <w:br w:type="page"/>
            </w:r>
            <w:r>
              <w:rPr>
                <w:rFonts w:hint="eastAsia" w:ascii="宋体" w:hAnsi="宋体" w:cs="宋体"/>
                <w:kern w:val="0"/>
                <w:szCs w:val="21"/>
              </w:rPr>
              <w:t xml:space="preserve">2、烤漆涂层固化后其涂层的稳定性、耐久性、耐候性、耐摩擦性、耐腐蚀性和硬度高，经抛光后，表面光洁度高，镜面效果好； </w:t>
            </w:r>
            <w:r>
              <w:rPr>
                <w:rFonts w:hint="eastAsia" w:ascii="宋体" w:hAnsi="宋体" w:cs="宋体"/>
                <w:kern w:val="0"/>
                <w:szCs w:val="21"/>
              </w:rPr>
              <w:br w:type="page"/>
            </w:r>
            <w:r>
              <w:rPr>
                <w:rFonts w:hint="eastAsia" w:ascii="宋体" w:hAnsi="宋体" w:cs="宋体"/>
                <w:kern w:val="0"/>
                <w:szCs w:val="21"/>
              </w:rPr>
              <w:t>3、防潮、防水性能 优越；不需封边；易清洁，不渗油，不褪色；  各项技术指标均达到国际标准。材料经防虫、防潮、防腐及三次烘干蒸发处理，木材干燥至9%-12%的含水率；</w:t>
            </w:r>
            <w:r>
              <w:rPr>
                <w:rFonts w:hint="eastAsia" w:ascii="宋体" w:hAnsi="宋体" w:cs="宋体"/>
                <w:kern w:val="0"/>
                <w:szCs w:val="21"/>
              </w:rPr>
              <w:br w:type="page"/>
            </w:r>
            <w:r>
              <w:rPr>
                <w:rFonts w:hint="eastAsia" w:ascii="宋体" w:hAnsi="宋体" w:cs="宋体"/>
                <w:kern w:val="0"/>
                <w:szCs w:val="21"/>
              </w:rPr>
              <w:t>4、油漆采用优质环保水性涂料，水性隐孔高光，双面涂饰。水性漆面漆、水性漆底漆甲醛含量≤25mg/kg，VOC含量≤20g/L。，对人体无任何伤害、无污染而且亮、哑层次分明，手感好；表面无颗粒、气泡、渣点；漆面硬度大且清晰。</w:t>
            </w:r>
            <w:r>
              <w:rPr>
                <w:rFonts w:hint="eastAsia" w:ascii="宋体" w:hAnsi="宋体" w:cs="宋体"/>
                <w:kern w:val="0"/>
                <w:szCs w:val="21"/>
              </w:rPr>
              <w:br w:type="page"/>
            </w:r>
            <w:r>
              <w:rPr>
                <w:rFonts w:hint="eastAsia" w:ascii="宋体" w:hAnsi="宋体" w:cs="宋体"/>
                <w:kern w:val="0"/>
                <w:szCs w:val="21"/>
              </w:rPr>
              <w:t>5、胶粘剂：优质白乳胶，游离甲醛未检出，总挥发性有机物≤70g/L。</w:t>
            </w:r>
            <w:r>
              <w:rPr>
                <w:rFonts w:hint="eastAsia" w:ascii="宋体" w:hAnsi="宋体" w:cs="宋体"/>
                <w:kern w:val="0"/>
                <w:szCs w:val="21"/>
              </w:rPr>
              <w:br w:type="page"/>
            </w:r>
            <w:r>
              <w:rPr>
                <w:rFonts w:hint="eastAsia" w:ascii="宋体" w:hAnsi="宋体" w:cs="宋体"/>
                <w:kern w:val="0"/>
                <w:szCs w:val="21"/>
              </w:rPr>
              <w:t>6、胶水：采用优质环保品牌绿色环保胶水。</w:t>
            </w:r>
            <w:r>
              <w:rPr>
                <w:rFonts w:hint="eastAsia" w:ascii="宋体" w:hAnsi="宋体" w:cs="宋体"/>
                <w:kern w:val="0"/>
                <w:szCs w:val="21"/>
              </w:rPr>
              <w:br w:type="page"/>
            </w:r>
            <w:r>
              <w:rPr>
                <w:rFonts w:hint="eastAsia" w:ascii="宋体" w:hAnsi="宋体" w:cs="宋体"/>
                <w:kern w:val="0"/>
                <w:szCs w:val="21"/>
              </w:rPr>
              <w:t>7、五金配件：采用优质品牌的门铰五金锁具，满足QB/T 2189-2013检测，要求耐久性达到8万次。</w:t>
            </w:r>
          </w:p>
        </w:tc>
        <w:tc>
          <w:tcPr>
            <w:tcW w:w="236" w:type="dxa"/>
            <w:noWrap w:val="0"/>
            <w:vAlign w:val="center"/>
          </w:tcPr>
          <w:p w14:paraId="47C38A14">
            <w:pPr>
              <w:widowControl/>
              <w:jc w:val="left"/>
              <w:rPr>
                <w:rFonts w:ascii="宋体" w:hAnsi="宋体"/>
                <w:kern w:val="0"/>
                <w:szCs w:val="21"/>
              </w:rPr>
            </w:pPr>
          </w:p>
        </w:tc>
      </w:tr>
      <w:tr w14:paraId="4377799F">
        <w:tblPrEx>
          <w:tblCellMar>
            <w:top w:w="0" w:type="dxa"/>
            <w:left w:w="108" w:type="dxa"/>
            <w:bottom w:w="0" w:type="dxa"/>
            <w:right w:w="108" w:type="dxa"/>
          </w:tblCellMar>
        </w:tblPrEx>
        <w:trPr>
          <w:gridAfter w:val="2"/>
          <w:wAfter w:w="13296" w:type="dxa"/>
          <w:trHeight w:val="20" w:hRule="atLeast"/>
        </w:trPr>
        <w:tc>
          <w:tcPr>
            <w:tcW w:w="635" w:type="dxa"/>
            <w:tcBorders>
              <w:top w:val="nil"/>
              <w:left w:val="single" w:color="auto" w:sz="4" w:space="0"/>
              <w:bottom w:val="single" w:color="auto" w:sz="4" w:space="0"/>
              <w:right w:val="single" w:color="auto" w:sz="4" w:space="0"/>
            </w:tcBorders>
            <w:noWrap/>
            <w:vAlign w:val="center"/>
          </w:tcPr>
          <w:p w14:paraId="7FB7CEB9">
            <w:pPr>
              <w:widowControl/>
              <w:jc w:val="center"/>
              <w:rPr>
                <w:rFonts w:hint="eastAsia" w:ascii="宋体" w:hAnsi="宋体" w:cs="宋体"/>
                <w:kern w:val="0"/>
                <w:szCs w:val="21"/>
              </w:rPr>
            </w:pPr>
            <w:r>
              <w:rPr>
                <w:rFonts w:hint="eastAsia" w:ascii="宋体" w:hAnsi="宋体" w:cs="宋体"/>
                <w:kern w:val="0"/>
                <w:szCs w:val="21"/>
              </w:rPr>
              <w:t>7</w:t>
            </w:r>
          </w:p>
        </w:tc>
        <w:tc>
          <w:tcPr>
            <w:tcW w:w="1161" w:type="dxa"/>
            <w:tcBorders>
              <w:top w:val="nil"/>
              <w:left w:val="nil"/>
              <w:bottom w:val="single" w:color="auto" w:sz="4" w:space="0"/>
              <w:right w:val="single" w:color="auto" w:sz="4" w:space="0"/>
            </w:tcBorders>
            <w:noWrap w:val="0"/>
            <w:vAlign w:val="center"/>
          </w:tcPr>
          <w:p w14:paraId="025FEB28">
            <w:pPr>
              <w:widowControl/>
              <w:jc w:val="center"/>
              <w:rPr>
                <w:rFonts w:hint="eastAsia" w:ascii="宋体" w:hAnsi="宋体" w:cs="宋体"/>
                <w:kern w:val="0"/>
                <w:szCs w:val="21"/>
              </w:rPr>
            </w:pPr>
            <w:r>
              <w:rPr>
                <w:rFonts w:hint="eastAsia" w:ascii="宋体" w:hAnsi="宋体" w:cs="宋体"/>
                <w:kern w:val="0"/>
                <w:szCs w:val="21"/>
              </w:rPr>
              <w:t>会议桌</w:t>
            </w:r>
          </w:p>
        </w:tc>
        <w:tc>
          <w:tcPr>
            <w:tcW w:w="2315" w:type="dxa"/>
            <w:tcBorders>
              <w:top w:val="nil"/>
              <w:left w:val="nil"/>
              <w:bottom w:val="single" w:color="auto" w:sz="4" w:space="0"/>
              <w:right w:val="single" w:color="auto" w:sz="4" w:space="0"/>
            </w:tcBorders>
            <w:noWrap w:val="0"/>
            <w:vAlign w:val="center"/>
          </w:tcPr>
          <w:p w14:paraId="7F154A0C">
            <w:pPr>
              <w:widowControl/>
              <w:jc w:val="center"/>
              <w:rPr>
                <w:rFonts w:hint="eastAsia" w:ascii="宋体" w:hAnsi="宋体" w:cs="宋体"/>
                <w:kern w:val="0"/>
                <w:szCs w:val="21"/>
              </w:rPr>
            </w:pPr>
            <w:r>
              <w:rPr>
                <w:rFonts w:hint="eastAsia" w:ascii="宋体" w:hAnsi="宋体" w:cs="宋体"/>
                <w:kern w:val="0"/>
                <w:szCs w:val="21"/>
              </w:rPr>
              <w:t>5500W*2400D*760H</w:t>
            </w:r>
          </w:p>
        </w:tc>
        <w:tc>
          <w:tcPr>
            <w:tcW w:w="2300" w:type="dxa"/>
            <w:tcBorders>
              <w:top w:val="nil"/>
              <w:left w:val="nil"/>
              <w:bottom w:val="single" w:color="auto" w:sz="4" w:space="0"/>
              <w:right w:val="single" w:color="auto" w:sz="4" w:space="0"/>
            </w:tcBorders>
            <w:noWrap/>
            <w:vAlign w:val="center"/>
          </w:tcPr>
          <w:p w14:paraId="4CEA69EC">
            <w:pPr>
              <w:widowControl/>
              <w:jc w:val="left"/>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fldChar w:fldCharType="begin"/>
            </w:r>
            <w:r>
              <w:rPr>
                <w:rFonts w:hint="eastAsia" w:ascii="等线" w:hAnsi="等线" w:eastAsia="等线" w:cs="等线"/>
                <w:color w:val="000000"/>
                <w:kern w:val="0"/>
                <w:sz w:val="22"/>
                <w:szCs w:val="22"/>
                <w:lang w:bidi="ar"/>
              </w:rPr>
              <w:instrText xml:space="preserve">INCLUDEPICTURE \d "C:\\Users\\ADMINI~1\\AppData\\Local\\Temp\\ksohtml\\clip_cell_image46.png" \* MERGEFORMATINET </w:instrText>
            </w:r>
            <w:r>
              <w:rPr>
                <w:rFonts w:hint="eastAsia" w:ascii="等线" w:hAnsi="等线" w:eastAsia="等线" w:cs="等线"/>
                <w:color w:val="000000"/>
                <w:kern w:val="0"/>
                <w:sz w:val="22"/>
                <w:szCs w:val="22"/>
                <w:lang w:bidi="ar"/>
              </w:rPr>
              <w:fldChar w:fldCharType="separate"/>
            </w:r>
            <w:r>
              <w:rPr>
                <w:rFonts w:hint="eastAsia" w:ascii="等线" w:hAnsi="等线" w:eastAsia="等线" w:cs="等线"/>
                <w:color w:val="000000"/>
                <w:kern w:val="0"/>
                <w:sz w:val="22"/>
                <w:szCs w:val="22"/>
                <w:lang w:bidi="ar"/>
              </w:rPr>
              <w:drawing>
                <wp:inline distT="0" distB="0" distL="114300" distR="114300">
                  <wp:extent cx="1292225" cy="952500"/>
                  <wp:effectExtent l="0" t="0" r="3175" b="0"/>
                  <wp:docPr id="9"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descr="IMG_256"/>
                          <pic:cNvPicPr>
                            <a:picLocks noChangeAspect="1"/>
                          </pic:cNvPicPr>
                        </pic:nvPicPr>
                        <pic:blipFill>
                          <a:blip r:embed="rId15"/>
                          <a:stretch>
                            <a:fillRect/>
                          </a:stretch>
                        </pic:blipFill>
                        <pic:spPr>
                          <a:xfrm>
                            <a:off x="0" y="0"/>
                            <a:ext cx="1292225" cy="952500"/>
                          </a:xfrm>
                          <a:prstGeom prst="rect">
                            <a:avLst/>
                          </a:prstGeom>
                          <a:noFill/>
                          <a:ln>
                            <a:noFill/>
                          </a:ln>
                        </pic:spPr>
                      </pic:pic>
                    </a:graphicData>
                  </a:graphic>
                </wp:inline>
              </w:drawing>
            </w:r>
            <w:r>
              <w:rPr>
                <w:rFonts w:hint="eastAsia" w:ascii="等线" w:hAnsi="等线" w:eastAsia="等线" w:cs="等线"/>
                <w:color w:val="000000"/>
                <w:kern w:val="0"/>
                <w:sz w:val="22"/>
                <w:szCs w:val="22"/>
                <w:lang w:bidi="ar"/>
              </w:rPr>
              <w:fldChar w:fldCharType="end"/>
            </w:r>
          </w:p>
        </w:tc>
        <w:tc>
          <w:tcPr>
            <w:tcW w:w="991" w:type="dxa"/>
            <w:tcBorders>
              <w:top w:val="nil"/>
              <w:left w:val="nil"/>
              <w:bottom w:val="single" w:color="auto" w:sz="4" w:space="0"/>
              <w:right w:val="single" w:color="auto" w:sz="4" w:space="0"/>
            </w:tcBorders>
            <w:noWrap/>
            <w:vAlign w:val="center"/>
          </w:tcPr>
          <w:p w14:paraId="551C0E09">
            <w:pPr>
              <w:widowControl/>
              <w:jc w:val="center"/>
              <w:rPr>
                <w:rFonts w:hint="eastAsia" w:ascii="宋体" w:hAnsi="宋体" w:cs="宋体"/>
                <w:kern w:val="0"/>
                <w:szCs w:val="21"/>
              </w:rPr>
            </w:pPr>
            <w:r>
              <w:rPr>
                <w:rFonts w:hint="eastAsia" w:ascii="宋体" w:hAnsi="宋体" w:cs="宋体"/>
                <w:kern w:val="0"/>
                <w:szCs w:val="21"/>
              </w:rPr>
              <w:t>张</w:t>
            </w:r>
          </w:p>
        </w:tc>
        <w:tc>
          <w:tcPr>
            <w:tcW w:w="659" w:type="dxa"/>
            <w:tcBorders>
              <w:top w:val="nil"/>
              <w:left w:val="nil"/>
              <w:bottom w:val="single" w:color="auto" w:sz="4" w:space="0"/>
              <w:right w:val="single" w:color="auto" w:sz="4" w:space="0"/>
            </w:tcBorders>
            <w:noWrap/>
            <w:vAlign w:val="center"/>
          </w:tcPr>
          <w:p w14:paraId="31A30B24">
            <w:pPr>
              <w:widowControl/>
              <w:jc w:val="center"/>
              <w:rPr>
                <w:rFonts w:hint="eastAsia" w:ascii="宋体" w:hAnsi="宋体" w:cs="宋体"/>
                <w:kern w:val="0"/>
                <w:szCs w:val="21"/>
              </w:rPr>
            </w:pPr>
            <w:r>
              <w:rPr>
                <w:rFonts w:hint="eastAsia" w:ascii="宋体" w:hAnsi="宋体" w:cs="宋体"/>
                <w:kern w:val="0"/>
                <w:szCs w:val="21"/>
              </w:rPr>
              <w:t>1</w:t>
            </w:r>
          </w:p>
        </w:tc>
        <w:tc>
          <w:tcPr>
            <w:tcW w:w="6256" w:type="dxa"/>
            <w:tcBorders>
              <w:top w:val="nil"/>
              <w:left w:val="nil"/>
              <w:bottom w:val="single" w:color="auto" w:sz="4" w:space="0"/>
              <w:right w:val="single" w:color="auto" w:sz="4" w:space="0"/>
            </w:tcBorders>
            <w:noWrap w:val="0"/>
            <w:vAlign w:val="center"/>
          </w:tcPr>
          <w:p w14:paraId="01D431B4">
            <w:pPr>
              <w:widowControl/>
              <w:jc w:val="left"/>
              <w:rPr>
                <w:rFonts w:hint="eastAsia" w:ascii="宋体" w:hAnsi="宋体" w:cs="宋体"/>
                <w:kern w:val="0"/>
                <w:szCs w:val="21"/>
              </w:rPr>
            </w:pPr>
            <w:r>
              <w:rPr>
                <w:rFonts w:hint="eastAsia" w:ascii="宋体" w:hAnsi="宋体" w:cs="宋体"/>
                <w:kern w:val="0"/>
                <w:szCs w:val="21"/>
              </w:rPr>
              <w:t>1、基材：采用优质环保ENF级高密度中纤板,优质绿色环保产品,甲醛含量≤1.0mg/L密度≥760kg/m3,静曲张度≥ 51.5Mpa,吸水膨胀率≤8.1%；</w:t>
            </w:r>
            <w:r>
              <w:rPr>
                <w:rFonts w:hint="eastAsia" w:ascii="宋体" w:hAnsi="宋体" w:cs="宋体"/>
                <w:kern w:val="0"/>
                <w:szCs w:val="21"/>
              </w:rPr>
              <w:br w:type="page"/>
            </w:r>
            <w:r>
              <w:rPr>
                <w:rFonts w:hint="eastAsia" w:ascii="宋体" w:hAnsi="宋体" w:cs="宋体"/>
                <w:kern w:val="0"/>
                <w:szCs w:val="21"/>
              </w:rPr>
              <w:t xml:space="preserve">2、烤漆涂层固化后其涂层的稳定性、耐久性、耐候性、耐摩擦性、耐腐蚀性和硬度高，经抛光后，表面光洁度高，镜面效果好； </w:t>
            </w:r>
            <w:r>
              <w:rPr>
                <w:rFonts w:hint="eastAsia" w:ascii="宋体" w:hAnsi="宋体" w:cs="宋体"/>
                <w:kern w:val="0"/>
                <w:szCs w:val="21"/>
              </w:rPr>
              <w:br w:type="page"/>
            </w:r>
            <w:r>
              <w:rPr>
                <w:rFonts w:hint="eastAsia" w:ascii="宋体" w:hAnsi="宋体" w:cs="宋体"/>
                <w:kern w:val="0"/>
                <w:szCs w:val="21"/>
              </w:rPr>
              <w:t>3、防潮、防水性能 优越；不需封边；易清洁，不渗油，不褪色；  各项技术指标均达到国际标准。材料经防虫、防潮、防腐及三次烘干蒸发处理，木材干燥至9%-12%的含水率；</w:t>
            </w:r>
            <w:r>
              <w:rPr>
                <w:rFonts w:hint="eastAsia" w:ascii="宋体" w:hAnsi="宋体" w:cs="宋体"/>
                <w:kern w:val="0"/>
                <w:szCs w:val="21"/>
              </w:rPr>
              <w:br w:type="page"/>
            </w:r>
            <w:r>
              <w:rPr>
                <w:rFonts w:hint="eastAsia" w:ascii="宋体" w:hAnsi="宋体" w:cs="宋体"/>
                <w:kern w:val="0"/>
                <w:szCs w:val="21"/>
              </w:rPr>
              <w:t>4、油漆采用优质环保水性涂料，水性隐孔高光，双面涂饰。水性漆面漆、水性漆底漆甲醛含量≤25mg/kg，VOC含量≤20g/L。，对人体无任何伤害、无污染而且亮、哑层次分明，手感好；表面无颗粒、气泡、渣点；漆面硬度大且清晰。</w:t>
            </w:r>
            <w:r>
              <w:rPr>
                <w:rFonts w:hint="eastAsia" w:ascii="宋体" w:hAnsi="宋体" w:cs="宋体"/>
                <w:kern w:val="0"/>
                <w:szCs w:val="21"/>
              </w:rPr>
              <w:br w:type="page"/>
            </w:r>
            <w:r>
              <w:rPr>
                <w:rFonts w:hint="eastAsia" w:ascii="宋体" w:hAnsi="宋体" w:cs="宋体"/>
                <w:kern w:val="0"/>
                <w:szCs w:val="21"/>
              </w:rPr>
              <w:t>5、胶粘剂：优质白乳胶，游离甲醛未检出，总挥发性有机物≤70g/L。</w:t>
            </w:r>
            <w:r>
              <w:rPr>
                <w:rFonts w:hint="eastAsia" w:ascii="宋体" w:hAnsi="宋体" w:cs="宋体"/>
                <w:kern w:val="0"/>
                <w:szCs w:val="21"/>
              </w:rPr>
              <w:br w:type="page"/>
            </w:r>
            <w:r>
              <w:rPr>
                <w:rFonts w:hint="eastAsia" w:ascii="宋体" w:hAnsi="宋体" w:cs="宋体"/>
                <w:kern w:val="0"/>
                <w:szCs w:val="21"/>
              </w:rPr>
              <w:t>6、胶水：采用优质环保品牌绿色环保胶水。</w:t>
            </w:r>
            <w:r>
              <w:rPr>
                <w:rFonts w:hint="eastAsia" w:ascii="宋体" w:hAnsi="宋体" w:cs="宋体"/>
                <w:kern w:val="0"/>
                <w:szCs w:val="21"/>
              </w:rPr>
              <w:br w:type="page"/>
            </w:r>
            <w:r>
              <w:rPr>
                <w:rFonts w:hint="eastAsia" w:ascii="宋体" w:hAnsi="宋体" w:cs="宋体"/>
                <w:kern w:val="0"/>
                <w:szCs w:val="21"/>
              </w:rPr>
              <w:t>7、五金配件：采用优质品牌的门铰五金锁具，满足QB/T 2189-2013检测，要求耐久性达到8万次。</w:t>
            </w:r>
            <w:r>
              <w:rPr>
                <w:rFonts w:hint="eastAsia" w:ascii="宋体" w:hAnsi="宋体" w:cs="宋体"/>
                <w:kern w:val="0"/>
                <w:szCs w:val="21"/>
              </w:rPr>
              <w:br w:type="page"/>
            </w:r>
            <w:r>
              <w:rPr>
                <w:rFonts w:hint="eastAsia" w:ascii="宋体" w:hAnsi="宋体" w:cs="宋体"/>
                <w:kern w:val="0"/>
                <w:szCs w:val="21"/>
              </w:rPr>
              <w:t>8、带隐藏式走线功能</w:t>
            </w:r>
            <w:r>
              <w:rPr>
                <w:rFonts w:hint="eastAsia" w:ascii="宋体" w:hAnsi="宋体" w:cs="宋体"/>
                <w:kern w:val="0"/>
                <w:szCs w:val="21"/>
              </w:rPr>
              <w:br w:type="page"/>
            </w:r>
          </w:p>
        </w:tc>
        <w:tc>
          <w:tcPr>
            <w:tcW w:w="236" w:type="dxa"/>
            <w:tcBorders>
              <w:bottom w:val="single" w:color="auto" w:sz="4" w:space="0"/>
            </w:tcBorders>
            <w:noWrap w:val="0"/>
            <w:vAlign w:val="center"/>
          </w:tcPr>
          <w:p w14:paraId="20E01371">
            <w:pPr>
              <w:widowControl/>
              <w:jc w:val="left"/>
              <w:rPr>
                <w:rFonts w:ascii="宋体" w:hAnsi="宋体"/>
                <w:kern w:val="0"/>
                <w:szCs w:val="21"/>
              </w:rPr>
            </w:pPr>
          </w:p>
        </w:tc>
      </w:tr>
      <w:tr w14:paraId="6EC80CF9">
        <w:tblPrEx>
          <w:tblCellMar>
            <w:top w:w="0" w:type="dxa"/>
            <w:left w:w="108" w:type="dxa"/>
            <w:bottom w:w="0" w:type="dxa"/>
            <w:right w:w="108" w:type="dxa"/>
          </w:tblCellMar>
        </w:tblPrEx>
        <w:trPr>
          <w:gridAfter w:val="2"/>
          <w:wAfter w:w="13296" w:type="dxa"/>
          <w:trHeight w:val="1425" w:hRule="atLeast"/>
        </w:trPr>
        <w:tc>
          <w:tcPr>
            <w:tcW w:w="635" w:type="dxa"/>
            <w:tcBorders>
              <w:top w:val="single" w:color="auto" w:sz="4" w:space="0"/>
              <w:left w:val="single" w:color="auto" w:sz="4" w:space="0"/>
              <w:bottom w:val="single" w:color="auto" w:sz="4" w:space="0"/>
              <w:right w:val="single" w:color="auto" w:sz="4" w:space="0"/>
            </w:tcBorders>
            <w:noWrap/>
            <w:vAlign w:val="center"/>
          </w:tcPr>
          <w:p w14:paraId="11A8A88A">
            <w:pPr>
              <w:widowControl/>
              <w:jc w:val="center"/>
              <w:rPr>
                <w:rFonts w:hint="eastAsia" w:ascii="宋体" w:hAnsi="宋体" w:cs="宋体"/>
                <w:kern w:val="0"/>
                <w:szCs w:val="21"/>
              </w:rPr>
            </w:pPr>
            <w:r>
              <w:rPr>
                <w:rFonts w:hint="eastAsia" w:ascii="宋体" w:hAnsi="宋体" w:cs="宋体"/>
                <w:kern w:val="0"/>
                <w:szCs w:val="21"/>
              </w:rPr>
              <w:t>8</w:t>
            </w:r>
          </w:p>
        </w:tc>
        <w:tc>
          <w:tcPr>
            <w:tcW w:w="1161" w:type="dxa"/>
            <w:tcBorders>
              <w:top w:val="single" w:color="auto" w:sz="4" w:space="0"/>
              <w:left w:val="nil"/>
              <w:bottom w:val="single" w:color="auto" w:sz="4" w:space="0"/>
              <w:right w:val="single" w:color="auto" w:sz="4" w:space="0"/>
            </w:tcBorders>
            <w:noWrap w:val="0"/>
            <w:vAlign w:val="center"/>
          </w:tcPr>
          <w:p w14:paraId="51ACA0E5">
            <w:pPr>
              <w:widowControl/>
              <w:jc w:val="center"/>
              <w:rPr>
                <w:rFonts w:hint="eastAsia" w:ascii="宋体" w:hAnsi="宋体" w:cs="宋体"/>
                <w:kern w:val="0"/>
                <w:szCs w:val="21"/>
              </w:rPr>
            </w:pPr>
            <w:r>
              <w:rPr>
                <w:rFonts w:hint="eastAsia" w:ascii="宋体" w:hAnsi="宋体" w:cs="宋体"/>
                <w:kern w:val="0"/>
                <w:szCs w:val="21"/>
              </w:rPr>
              <w:t>会议椅</w:t>
            </w:r>
          </w:p>
        </w:tc>
        <w:tc>
          <w:tcPr>
            <w:tcW w:w="2315" w:type="dxa"/>
            <w:tcBorders>
              <w:top w:val="single" w:color="auto" w:sz="4" w:space="0"/>
              <w:left w:val="nil"/>
              <w:bottom w:val="single" w:color="auto" w:sz="4" w:space="0"/>
              <w:right w:val="single" w:color="auto" w:sz="4" w:space="0"/>
            </w:tcBorders>
            <w:noWrap w:val="0"/>
            <w:vAlign w:val="center"/>
          </w:tcPr>
          <w:p w14:paraId="12EA5878">
            <w:pPr>
              <w:widowControl/>
              <w:jc w:val="center"/>
              <w:rPr>
                <w:rFonts w:hint="eastAsia" w:ascii="宋体" w:hAnsi="宋体" w:cs="宋体"/>
                <w:kern w:val="0"/>
                <w:szCs w:val="21"/>
              </w:rPr>
            </w:pPr>
            <w:r>
              <w:rPr>
                <w:rFonts w:hint="eastAsia" w:ascii="宋体" w:hAnsi="宋体" w:cs="宋体"/>
                <w:kern w:val="0"/>
                <w:szCs w:val="21"/>
              </w:rPr>
              <w:t>700W*670D*1260</w:t>
            </w:r>
            <w:r>
              <w:rPr>
                <w:rFonts w:hint="eastAsia" w:ascii="宋体" w:hAnsi="宋体" w:cs="宋体"/>
                <w:kern w:val="0"/>
                <w:szCs w:val="21"/>
              </w:rPr>
              <w:br w:type="page"/>
            </w:r>
            <w:r>
              <w:rPr>
                <w:rFonts w:hint="eastAsia" w:ascii="宋体" w:hAnsi="宋体" w:cs="宋体"/>
                <w:kern w:val="0"/>
                <w:szCs w:val="21"/>
              </w:rPr>
              <w:t>-1320H</w:t>
            </w:r>
          </w:p>
        </w:tc>
        <w:tc>
          <w:tcPr>
            <w:tcW w:w="2300" w:type="dxa"/>
            <w:tcBorders>
              <w:top w:val="nil"/>
              <w:left w:val="nil"/>
              <w:bottom w:val="single" w:color="auto" w:sz="4" w:space="0"/>
              <w:right w:val="single" w:color="auto" w:sz="4" w:space="0"/>
            </w:tcBorders>
            <w:noWrap/>
            <w:vAlign w:val="center"/>
          </w:tcPr>
          <w:p w14:paraId="0F9B1B87">
            <w:pPr>
              <w:widowControl/>
              <w:jc w:val="center"/>
              <w:rPr>
                <w:rFonts w:hint="eastAsia" w:ascii="宋体" w:hAnsi="宋体" w:cs="宋体"/>
                <w:kern w:val="0"/>
                <w:szCs w:val="21"/>
              </w:rPr>
            </w:pPr>
            <w:r>
              <w:drawing>
                <wp:inline distT="0" distB="0" distL="114300" distR="114300">
                  <wp:extent cx="688975" cy="1070610"/>
                  <wp:effectExtent l="0" t="0" r="15875" b="15240"/>
                  <wp:docPr id="1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8"/>
                          <pic:cNvPicPr>
                            <a:picLocks noChangeAspect="1"/>
                          </pic:cNvPicPr>
                        </pic:nvPicPr>
                        <pic:blipFill>
                          <a:blip r:embed="rId16"/>
                          <a:stretch>
                            <a:fillRect/>
                          </a:stretch>
                        </pic:blipFill>
                        <pic:spPr>
                          <a:xfrm>
                            <a:off x="0" y="0"/>
                            <a:ext cx="688975" cy="1070610"/>
                          </a:xfrm>
                          <a:prstGeom prst="rect">
                            <a:avLst/>
                          </a:prstGeom>
                          <a:noFill/>
                          <a:ln>
                            <a:noFill/>
                          </a:ln>
                        </pic:spPr>
                      </pic:pic>
                    </a:graphicData>
                  </a:graphic>
                </wp:inline>
              </w:drawing>
            </w:r>
          </w:p>
        </w:tc>
        <w:tc>
          <w:tcPr>
            <w:tcW w:w="991" w:type="dxa"/>
            <w:tcBorders>
              <w:top w:val="nil"/>
              <w:left w:val="nil"/>
              <w:bottom w:val="single" w:color="auto" w:sz="4" w:space="0"/>
              <w:right w:val="single" w:color="auto" w:sz="4" w:space="0"/>
            </w:tcBorders>
            <w:noWrap/>
            <w:vAlign w:val="center"/>
          </w:tcPr>
          <w:p w14:paraId="03A7CF73">
            <w:pPr>
              <w:jc w:val="center"/>
              <w:rPr>
                <w:rFonts w:hint="eastAsia" w:ascii="宋体" w:hAnsi="宋体" w:cs="宋体"/>
                <w:kern w:val="0"/>
                <w:szCs w:val="21"/>
              </w:rPr>
            </w:pPr>
            <w:r>
              <w:rPr>
                <w:rFonts w:hint="eastAsia" w:ascii="宋体" w:hAnsi="宋体" w:cs="宋体"/>
                <w:kern w:val="0"/>
                <w:szCs w:val="21"/>
              </w:rPr>
              <w:t>把</w:t>
            </w:r>
          </w:p>
        </w:tc>
        <w:tc>
          <w:tcPr>
            <w:tcW w:w="659" w:type="dxa"/>
            <w:tcBorders>
              <w:top w:val="nil"/>
              <w:left w:val="single" w:color="auto" w:sz="4" w:space="0"/>
              <w:bottom w:val="single" w:color="auto" w:sz="4" w:space="0"/>
              <w:right w:val="single" w:color="auto" w:sz="4" w:space="0"/>
            </w:tcBorders>
            <w:noWrap/>
            <w:vAlign w:val="center"/>
          </w:tcPr>
          <w:p w14:paraId="2798747D">
            <w:pPr>
              <w:widowControl/>
              <w:jc w:val="center"/>
              <w:rPr>
                <w:rFonts w:ascii="宋体" w:hAnsi="宋体" w:cs="宋体"/>
                <w:kern w:val="0"/>
                <w:szCs w:val="21"/>
              </w:rPr>
            </w:pPr>
            <w:r>
              <w:rPr>
                <w:rFonts w:hint="eastAsia" w:ascii="宋体" w:hAnsi="宋体" w:cs="宋体"/>
                <w:kern w:val="0"/>
                <w:szCs w:val="21"/>
              </w:rPr>
              <w:t>16</w:t>
            </w:r>
          </w:p>
        </w:tc>
        <w:tc>
          <w:tcPr>
            <w:tcW w:w="6256" w:type="dxa"/>
            <w:tcBorders>
              <w:top w:val="nil"/>
              <w:left w:val="nil"/>
              <w:bottom w:val="single" w:color="auto" w:sz="4" w:space="0"/>
              <w:right w:val="single" w:color="auto" w:sz="4" w:space="0"/>
            </w:tcBorders>
            <w:noWrap w:val="0"/>
            <w:vAlign w:val="center"/>
          </w:tcPr>
          <w:p w14:paraId="15098D94">
            <w:pPr>
              <w:widowControl/>
              <w:jc w:val="left"/>
              <w:rPr>
                <w:rFonts w:hint="eastAsia" w:ascii="宋体" w:hAnsi="宋体" w:cs="宋体"/>
                <w:kern w:val="0"/>
                <w:szCs w:val="21"/>
              </w:rPr>
            </w:pPr>
            <w:r>
              <w:rPr>
                <w:rFonts w:hint="eastAsia" w:ascii="宋体" w:hAnsi="宋体" w:cs="宋体"/>
                <w:kern w:val="0"/>
                <w:szCs w:val="21"/>
              </w:rPr>
              <w:t xml:space="preserve">1、面料:选用优质西皮经液态浸色及防潮、防污等工艺处理,皮面柔软舒适,光泽持久性。                                                                                                              </w:t>
            </w:r>
            <w:r>
              <w:rPr>
                <w:rFonts w:hint="eastAsia" w:ascii="宋体" w:hAnsi="宋体" w:cs="宋体"/>
                <w:kern w:val="0"/>
                <w:szCs w:val="21"/>
              </w:rPr>
              <w:br w:type="page"/>
            </w:r>
            <w:r>
              <w:rPr>
                <w:rFonts w:hint="eastAsia" w:ascii="宋体" w:hAnsi="宋体" w:cs="宋体"/>
                <w:kern w:val="0"/>
                <w:szCs w:val="21"/>
              </w:rPr>
              <w:t xml:space="preserve">2、辅料:采用PU成型发泡高密度海绵,表面有一层保护面,可防氧化,防碎,经测试不变形。                                                                                             </w:t>
            </w:r>
            <w:r>
              <w:rPr>
                <w:rFonts w:hint="eastAsia" w:ascii="宋体" w:hAnsi="宋体" w:cs="宋体"/>
                <w:kern w:val="0"/>
                <w:szCs w:val="21"/>
              </w:rPr>
              <w:br w:type="page"/>
            </w:r>
            <w:r>
              <w:rPr>
                <w:rFonts w:hint="eastAsia" w:ascii="宋体" w:hAnsi="宋体" w:cs="宋体"/>
                <w:kern w:val="0"/>
                <w:szCs w:val="21"/>
              </w:rPr>
              <w:t xml:space="preserve">3、配件：气压棒（受力≥250kg）；伸缩30万次不漏气。                                                                                                                         4、脚架：铝合金五星脚。                                                                                                                                                            </w:t>
            </w:r>
            <w:r>
              <w:rPr>
                <w:rFonts w:hint="eastAsia" w:ascii="宋体" w:hAnsi="宋体" w:cs="宋体"/>
                <w:kern w:val="0"/>
                <w:szCs w:val="21"/>
              </w:rPr>
              <w:br w:type="page"/>
            </w:r>
            <w:r>
              <w:rPr>
                <w:rFonts w:hint="eastAsia" w:ascii="宋体" w:hAnsi="宋体" w:cs="宋体"/>
                <w:kern w:val="0"/>
                <w:szCs w:val="21"/>
              </w:rPr>
              <w:t>5、功能：具备升降、倾仰、多段式锁定功能；</w:t>
            </w:r>
          </w:p>
        </w:tc>
        <w:tc>
          <w:tcPr>
            <w:tcW w:w="236" w:type="dxa"/>
            <w:tcBorders>
              <w:bottom w:val="single" w:color="auto" w:sz="4" w:space="0"/>
            </w:tcBorders>
            <w:noWrap w:val="0"/>
            <w:vAlign w:val="center"/>
          </w:tcPr>
          <w:p w14:paraId="36B91316">
            <w:pPr>
              <w:widowControl/>
              <w:jc w:val="left"/>
              <w:rPr>
                <w:rFonts w:ascii="宋体" w:hAnsi="宋体"/>
                <w:kern w:val="0"/>
                <w:szCs w:val="21"/>
              </w:rPr>
            </w:pPr>
          </w:p>
        </w:tc>
      </w:tr>
      <w:tr w14:paraId="29F5ABA1">
        <w:tblPrEx>
          <w:tblCellMar>
            <w:top w:w="0" w:type="dxa"/>
            <w:left w:w="108" w:type="dxa"/>
            <w:bottom w:w="0" w:type="dxa"/>
            <w:right w:w="108" w:type="dxa"/>
          </w:tblCellMar>
        </w:tblPrEx>
        <w:trPr>
          <w:gridAfter w:val="2"/>
          <w:wAfter w:w="13296" w:type="dxa"/>
          <w:trHeight w:val="20" w:hRule="atLeast"/>
        </w:trPr>
        <w:tc>
          <w:tcPr>
            <w:tcW w:w="635" w:type="dxa"/>
            <w:tcBorders>
              <w:top w:val="nil"/>
              <w:left w:val="single" w:color="auto" w:sz="4" w:space="0"/>
              <w:bottom w:val="single" w:color="auto" w:sz="4" w:space="0"/>
              <w:right w:val="single" w:color="auto" w:sz="4" w:space="0"/>
            </w:tcBorders>
            <w:noWrap/>
            <w:vAlign w:val="center"/>
          </w:tcPr>
          <w:p w14:paraId="47CB93C9">
            <w:pPr>
              <w:widowControl/>
              <w:jc w:val="center"/>
              <w:rPr>
                <w:rFonts w:hint="eastAsia" w:ascii="宋体" w:hAnsi="宋体" w:cs="宋体"/>
                <w:kern w:val="0"/>
                <w:szCs w:val="21"/>
              </w:rPr>
            </w:pPr>
            <w:r>
              <w:rPr>
                <w:rFonts w:hint="eastAsia" w:ascii="宋体" w:hAnsi="宋体" w:cs="宋体"/>
                <w:kern w:val="0"/>
                <w:szCs w:val="21"/>
              </w:rPr>
              <w:t>9</w:t>
            </w:r>
          </w:p>
        </w:tc>
        <w:tc>
          <w:tcPr>
            <w:tcW w:w="1161" w:type="dxa"/>
            <w:tcBorders>
              <w:top w:val="nil"/>
              <w:left w:val="nil"/>
              <w:bottom w:val="single" w:color="auto" w:sz="4" w:space="0"/>
              <w:right w:val="single" w:color="auto" w:sz="4" w:space="0"/>
            </w:tcBorders>
            <w:noWrap w:val="0"/>
            <w:vAlign w:val="center"/>
          </w:tcPr>
          <w:p w14:paraId="6D626066">
            <w:pPr>
              <w:widowControl/>
              <w:jc w:val="center"/>
              <w:rPr>
                <w:rFonts w:hint="eastAsia" w:ascii="宋体" w:hAnsi="宋体" w:cs="宋体"/>
                <w:kern w:val="0"/>
                <w:szCs w:val="21"/>
              </w:rPr>
            </w:pPr>
            <w:r>
              <w:rPr>
                <w:rFonts w:hint="eastAsia" w:ascii="宋体" w:hAnsi="宋体" w:cs="宋体"/>
                <w:kern w:val="0"/>
                <w:szCs w:val="21"/>
              </w:rPr>
              <w:t>培训椅</w:t>
            </w:r>
          </w:p>
        </w:tc>
        <w:tc>
          <w:tcPr>
            <w:tcW w:w="2315" w:type="dxa"/>
            <w:tcBorders>
              <w:top w:val="nil"/>
              <w:left w:val="nil"/>
              <w:bottom w:val="single" w:color="auto" w:sz="4" w:space="0"/>
              <w:right w:val="single" w:color="auto" w:sz="4" w:space="0"/>
            </w:tcBorders>
            <w:noWrap/>
            <w:vAlign w:val="center"/>
          </w:tcPr>
          <w:p w14:paraId="5BBE35EF">
            <w:pPr>
              <w:widowControl/>
              <w:jc w:val="center"/>
              <w:rPr>
                <w:rFonts w:hint="eastAsia" w:ascii="宋体" w:hAnsi="宋体" w:cs="宋体"/>
                <w:kern w:val="0"/>
                <w:szCs w:val="21"/>
              </w:rPr>
            </w:pPr>
            <w:r>
              <w:rPr>
                <w:rFonts w:hint="eastAsia" w:ascii="宋体" w:hAnsi="宋体" w:cs="宋体"/>
                <w:kern w:val="0"/>
                <w:szCs w:val="21"/>
              </w:rPr>
              <w:t>540W*460D*895H</w:t>
            </w:r>
          </w:p>
        </w:tc>
        <w:tc>
          <w:tcPr>
            <w:tcW w:w="2300" w:type="dxa"/>
            <w:tcBorders>
              <w:top w:val="nil"/>
              <w:left w:val="nil"/>
              <w:bottom w:val="single" w:color="auto" w:sz="4" w:space="0"/>
              <w:right w:val="single" w:color="auto" w:sz="4" w:space="0"/>
            </w:tcBorders>
            <w:noWrap/>
            <w:vAlign w:val="center"/>
          </w:tcPr>
          <w:p w14:paraId="150FF522">
            <w:pPr>
              <w:widowControl/>
              <w:jc w:val="left"/>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drawing>
                <wp:anchor distT="0" distB="0" distL="114300" distR="114300" simplePos="0" relativeHeight="251661312" behindDoc="0" locked="0" layoutInCell="1" allowOverlap="1">
                  <wp:simplePos x="0" y="0"/>
                  <wp:positionH relativeFrom="column">
                    <wp:posOffset>113030</wp:posOffset>
                  </wp:positionH>
                  <wp:positionV relativeFrom="paragraph">
                    <wp:posOffset>97155</wp:posOffset>
                  </wp:positionV>
                  <wp:extent cx="1106170" cy="1482090"/>
                  <wp:effectExtent l="0" t="0" r="17780" b="3810"/>
                  <wp:wrapSquare wrapText="bothSides"/>
                  <wp:docPr id="4"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6"/>
                          <pic:cNvPicPr>
                            <a:picLocks noChangeAspect="1"/>
                          </pic:cNvPicPr>
                        </pic:nvPicPr>
                        <pic:blipFill>
                          <a:blip r:embed="rId17"/>
                          <a:stretch>
                            <a:fillRect/>
                          </a:stretch>
                        </pic:blipFill>
                        <pic:spPr>
                          <a:xfrm>
                            <a:off x="0" y="0"/>
                            <a:ext cx="1106170" cy="1482090"/>
                          </a:xfrm>
                          <a:prstGeom prst="rect">
                            <a:avLst/>
                          </a:prstGeom>
                          <a:noFill/>
                          <a:ln>
                            <a:noFill/>
                          </a:ln>
                        </pic:spPr>
                      </pic:pic>
                    </a:graphicData>
                  </a:graphic>
                </wp:anchor>
              </w:drawing>
            </w:r>
          </w:p>
        </w:tc>
        <w:tc>
          <w:tcPr>
            <w:tcW w:w="991" w:type="dxa"/>
            <w:tcBorders>
              <w:top w:val="nil"/>
              <w:left w:val="nil"/>
              <w:bottom w:val="single" w:color="auto" w:sz="4" w:space="0"/>
              <w:right w:val="single" w:color="auto" w:sz="4" w:space="0"/>
            </w:tcBorders>
            <w:noWrap/>
            <w:vAlign w:val="center"/>
          </w:tcPr>
          <w:p w14:paraId="79C0242B">
            <w:pPr>
              <w:widowControl/>
              <w:jc w:val="center"/>
              <w:rPr>
                <w:rFonts w:hint="eastAsia" w:ascii="宋体" w:hAnsi="宋体" w:cs="宋体"/>
                <w:kern w:val="0"/>
                <w:szCs w:val="21"/>
              </w:rPr>
            </w:pPr>
            <w:r>
              <w:rPr>
                <w:rFonts w:hint="eastAsia" w:ascii="宋体" w:hAnsi="宋体" w:cs="宋体"/>
                <w:kern w:val="0"/>
                <w:szCs w:val="21"/>
              </w:rPr>
              <w:t>把</w:t>
            </w:r>
          </w:p>
        </w:tc>
        <w:tc>
          <w:tcPr>
            <w:tcW w:w="659" w:type="dxa"/>
            <w:tcBorders>
              <w:top w:val="nil"/>
              <w:left w:val="nil"/>
              <w:bottom w:val="single" w:color="auto" w:sz="4" w:space="0"/>
              <w:right w:val="single" w:color="auto" w:sz="4" w:space="0"/>
            </w:tcBorders>
            <w:noWrap/>
            <w:vAlign w:val="center"/>
          </w:tcPr>
          <w:p w14:paraId="6C335C48">
            <w:pPr>
              <w:widowControl/>
              <w:jc w:val="center"/>
              <w:rPr>
                <w:rFonts w:hint="eastAsia" w:ascii="宋体" w:hAnsi="宋体" w:cs="宋体"/>
                <w:kern w:val="0"/>
                <w:szCs w:val="21"/>
              </w:rPr>
            </w:pPr>
            <w:r>
              <w:rPr>
                <w:rFonts w:hint="eastAsia" w:ascii="宋体" w:hAnsi="宋体" w:cs="宋体"/>
                <w:kern w:val="0"/>
                <w:szCs w:val="21"/>
              </w:rPr>
              <w:t>20</w:t>
            </w:r>
          </w:p>
        </w:tc>
        <w:tc>
          <w:tcPr>
            <w:tcW w:w="6256" w:type="dxa"/>
            <w:tcBorders>
              <w:top w:val="nil"/>
              <w:left w:val="nil"/>
              <w:bottom w:val="single" w:color="auto" w:sz="4" w:space="0"/>
              <w:right w:val="single" w:color="auto" w:sz="4" w:space="0"/>
            </w:tcBorders>
            <w:noWrap w:val="0"/>
            <w:vAlign w:val="center"/>
          </w:tcPr>
          <w:p w14:paraId="310A6B5D">
            <w:pPr>
              <w:widowControl/>
              <w:rPr>
                <w:rFonts w:hint="eastAsia" w:ascii="宋体" w:hAnsi="宋体" w:cs="宋体"/>
                <w:kern w:val="0"/>
                <w:szCs w:val="21"/>
              </w:rPr>
            </w:pPr>
            <w:r>
              <w:rPr>
                <w:rFonts w:hint="eastAsia" w:ascii="宋体" w:hAnsi="宋体" w:cs="宋体"/>
                <w:kern w:val="0"/>
                <w:szCs w:val="21"/>
              </w:rPr>
              <w:t>1、PP+纤回型固定扶手，背框带固定腰靠；</w:t>
            </w:r>
            <w:r>
              <w:rPr>
                <w:rFonts w:hint="eastAsia" w:ascii="宋体" w:hAnsi="宋体" w:cs="宋体"/>
                <w:kern w:val="0"/>
                <w:szCs w:val="21"/>
              </w:rPr>
              <w:br w:type="textWrapping"/>
            </w:r>
            <w:r>
              <w:rPr>
                <w:rFonts w:hint="eastAsia" w:ascii="宋体" w:hAnsi="宋体" w:cs="宋体"/>
                <w:kern w:val="0"/>
                <w:szCs w:val="21"/>
              </w:rPr>
              <w:t>2、双层加厚背网，弹力座布；网布面料透气性良好。</w:t>
            </w:r>
            <w:r>
              <w:rPr>
                <w:rFonts w:hint="eastAsia" w:ascii="宋体" w:hAnsi="宋体" w:cs="宋体"/>
                <w:kern w:val="0"/>
                <w:szCs w:val="21"/>
              </w:rPr>
              <w:br w:type="textWrapping"/>
            </w:r>
            <w:r>
              <w:rPr>
                <w:rFonts w:hint="eastAsia" w:ascii="宋体" w:hAnsi="宋体" w:cs="宋体"/>
                <w:kern w:val="0"/>
                <w:szCs w:val="21"/>
              </w:rPr>
              <w:t>3、40密度原生态纯棉；底座板PP+纤压塑料成型；</w:t>
            </w:r>
            <w:r>
              <w:rPr>
                <w:rFonts w:hint="eastAsia" w:ascii="宋体" w:hAnsi="宋体" w:cs="宋体"/>
                <w:kern w:val="0"/>
                <w:szCs w:val="21"/>
              </w:rPr>
              <w:br w:type="textWrapping"/>
            </w:r>
            <w:r>
              <w:rPr>
                <w:rFonts w:hint="eastAsia" w:ascii="宋体" w:hAnsi="宋体" w:cs="宋体"/>
                <w:kern w:val="0"/>
                <w:szCs w:val="21"/>
              </w:rPr>
              <w:t>4、采用1.2mm优质冷拉异型三角无缝钢管制作。</w:t>
            </w:r>
            <w:r>
              <w:rPr>
                <w:rFonts w:hint="eastAsia" w:ascii="宋体" w:hAnsi="宋体" w:cs="宋体"/>
                <w:kern w:val="0"/>
                <w:szCs w:val="21"/>
              </w:rPr>
              <w:br w:type="textWrapping"/>
            </w:r>
            <w:r>
              <w:rPr>
                <w:rFonts w:hint="eastAsia" w:ascii="宋体" w:hAnsi="宋体" w:cs="宋体"/>
                <w:kern w:val="0"/>
                <w:szCs w:val="21"/>
              </w:rPr>
              <w:t>5、2.5寸黑色PA轮</w:t>
            </w:r>
          </w:p>
        </w:tc>
        <w:tc>
          <w:tcPr>
            <w:tcW w:w="236" w:type="dxa"/>
            <w:noWrap w:val="0"/>
            <w:vAlign w:val="center"/>
          </w:tcPr>
          <w:p w14:paraId="17763C9F">
            <w:pPr>
              <w:widowControl/>
              <w:jc w:val="left"/>
              <w:rPr>
                <w:rFonts w:ascii="宋体" w:hAnsi="宋体"/>
                <w:kern w:val="0"/>
                <w:szCs w:val="21"/>
              </w:rPr>
            </w:pPr>
          </w:p>
        </w:tc>
      </w:tr>
      <w:tr w14:paraId="7CFF895A">
        <w:tblPrEx>
          <w:tblCellMar>
            <w:top w:w="0" w:type="dxa"/>
            <w:left w:w="108" w:type="dxa"/>
            <w:bottom w:w="0" w:type="dxa"/>
            <w:right w:w="108" w:type="dxa"/>
          </w:tblCellMar>
        </w:tblPrEx>
        <w:trPr>
          <w:gridAfter w:val="2"/>
          <w:wAfter w:w="13296" w:type="dxa"/>
          <w:trHeight w:val="20" w:hRule="atLeast"/>
        </w:trPr>
        <w:tc>
          <w:tcPr>
            <w:tcW w:w="635" w:type="dxa"/>
            <w:tcBorders>
              <w:top w:val="nil"/>
              <w:left w:val="single" w:color="auto" w:sz="4" w:space="0"/>
              <w:bottom w:val="single" w:color="auto" w:sz="4" w:space="0"/>
              <w:right w:val="single" w:color="auto" w:sz="4" w:space="0"/>
            </w:tcBorders>
            <w:noWrap/>
            <w:vAlign w:val="center"/>
          </w:tcPr>
          <w:p w14:paraId="6C976DC6">
            <w:pPr>
              <w:widowControl/>
              <w:jc w:val="center"/>
              <w:rPr>
                <w:rFonts w:hint="eastAsia" w:ascii="宋体" w:hAnsi="宋体" w:cs="宋体"/>
                <w:kern w:val="0"/>
                <w:szCs w:val="21"/>
              </w:rPr>
            </w:pPr>
            <w:r>
              <w:rPr>
                <w:rFonts w:hint="eastAsia" w:ascii="宋体" w:hAnsi="宋体" w:cs="宋体"/>
                <w:kern w:val="0"/>
                <w:szCs w:val="21"/>
              </w:rPr>
              <w:t>10</w:t>
            </w:r>
          </w:p>
        </w:tc>
        <w:tc>
          <w:tcPr>
            <w:tcW w:w="1161" w:type="dxa"/>
            <w:tcBorders>
              <w:top w:val="nil"/>
              <w:left w:val="nil"/>
              <w:bottom w:val="single" w:color="auto" w:sz="4" w:space="0"/>
              <w:right w:val="single" w:color="auto" w:sz="4" w:space="0"/>
            </w:tcBorders>
            <w:noWrap w:val="0"/>
            <w:vAlign w:val="center"/>
          </w:tcPr>
          <w:p w14:paraId="2C2DC886">
            <w:pPr>
              <w:widowControl/>
              <w:jc w:val="center"/>
              <w:rPr>
                <w:rFonts w:hint="eastAsia" w:ascii="宋体" w:hAnsi="宋体" w:cs="宋体"/>
                <w:kern w:val="0"/>
                <w:szCs w:val="21"/>
              </w:rPr>
            </w:pPr>
            <w:r>
              <w:rPr>
                <w:rFonts w:hint="eastAsia" w:ascii="宋体" w:hAnsi="宋体" w:cs="宋体"/>
                <w:kern w:val="0"/>
                <w:szCs w:val="21"/>
              </w:rPr>
              <w:t>实战台</w:t>
            </w:r>
          </w:p>
        </w:tc>
        <w:tc>
          <w:tcPr>
            <w:tcW w:w="2315" w:type="dxa"/>
            <w:tcBorders>
              <w:top w:val="nil"/>
              <w:left w:val="nil"/>
              <w:bottom w:val="single" w:color="auto" w:sz="4" w:space="0"/>
              <w:right w:val="single" w:color="auto" w:sz="4" w:space="0"/>
            </w:tcBorders>
            <w:noWrap w:val="0"/>
            <w:vAlign w:val="center"/>
          </w:tcPr>
          <w:p w14:paraId="72B4D5C6">
            <w:pPr>
              <w:widowControl/>
              <w:jc w:val="center"/>
              <w:rPr>
                <w:rFonts w:hint="eastAsia" w:ascii="宋体" w:hAnsi="宋体" w:cs="宋体"/>
                <w:kern w:val="0"/>
                <w:szCs w:val="21"/>
              </w:rPr>
            </w:pPr>
            <w:r>
              <w:rPr>
                <w:rFonts w:hint="eastAsia" w:ascii="宋体" w:hAnsi="宋体" w:cs="宋体"/>
                <w:kern w:val="0"/>
                <w:szCs w:val="21"/>
              </w:rPr>
              <w:t>6920W*2260D*950H</w:t>
            </w:r>
          </w:p>
        </w:tc>
        <w:tc>
          <w:tcPr>
            <w:tcW w:w="2300" w:type="dxa"/>
            <w:tcBorders>
              <w:top w:val="nil"/>
              <w:left w:val="nil"/>
              <w:bottom w:val="single" w:color="auto" w:sz="4" w:space="0"/>
              <w:right w:val="single" w:color="auto" w:sz="4" w:space="0"/>
            </w:tcBorders>
            <w:noWrap/>
            <w:vAlign w:val="center"/>
          </w:tcPr>
          <w:p w14:paraId="0BE5E390">
            <w:pPr>
              <w:widowControl/>
              <w:jc w:val="left"/>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fldChar w:fldCharType="begin"/>
            </w:r>
            <w:r>
              <w:rPr>
                <w:rFonts w:hint="eastAsia" w:ascii="等线" w:hAnsi="等线" w:eastAsia="等线" w:cs="等线"/>
                <w:color w:val="000000"/>
                <w:kern w:val="0"/>
                <w:sz w:val="22"/>
                <w:szCs w:val="22"/>
                <w:lang w:bidi="ar"/>
              </w:rPr>
              <w:instrText xml:space="preserve">INCLUDEPICTURE \d "C:\\Users\\ADMINI~1\\AppData\\Local\\Temp\\ksohtml\\clip_cell_image49.png" \* MERGEFORMATINET </w:instrText>
            </w:r>
            <w:r>
              <w:rPr>
                <w:rFonts w:hint="eastAsia" w:ascii="等线" w:hAnsi="等线" w:eastAsia="等线" w:cs="等线"/>
                <w:color w:val="000000"/>
                <w:kern w:val="0"/>
                <w:sz w:val="22"/>
                <w:szCs w:val="22"/>
                <w:lang w:bidi="ar"/>
              </w:rPr>
              <w:fldChar w:fldCharType="separate"/>
            </w:r>
            <w:r>
              <w:rPr>
                <w:rFonts w:hint="eastAsia" w:ascii="等线" w:hAnsi="等线" w:eastAsia="等线" w:cs="等线"/>
                <w:color w:val="000000"/>
                <w:kern w:val="0"/>
                <w:sz w:val="22"/>
                <w:szCs w:val="22"/>
                <w:lang w:bidi="ar"/>
              </w:rPr>
              <w:drawing>
                <wp:inline distT="0" distB="0" distL="114300" distR="114300">
                  <wp:extent cx="1356995" cy="1268730"/>
                  <wp:effectExtent l="0" t="0" r="14605" b="7620"/>
                  <wp:docPr id="5"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 descr="IMG_256"/>
                          <pic:cNvPicPr>
                            <a:picLocks noChangeAspect="1"/>
                          </pic:cNvPicPr>
                        </pic:nvPicPr>
                        <pic:blipFill>
                          <a:blip r:embed="rId18"/>
                          <a:stretch>
                            <a:fillRect/>
                          </a:stretch>
                        </pic:blipFill>
                        <pic:spPr>
                          <a:xfrm>
                            <a:off x="0" y="0"/>
                            <a:ext cx="1356995" cy="1268730"/>
                          </a:xfrm>
                          <a:prstGeom prst="rect">
                            <a:avLst/>
                          </a:prstGeom>
                          <a:noFill/>
                          <a:ln>
                            <a:noFill/>
                          </a:ln>
                        </pic:spPr>
                      </pic:pic>
                    </a:graphicData>
                  </a:graphic>
                </wp:inline>
              </w:drawing>
            </w:r>
            <w:r>
              <w:rPr>
                <w:rFonts w:hint="eastAsia" w:ascii="等线" w:hAnsi="等线" w:eastAsia="等线" w:cs="等线"/>
                <w:color w:val="000000"/>
                <w:kern w:val="0"/>
                <w:sz w:val="22"/>
                <w:szCs w:val="22"/>
                <w:lang w:bidi="ar"/>
              </w:rPr>
              <w:fldChar w:fldCharType="end"/>
            </w:r>
          </w:p>
        </w:tc>
        <w:tc>
          <w:tcPr>
            <w:tcW w:w="991" w:type="dxa"/>
            <w:tcBorders>
              <w:top w:val="nil"/>
              <w:left w:val="nil"/>
              <w:bottom w:val="single" w:color="auto" w:sz="4" w:space="0"/>
              <w:right w:val="single" w:color="auto" w:sz="4" w:space="0"/>
            </w:tcBorders>
            <w:noWrap/>
            <w:vAlign w:val="center"/>
          </w:tcPr>
          <w:p w14:paraId="733303AA">
            <w:pPr>
              <w:widowControl/>
              <w:jc w:val="center"/>
              <w:rPr>
                <w:rFonts w:hint="eastAsia" w:ascii="宋体" w:hAnsi="宋体" w:cs="宋体"/>
                <w:kern w:val="0"/>
                <w:szCs w:val="21"/>
              </w:rPr>
            </w:pPr>
            <w:r>
              <w:rPr>
                <w:rFonts w:hint="eastAsia" w:ascii="宋体" w:hAnsi="宋体" w:cs="宋体"/>
                <w:kern w:val="0"/>
                <w:szCs w:val="21"/>
              </w:rPr>
              <w:t>套</w:t>
            </w:r>
          </w:p>
        </w:tc>
        <w:tc>
          <w:tcPr>
            <w:tcW w:w="659" w:type="dxa"/>
            <w:tcBorders>
              <w:top w:val="nil"/>
              <w:left w:val="nil"/>
              <w:bottom w:val="single" w:color="auto" w:sz="4" w:space="0"/>
              <w:right w:val="single" w:color="auto" w:sz="4" w:space="0"/>
            </w:tcBorders>
            <w:noWrap/>
            <w:vAlign w:val="center"/>
          </w:tcPr>
          <w:p w14:paraId="1FA4BE1E">
            <w:pPr>
              <w:widowControl/>
              <w:jc w:val="center"/>
              <w:rPr>
                <w:rFonts w:hint="eastAsia" w:ascii="宋体" w:hAnsi="宋体" w:cs="宋体"/>
                <w:kern w:val="0"/>
                <w:szCs w:val="21"/>
              </w:rPr>
            </w:pPr>
            <w:r>
              <w:rPr>
                <w:rFonts w:hint="eastAsia" w:ascii="宋体" w:hAnsi="宋体" w:cs="宋体"/>
                <w:kern w:val="0"/>
                <w:szCs w:val="21"/>
              </w:rPr>
              <w:t>1</w:t>
            </w:r>
          </w:p>
        </w:tc>
        <w:tc>
          <w:tcPr>
            <w:tcW w:w="6256" w:type="dxa"/>
            <w:tcBorders>
              <w:top w:val="nil"/>
              <w:left w:val="nil"/>
              <w:bottom w:val="single" w:color="auto" w:sz="4" w:space="0"/>
              <w:right w:val="single" w:color="auto" w:sz="4" w:space="0"/>
            </w:tcBorders>
            <w:noWrap w:val="0"/>
            <w:vAlign w:val="center"/>
          </w:tcPr>
          <w:p w14:paraId="6AF9A345">
            <w:pPr>
              <w:widowControl/>
              <w:jc w:val="left"/>
              <w:rPr>
                <w:rFonts w:hint="eastAsia" w:ascii="宋体" w:hAnsi="宋体" w:cs="宋体"/>
                <w:kern w:val="0"/>
                <w:szCs w:val="21"/>
              </w:rPr>
            </w:pPr>
            <w:r>
              <w:rPr>
                <w:rFonts w:hint="eastAsia" w:ascii="宋体" w:hAnsi="宋体" w:cs="宋体"/>
                <w:kern w:val="0"/>
                <w:szCs w:val="21"/>
              </w:rPr>
              <w:t>1、基材：采用优质环保ENF级高密度中纤板,甲醛含量≤0.8mg/L密度≥760kg/m3,静曲张度≥ 51.5Mpa,吸水膨胀率≤8.1%；</w:t>
            </w:r>
            <w:r>
              <w:rPr>
                <w:rFonts w:hint="eastAsia" w:ascii="宋体" w:hAnsi="宋体" w:cs="宋体"/>
                <w:kern w:val="0"/>
                <w:szCs w:val="21"/>
              </w:rPr>
              <w:br w:type="page"/>
            </w:r>
            <w:r>
              <w:rPr>
                <w:rFonts w:hint="eastAsia" w:ascii="宋体" w:hAnsi="宋体" w:cs="宋体"/>
                <w:kern w:val="0"/>
                <w:szCs w:val="21"/>
              </w:rPr>
              <w:t xml:space="preserve">2、烤漆涂层固化后其涂层的稳定性、耐久性、耐候性、耐摩擦性、耐腐蚀性和硬度高，经抛光后，表面光洁度高，镜面效果好； </w:t>
            </w:r>
            <w:r>
              <w:rPr>
                <w:rFonts w:hint="eastAsia" w:ascii="宋体" w:hAnsi="宋体" w:cs="宋体"/>
                <w:kern w:val="0"/>
                <w:szCs w:val="21"/>
              </w:rPr>
              <w:br w:type="page"/>
            </w:r>
            <w:r>
              <w:rPr>
                <w:rFonts w:hint="eastAsia" w:ascii="宋体" w:hAnsi="宋体" w:cs="宋体"/>
                <w:kern w:val="0"/>
                <w:szCs w:val="21"/>
              </w:rPr>
              <w:t xml:space="preserve">3、防潮、防水性能 优越；不需封边；易清洁，不渗油，不褪色；                                        </w:t>
            </w:r>
            <w:r>
              <w:rPr>
                <w:rFonts w:hint="eastAsia" w:ascii="宋体" w:hAnsi="宋体" w:cs="宋体"/>
                <w:kern w:val="0"/>
                <w:szCs w:val="21"/>
              </w:rPr>
              <w:br w:type="page"/>
            </w:r>
            <w:r>
              <w:rPr>
                <w:rFonts w:hint="eastAsia" w:ascii="宋体" w:hAnsi="宋体" w:cs="宋体"/>
                <w:kern w:val="0"/>
                <w:szCs w:val="21"/>
              </w:rPr>
              <w:t>4、主体框架：材质为冷轧钢板SPCC冲压折弯成型，均匀数控剪切，平稳冲压，无焦点焊接，打沙，脱脂，酸洗，防锈磷化，静电喷塑。门板以及内部结构件厚度为1.0-1.5mm冷轧钢板。</w:t>
            </w:r>
            <w:r>
              <w:rPr>
                <w:rFonts w:hint="eastAsia" w:ascii="宋体" w:hAnsi="宋体" w:cs="宋体"/>
                <w:kern w:val="0"/>
                <w:szCs w:val="21"/>
              </w:rPr>
              <w:br w:type="page"/>
            </w:r>
            <w:r>
              <w:rPr>
                <w:rFonts w:hint="eastAsia" w:ascii="宋体" w:hAnsi="宋体" w:cs="宋体"/>
                <w:kern w:val="0"/>
                <w:szCs w:val="21"/>
              </w:rPr>
              <w:t>5、散热：调度控制台底部设计空间大，前后有门，前后门上有散气孔，可实现空气对流通畅，使设备安全性得到有效保证。</w:t>
            </w:r>
            <w:r>
              <w:rPr>
                <w:rFonts w:hint="eastAsia" w:ascii="宋体" w:hAnsi="宋体" w:cs="宋体"/>
                <w:kern w:val="0"/>
                <w:szCs w:val="21"/>
              </w:rPr>
              <w:br w:type="page"/>
            </w:r>
            <w:r>
              <w:rPr>
                <w:rFonts w:hint="eastAsia" w:ascii="宋体" w:hAnsi="宋体" w:cs="宋体"/>
                <w:kern w:val="0"/>
                <w:szCs w:val="21"/>
              </w:rPr>
              <w:t>6、理线：调度控制台内部设计专业的强弱电布线设计，将电源线与信号线使用专业线槽分开布置，确保不互相干扰。</w:t>
            </w:r>
            <w:r>
              <w:rPr>
                <w:rFonts w:hint="eastAsia" w:ascii="宋体" w:hAnsi="宋体" w:cs="宋体"/>
                <w:kern w:val="0"/>
                <w:szCs w:val="21"/>
              </w:rPr>
              <w:br w:type="page"/>
            </w:r>
            <w:r>
              <w:rPr>
                <w:rFonts w:hint="eastAsia" w:ascii="宋体" w:hAnsi="宋体" w:cs="宋体"/>
                <w:kern w:val="0"/>
                <w:szCs w:val="21"/>
              </w:rPr>
              <w:t>7、屏风：显示器后屏风采用高度200mm工业拉铝型材，表面黑色喷涂处理，凹槽可悬挂显示器支架;后屏风顶端镶嵌亚克力及发光灯带，铝型材横截面尺寸是根据此款式控制台架构特殊制定制，可安装特制的LCD支架、工作灯、电话架、文件架等，以明确坐席功能及提升整体形象。</w:t>
            </w:r>
            <w:r>
              <w:rPr>
                <w:rFonts w:hint="eastAsia" w:ascii="宋体" w:hAnsi="宋体" w:cs="宋体"/>
                <w:kern w:val="0"/>
                <w:szCs w:val="21"/>
              </w:rPr>
              <w:br w:type="page"/>
            </w:r>
            <w:r>
              <w:rPr>
                <w:rFonts w:hint="eastAsia" w:ascii="宋体" w:hAnsi="宋体" w:cs="宋体"/>
                <w:kern w:val="0"/>
                <w:szCs w:val="21"/>
              </w:rPr>
              <w:t>8、键盘架：双节走珠滑轨</w:t>
            </w:r>
            <w:r>
              <w:rPr>
                <w:rFonts w:hint="eastAsia" w:ascii="宋体" w:hAnsi="宋体" w:cs="宋体"/>
                <w:kern w:val="0"/>
                <w:szCs w:val="21"/>
              </w:rPr>
              <w:br w:type="page"/>
            </w:r>
            <w:r>
              <w:rPr>
                <w:rFonts w:hint="eastAsia" w:ascii="宋体" w:hAnsi="宋体" w:cs="宋体"/>
                <w:kern w:val="0"/>
                <w:szCs w:val="21"/>
              </w:rPr>
              <w:t>9、带隐藏式走线功能</w:t>
            </w:r>
            <w:r>
              <w:rPr>
                <w:rFonts w:hint="eastAsia" w:ascii="宋体" w:hAnsi="宋体" w:cs="宋体"/>
                <w:kern w:val="0"/>
                <w:szCs w:val="21"/>
              </w:rPr>
              <w:br w:type="page"/>
            </w:r>
            <w:r>
              <w:rPr>
                <w:rFonts w:hint="eastAsia" w:ascii="宋体" w:hAnsi="宋体" w:cs="宋体"/>
                <w:kern w:val="0"/>
                <w:szCs w:val="21"/>
              </w:rPr>
              <w:t>10、胶水：采用优质环保品牌绿色环保胶水。</w:t>
            </w:r>
            <w:r>
              <w:rPr>
                <w:rFonts w:hint="eastAsia" w:ascii="宋体" w:hAnsi="宋体" w:cs="宋体"/>
                <w:kern w:val="0"/>
                <w:szCs w:val="21"/>
              </w:rPr>
              <w:br w:type="page"/>
            </w:r>
            <w:r>
              <w:rPr>
                <w:rFonts w:hint="eastAsia" w:ascii="宋体" w:hAnsi="宋体" w:cs="宋体"/>
                <w:kern w:val="0"/>
                <w:szCs w:val="21"/>
              </w:rPr>
              <w:t>11、五金配件：采用优质品牌的门铰五金锁具，满足QB/T 2189-2013检测，要求耐久性达到8万次。</w:t>
            </w:r>
          </w:p>
        </w:tc>
        <w:tc>
          <w:tcPr>
            <w:tcW w:w="236" w:type="dxa"/>
            <w:noWrap w:val="0"/>
            <w:vAlign w:val="center"/>
          </w:tcPr>
          <w:p w14:paraId="4FE5A459">
            <w:pPr>
              <w:widowControl/>
              <w:jc w:val="left"/>
              <w:rPr>
                <w:rFonts w:ascii="宋体" w:hAnsi="宋体"/>
                <w:kern w:val="0"/>
                <w:szCs w:val="21"/>
              </w:rPr>
            </w:pPr>
          </w:p>
        </w:tc>
      </w:tr>
      <w:tr w14:paraId="13D57C85">
        <w:tblPrEx>
          <w:tblCellMar>
            <w:top w:w="0" w:type="dxa"/>
            <w:left w:w="108" w:type="dxa"/>
            <w:bottom w:w="0" w:type="dxa"/>
            <w:right w:w="108" w:type="dxa"/>
          </w:tblCellMar>
        </w:tblPrEx>
        <w:trPr>
          <w:gridAfter w:val="2"/>
          <w:wAfter w:w="13296" w:type="dxa"/>
          <w:trHeight w:val="20" w:hRule="atLeast"/>
        </w:trPr>
        <w:tc>
          <w:tcPr>
            <w:tcW w:w="635" w:type="dxa"/>
            <w:tcBorders>
              <w:top w:val="nil"/>
              <w:left w:val="single" w:color="auto" w:sz="4" w:space="0"/>
              <w:bottom w:val="single" w:color="auto" w:sz="4" w:space="0"/>
              <w:right w:val="single" w:color="auto" w:sz="4" w:space="0"/>
            </w:tcBorders>
            <w:noWrap/>
            <w:vAlign w:val="center"/>
          </w:tcPr>
          <w:p w14:paraId="0CAA4D42">
            <w:pPr>
              <w:widowControl/>
              <w:jc w:val="center"/>
              <w:rPr>
                <w:rFonts w:hint="eastAsia" w:ascii="宋体" w:hAnsi="宋体" w:cs="宋体"/>
                <w:kern w:val="0"/>
                <w:szCs w:val="21"/>
              </w:rPr>
            </w:pPr>
            <w:r>
              <w:rPr>
                <w:rFonts w:hint="eastAsia" w:ascii="宋体" w:hAnsi="宋体" w:cs="宋体"/>
                <w:kern w:val="0"/>
                <w:szCs w:val="21"/>
              </w:rPr>
              <w:t>11</w:t>
            </w:r>
          </w:p>
        </w:tc>
        <w:tc>
          <w:tcPr>
            <w:tcW w:w="1161" w:type="dxa"/>
            <w:tcBorders>
              <w:top w:val="nil"/>
              <w:left w:val="nil"/>
              <w:bottom w:val="single" w:color="auto" w:sz="4" w:space="0"/>
              <w:right w:val="single" w:color="auto" w:sz="4" w:space="0"/>
            </w:tcBorders>
            <w:noWrap w:val="0"/>
            <w:vAlign w:val="center"/>
          </w:tcPr>
          <w:p w14:paraId="24DE1AE2">
            <w:pPr>
              <w:widowControl/>
              <w:jc w:val="center"/>
              <w:rPr>
                <w:rFonts w:hint="eastAsia" w:ascii="宋体" w:hAnsi="宋体" w:cs="宋体"/>
                <w:kern w:val="0"/>
                <w:szCs w:val="21"/>
              </w:rPr>
            </w:pPr>
            <w:r>
              <w:rPr>
                <w:rFonts w:hint="eastAsia" w:ascii="宋体" w:hAnsi="宋体" w:cs="宋体"/>
                <w:kern w:val="0"/>
                <w:szCs w:val="21"/>
              </w:rPr>
              <w:t>办公椅/桌前椅（中背）</w:t>
            </w:r>
          </w:p>
        </w:tc>
        <w:tc>
          <w:tcPr>
            <w:tcW w:w="2315" w:type="dxa"/>
            <w:tcBorders>
              <w:top w:val="nil"/>
              <w:left w:val="nil"/>
              <w:bottom w:val="single" w:color="auto" w:sz="4" w:space="0"/>
              <w:right w:val="single" w:color="auto" w:sz="4" w:space="0"/>
            </w:tcBorders>
            <w:noWrap/>
            <w:vAlign w:val="center"/>
          </w:tcPr>
          <w:p w14:paraId="284E5EC5">
            <w:pPr>
              <w:widowControl/>
              <w:jc w:val="center"/>
              <w:rPr>
                <w:rFonts w:hint="eastAsia" w:ascii="宋体" w:hAnsi="宋体" w:cs="宋体"/>
                <w:kern w:val="0"/>
                <w:szCs w:val="21"/>
              </w:rPr>
            </w:pPr>
            <w:r>
              <w:rPr>
                <w:rFonts w:hint="eastAsia" w:ascii="宋体" w:hAnsi="宋体" w:cs="宋体"/>
                <w:kern w:val="0"/>
                <w:szCs w:val="21"/>
              </w:rPr>
              <w:t>620W*650D*960-1020H</w:t>
            </w:r>
          </w:p>
        </w:tc>
        <w:tc>
          <w:tcPr>
            <w:tcW w:w="2300" w:type="dxa"/>
            <w:tcBorders>
              <w:top w:val="nil"/>
              <w:left w:val="nil"/>
              <w:bottom w:val="single" w:color="auto" w:sz="4" w:space="0"/>
              <w:right w:val="single" w:color="auto" w:sz="4" w:space="0"/>
            </w:tcBorders>
            <w:noWrap/>
            <w:vAlign w:val="center"/>
          </w:tcPr>
          <w:p w14:paraId="29901A15">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fldChar w:fldCharType="begin"/>
            </w:r>
            <w:r>
              <w:rPr>
                <w:rFonts w:hint="eastAsia" w:ascii="微软雅黑" w:hAnsi="微软雅黑" w:eastAsia="微软雅黑" w:cs="微软雅黑"/>
                <w:color w:val="000000"/>
                <w:kern w:val="0"/>
                <w:sz w:val="22"/>
                <w:szCs w:val="22"/>
                <w:lang w:bidi="ar"/>
              </w:rPr>
              <w:instrText xml:space="preserve">INCLUDEPICTURE \d "C:\\Users\\ADMINI~1\\AppData\\Local\\Temp\\ksohtml\\clip_cell_image50.png" \* MERGEFORMATINET </w:instrText>
            </w:r>
            <w:r>
              <w:rPr>
                <w:rFonts w:hint="eastAsia" w:ascii="微软雅黑" w:hAnsi="微软雅黑" w:eastAsia="微软雅黑" w:cs="微软雅黑"/>
                <w:color w:val="000000"/>
                <w:kern w:val="0"/>
                <w:sz w:val="22"/>
                <w:szCs w:val="22"/>
                <w:lang w:bidi="ar"/>
              </w:rPr>
              <w:fldChar w:fldCharType="separate"/>
            </w:r>
            <w:r>
              <w:rPr>
                <w:rFonts w:hint="eastAsia" w:ascii="微软雅黑" w:hAnsi="微软雅黑" w:eastAsia="微软雅黑" w:cs="微软雅黑"/>
                <w:color w:val="000000"/>
                <w:kern w:val="0"/>
                <w:sz w:val="22"/>
                <w:szCs w:val="22"/>
                <w:lang w:bidi="ar"/>
              </w:rPr>
              <w:drawing>
                <wp:inline distT="0" distB="0" distL="114300" distR="114300">
                  <wp:extent cx="690880" cy="1039495"/>
                  <wp:effectExtent l="0" t="0" r="13970" b="8255"/>
                  <wp:docPr id="6"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0" descr="IMG_256"/>
                          <pic:cNvPicPr>
                            <a:picLocks noChangeAspect="1"/>
                          </pic:cNvPicPr>
                        </pic:nvPicPr>
                        <pic:blipFill>
                          <a:blip r:embed="rId19"/>
                          <a:stretch>
                            <a:fillRect/>
                          </a:stretch>
                        </pic:blipFill>
                        <pic:spPr>
                          <a:xfrm>
                            <a:off x="0" y="0"/>
                            <a:ext cx="690880" cy="1039495"/>
                          </a:xfrm>
                          <a:prstGeom prst="rect">
                            <a:avLst/>
                          </a:prstGeom>
                          <a:noFill/>
                          <a:ln>
                            <a:noFill/>
                          </a:ln>
                        </pic:spPr>
                      </pic:pic>
                    </a:graphicData>
                  </a:graphic>
                </wp:inline>
              </w:drawing>
            </w:r>
            <w:r>
              <w:rPr>
                <w:rFonts w:hint="eastAsia" w:ascii="微软雅黑" w:hAnsi="微软雅黑" w:eastAsia="微软雅黑" w:cs="微软雅黑"/>
                <w:color w:val="000000"/>
                <w:kern w:val="0"/>
                <w:sz w:val="22"/>
                <w:szCs w:val="22"/>
                <w:lang w:bidi="ar"/>
              </w:rPr>
              <w:fldChar w:fldCharType="end"/>
            </w:r>
          </w:p>
        </w:tc>
        <w:tc>
          <w:tcPr>
            <w:tcW w:w="991" w:type="dxa"/>
            <w:tcBorders>
              <w:top w:val="nil"/>
              <w:left w:val="nil"/>
              <w:bottom w:val="single" w:color="auto" w:sz="4" w:space="0"/>
              <w:right w:val="single" w:color="auto" w:sz="4" w:space="0"/>
            </w:tcBorders>
            <w:noWrap/>
            <w:vAlign w:val="center"/>
          </w:tcPr>
          <w:p w14:paraId="50EAAA80">
            <w:pPr>
              <w:widowControl/>
              <w:jc w:val="center"/>
              <w:rPr>
                <w:rFonts w:hint="eastAsia" w:ascii="宋体" w:hAnsi="宋体" w:cs="宋体"/>
                <w:kern w:val="0"/>
                <w:szCs w:val="21"/>
              </w:rPr>
            </w:pPr>
            <w:r>
              <w:rPr>
                <w:rFonts w:hint="eastAsia" w:ascii="宋体" w:hAnsi="宋体" w:cs="宋体"/>
                <w:kern w:val="0"/>
                <w:szCs w:val="21"/>
              </w:rPr>
              <w:t>把</w:t>
            </w:r>
          </w:p>
        </w:tc>
        <w:tc>
          <w:tcPr>
            <w:tcW w:w="659" w:type="dxa"/>
            <w:tcBorders>
              <w:top w:val="nil"/>
              <w:left w:val="nil"/>
              <w:bottom w:val="single" w:color="auto" w:sz="4" w:space="0"/>
              <w:right w:val="single" w:color="auto" w:sz="4" w:space="0"/>
            </w:tcBorders>
            <w:noWrap/>
            <w:vAlign w:val="center"/>
          </w:tcPr>
          <w:p w14:paraId="60B66E8E">
            <w:pPr>
              <w:widowControl/>
              <w:jc w:val="center"/>
              <w:rPr>
                <w:rFonts w:hint="eastAsia" w:ascii="宋体" w:hAnsi="宋体" w:cs="宋体"/>
                <w:kern w:val="0"/>
                <w:szCs w:val="21"/>
              </w:rPr>
            </w:pPr>
            <w:r>
              <w:rPr>
                <w:rFonts w:hint="eastAsia" w:ascii="宋体" w:hAnsi="宋体" w:cs="宋体"/>
                <w:kern w:val="0"/>
                <w:szCs w:val="21"/>
              </w:rPr>
              <w:t>8</w:t>
            </w:r>
          </w:p>
        </w:tc>
        <w:tc>
          <w:tcPr>
            <w:tcW w:w="6256" w:type="dxa"/>
            <w:tcBorders>
              <w:top w:val="nil"/>
              <w:left w:val="nil"/>
              <w:bottom w:val="single" w:color="auto" w:sz="4" w:space="0"/>
              <w:right w:val="single" w:color="auto" w:sz="4" w:space="0"/>
            </w:tcBorders>
            <w:noWrap w:val="0"/>
            <w:vAlign w:val="center"/>
          </w:tcPr>
          <w:p w14:paraId="242DADFB">
            <w:pPr>
              <w:widowControl/>
              <w:jc w:val="left"/>
              <w:rPr>
                <w:rFonts w:hint="eastAsia" w:ascii="宋体" w:hAnsi="宋体" w:cs="宋体"/>
                <w:kern w:val="0"/>
                <w:szCs w:val="21"/>
              </w:rPr>
            </w:pPr>
            <w:r>
              <w:rPr>
                <w:rFonts w:hint="eastAsia" w:ascii="宋体" w:hAnsi="宋体" w:cs="宋体"/>
                <w:kern w:val="0"/>
                <w:szCs w:val="21"/>
              </w:rPr>
              <w:t>饰面：选用优质超纤西皮经液态浸色及防潮、防污等工艺处理,皮面更加柔软舒适,光泽持久性；使用优质高弹性定型海棉，定型海棉密度座面≥45kg/m3，背≥45kg/m3，回弹性40%，表面涂有防止老化变形的保护膜，理化性能应符合国家现行标准，软硬适中，压膜量达到国家现行检测标准；椅框PA尼龙+加纤塑料颜色有黑色、白色和银色；背部由二部分给成，分为上背板和下背座，扶手连体胶板，均采用高强度工程采用PA尼龙加纤塑料，背可扪皮或布，坐高和座背倾仰角度和力度可以调节。</w:t>
            </w:r>
            <w:r>
              <w:rPr>
                <w:rFonts w:hint="eastAsia" w:ascii="宋体" w:hAnsi="宋体" w:cs="宋体"/>
                <w:kern w:val="0"/>
                <w:szCs w:val="21"/>
              </w:rPr>
              <w:br w:type="textWrapping"/>
            </w:r>
            <w:r>
              <w:rPr>
                <w:rFonts w:hint="eastAsia" w:ascii="宋体" w:hAnsi="宋体" w:cs="宋体"/>
                <w:kern w:val="0"/>
                <w:szCs w:val="21"/>
              </w:rPr>
              <w:t xml:space="preserve"> 配备有：多功能底盘，带升降功能及靠背倾仰锁定功能；配置铝合金脚;2.5寸PU静音轮，能有效避免刮伤地面和降低滚动时产生的噪音；适用于办公、会议等场合。</w:t>
            </w:r>
          </w:p>
        </w:tc>
        <w:tc>
          <w:tcPr>
            <w:tcW w:w="236" w:type="dxa"/>
            <w:noWrap w:val="0"/>
            <w:vAlign w:val="center"/>
          </w:tcPr>
          <w:p w14:paraId="29BBF213">
            <w:pPr>
              <w:widowControl/>
              <w:jc w:val="left"/>
              <w:rPr>
                <w:rFonts w:ascii="宋体" w:hAnsi="宋体"/>
                <w:kern w:val="0"/>
                <w:szCs w:val="21"/>
              </w:rPr>
            </w:pPr>
          </w:p>
        </w:tc>
      </w:tr>
      <w:tr w14:paraId="0C94A55D">
        <w:tblPrEx>
          <w:tblCellMar>
            <w:top w:w="0" w:type="dxa"/>
            <w:left w:w="108" w:type="dxa"/>
            <w:bottom w:w="0" w:type="dxa"/>
            <w:right w:w="108" w:type="dxa"/>
          </w:tblCellMar>
        </w:tblPrEx>
        <w:trPr>
          <w:gridAfter w:val="2"/>
          <w:wAfter w:w="13296" w:type="dxa"/>
          <w:trHeight w:val="20" w:hRule="atLeast"/>
        </w:trPr>
        <w:tc>
          <w:tcPr>
            <w:tcW w:w="635" w:type="dxa"/>
            <w:tcBorders>
              <w:top w:val="nil"/>
              <w:left w:val="single" w:color="auto" w:sz="4" w:space="0"/>
              <w:bottom w:val="single" w:color="auto" w:sz="4" w:space="0"/>
              <w:right w:val="single" w:color="auto" w:sz="4" w:space="0"/>
            </w:tcBorders>
            <w:noWrap/>
            <w:vAlign w:val="center"/>
          </w:tcPr>
          <w:p w14:paraId="156EAFBD">
            <w:pPr>
              <w:widowControl/>
              <w:jc w:val="center"/>
              <w:rPr>
                <w:rFonts w:hint="eastAsia" w:ascii="宋体" w:hAnsi="宋体" w:cs="宋体"/>
                <w:kern w:val="0"/>
                <w:szCs w:val="21"/>
              </w:rPr>
            </w:pPr>
            <w:r>
              <w:rPr>
                <w:rFonts w:hint="eastAsia" w:ascii="宋体" w:hAnsi="宋体" w:cs="宋体"/>
                <w:kern w:val="0"/>
                <w:szCs w:val="21"/>
              </w:rPr>
              <w:t>12</w:t>
            </w:r>
          </w:p>
        </w:tc>
        <w:tc>
          <w:tcPr>
            <w:tcW w:w="1161" w:type="dxa"/>
            <w:tcBorders>
              <w:top w:val="nil"/>
              <w:left w:val="nil"/>
              <w:bottom w:val="single" w:color="auto" w:sz="4" w:space="0"/>
              <w:right w:val="single" w:color="auto" w:sz="4" w:space="0"/>
            </w:tcBorders>
            <w:noWrap w:val="0"/>
            <w:vAlign w:val="center"/>
          </w:tcPr>
          <w:p w14:paraId="6E5BDC36">
            <w:pPr>
              <w:widowControl/>
              <w:jc w:val="center"/>
              <w:rPr>
                <w:rFonts w:hint="eastAsia" w:ascii="宋体" w:hAnsi="宋体" w:cs="宋体"/>
                <w:kern w:val="0"/>
                <w:szCs w:val="21"/>
              </w:rPr>
            </w:pPr>
            <w:r>
              <w:rPr>
                <w:rFonts w:hint="eastAsia" w:ascii="宋体" w:hAnsi="宋体" w:cs="宋体"/>
                <w:kern w:val="0"/>
                <w:szCs w:val="21"/>
              </w:rPr>
              <w:t>指挥桌</w:t>
            </w:r>
          </w:p>
        </w:tc>
        <w:tc>
          <w:tcPr>
            <w:tcW w:w="2315" w:type="dxa"/>
            <w:tcBorders>
              <w:top w:val="nil"/>
              <w:left w:val="nil"/>
              <w:bottom w:val="single" w:color="auto" w:sz="4" w:space="0"/>
              <w:right w:val="single" w:color="auto" w:sz="4" w:space="0"/>
            </w:tcBorders>
            <w:noWrap w:val="0"/>
            <w:vAlign w:val="center"/>
          </w:tcPr>
          <w:p w14:paraId="3B16E693">
            <w:pPr>
              <w:widowControl/>
              <w:jc w:val="center"/>
              <w:rPr>
                <w:rFonts w:hint="eastAsia" w:ascii="宋体" w:hAnsi="宋体" w:cs="宋体"/>
                <w:kern w:val="0"/>
                <w:szCs w:val="21"/>
              </w:rPr>
            </w:pPr>
            <w:r>
              <w:rPr>
                <w:rFonts w:hint="eastAsia" w:ascii="宋体" w:hAnsi="宋体" w:cs="宋体"/>
                <w:kern w:val="0"/>
                <w:szCs w:val="21"/>
              </w:rPr>
              <w:t>2000W*1750D*750H</w:t>
            </w:r>
          </w:p>
        </w:tc>
        <w:tc>
          <w:tcPr>
            <w:tcW w:w="2300" w:type="dxa"/>
            <w:tcBorders>
              <w:top w:val="nil"/>
              <w:left w:val="nil"/>
              <w:bottom w:val="single" w:color="auto" w:sz="4" w:space="0"/>
              <w:right w:val="single" w:color="auto" w:sz="4" w:space="0"/>
            </w:tcBorders>
            <w:noWrap/>
            <w:vAlign w:val="center"/>
          </w:tcPr>
          <w:p w14:paraId="7F754AE9">
            <w:pPr>
              <w:widowControl/>
              <w:jc w:val="left"/>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fldChar w:fldCharType="begin"/>
            </w:r>
            <w:r>
              <w:rPr>
                <w:rFonts w:hint="eastAsia" w:ascii="等线" w:hAnsi="等线" w:eastAsia="等线" w:cs="等线"/>
                <w:color w:val="000000"/>
                <w:kern w:val="0"/>
                <w:sz w:val="22"/>
                <w:szCs w:val="22"/>
                <w:lang w:bidi="ar"/>
              </w:rPr>
              <w:instrText xml:space="preserve">INCLUDEPICTURE \d "C:\\Users\\ADMINI~1\\AppData\\Local\\Temp\\ksohtml\\clip_cell_image51.png" \* MERGEFORMATINET </w:instrText>
            </w:r>
            <w:r>
              <w:rPr>
                <w:rFonts w:hint="eastAsia" w:ascii="等线" w:hAnsi="等线" w:eastAsia="等线" w:cs="等线"/>
                <w:color w:val="000000"/>
                <w:kern w:val="0"/>
                <w:sz w:val="22"/>
                <w:szCs w:val="22"/>
                <w:lang w:bidi="ar"/>
              </w:rPr>
              <w:fldChar w:fldCharType="separate"/>
            </w:r>
            <w:r>
              <w:rPr>
                <w:rFonts w:hint="eastAsia" w:ascii="等线" w:hAnsi="等线" w:eastAsia="等线" w:cs="等线"/>
                <w:color w:val="000000"/>
                <w:kern w:val="0"/>
                <w:sz w:val="22"/>
                <w:szCs w:val="22"/>
                <w:lang w:bidi="ar"/>
              </w:rPr>
              <w:drawing>
                <wp:inline distT="0" distB="0" distL="114300" distR="114300">
                  <wp:extent cx="1371600" cy="947420"/>
                  <wp:effectExtent l="0" t="0" r="0" b="5080"/>
                  <wp:docPr id="7" name="图片 1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1" descr="IMG_256"/>
                          <pic:cNvPicPr>
                            <a:picLocks noChangeAspect="1"/>
                          </pic:cNvPicPr>
                        </pic:nvPicPr>
                        <pic:blipFill>
                          <a:blip r:embed="rId20"/>
                          <a:stretch>
                            <a:fillRect/>
                          </a:stretch>
                        </pic:blipFill>
                        <pic:spPr>
                          <a:xfrm>
                            <a:off x="0" y="0"/>
                            <a:ext cx="1371600" cy="947420"/>
                          </a:xfrm>
                          <a:prstGeom prst="rect">
                            <a:avLst/>
                          </a:prstGeom>
                          <a:noFill/>
                          <a:ln>
                            <a:noFill/>
                          </a:ln>
                        </pic:spPr>
                      </pic:pic>
                    </a:graphicData>
                  </a:graphic>
                </wp:inline>
              </w:drawing>
            </w:r>
            <w:r>
              <w:rPr>
                <w:rFonts w:hint="eastAsia" w:ascii="等线" w:hAnsi="等线" w:eastAsia="等线" w:cs="等线"/>
                <w:color w:val="000000"/>
                <w:kern w:val="0"/>
                <w:sz w:val="22"/>
                <w:szCs w:val="22"/>
                <w:lang w:bidi="ar"/>
              </w:rPr>
              <w:fldChar w:fldCharType="end"/>
            </w:r>
          </w:p>
        </w:tc>
        <w:tc>
          <w:tcPr>
            <w:tcW w:w="991" w:type="dxa"/>
            <w:tcBorders>
              <w:top w:val="nil"/>
              <w:left w:val="nil"/>
              <w:bottom w:val="single" w:color="auto" w:sz="4" w:space="0"/>
              <w:right w:val="single" w:color="auto" w:sz="4" w:space="0"/>
            </w:tcBorders>
            <w:noWrap/>
            <w:vAlign w:val="center"/>
          </w:tcPr>
          <w:p w14:paraId="10D6F698">
            <w:pPr>
              <w:widowControl/>
              <w:jc w:val="center"/>
              <w:rPr>
                <w:rFonts w:hint="eastAsia" w:ascii="宋体" w:hAnsi="宋体" w:cs="宋体"/>
                <w:kern w:val="0"/>
                <w:szCs w:val="21"/>
              </w:rPr>
            </w:pPr>
            <w:r>
              <w:rPr>
                <w:rFonts w:hint="eastAsia" w:ascii="宋体" w:hAnsi="宋体" w:cs="宋体"/>
                <w:kern w:val="0"/>
                <w:szCs w:val="21"/>
              </w:rPr>
              <w:t>张</w:t>
            </w:r>
          </w:p>
        </w:tc>
        <w:tc>
          <w:tcPr>
            <w:tcW w:w="659" w:type="dxa"/>
            <w:tcBorders>
              <w:top w:val="nil"/>
              <w:left w:val="nil"/>
              <w:bottom w:val="single" w:color="auto" w:sz="4" w:space="0"/>
              <w:right w:val="single" w:color="auto" w:sz="4" w:space="0"/>
            </w:tcBorders>
            <w:noWrap/>
            <w:vAlign w:val="center"/>
          </w:tcPr>
          <w:p w14:paraId="4ACA80CF">
            <w:pPr>
              <w:widowControl/>
              <w:jc w:val="center"/>
              <w:rPr>
                <w:rFonts w:hint="eastAsia" w:ascii="宋体" w:hAnsi="宋体" w:cs="宋体"/>
                <w:kern w:val="0"/>
                <w:szCs w:val="21"/>
              </w:rPr>
            </w:pPr>
            <w:r>
              <w:rPr>
                <w:rFonts w:hint="eastAsia" w:ascii="宋体" w:hAnsi="宋体" w:cs="宋体"/>
                <w:kern w:val="0"/>
                <w:szCs w:val="21"/>
              </w:rPr>
              <w:t>1</w:t>
            </w:r>
          </w:p>
        </w:tc>
        <w:tc>
          <w:tcPr>
            <w:tcW w:w="6256" w:type="dxa"/>
            <w:tcBorders>
              <w:top w:val="nil"/>
              <w:left w:val="nil"/>
              <w:bottom w:val="single" w:color="auto" w:sz="4" w:space="0"/>
              <w:right w:val="single" w:color="auto" w:sz="4" w:space="0"/>
            </w:tcBorders>
            <w:noWrap w:val="0"/>
            <w:vAlign w:val="center"/>
          </w:tcPr>
          <w:p w14:paraId="6921784A">
            <w:pPr>
              <w:widowControl/>
              <w:jc w:val="left"/>
              <w:rPr>
                <w:rFonts w:hint="eastAsia" w:ascii="宋体" w:hAnsi="宋体" w:cs="宋体"/>
                <w:kern w:val="0"/>
                <w:szCs w:val="21"/>
              </w:rPr>
            </w:pPr>
            <w:r>
              <w:rPr>
                <w:rFonts w:hint="eastAsia" w:ascii="宋体" w:hAnsi="宋体" w:cs="宋体"/>
                <w:kern w:val="0"/>
                <w:szCs w:val="21"/>
              </w:rPr>
              <w:t>1、基材：采用优质环保ENF级高密度中纤板,优质绿色环保产品,甲醛含量≤1.0mg/L密度≥760kg/m3,静曲张度≥ 51.5Mpa,吸水膨胀率≤8.1%；</w:t>
            </w:r>
            <w:r>
              <w:rPr>
                <w:rFonts w:hint="eastAsia" w:ascii="宋体" w:hAnsi="宋体" w:cs="宋体"/>
                <w:kern w:val="0"/>
                <w:szCs w:val="21"/>
              </w:rPr>
              <w:br w:type="page"/>
            </w:r>
            <w:r>
              <w:rPr>
                <w:rFonts w:hint="eastAsia" w:ascii="宋体" w:hAnsi="宋体" w:cs="宋体"/>
                <w:kern w:val="0"/>
                <w:szCs w:val="21"/>
              </w:rPr>
              <w:t xml:space="preserve">2、烤漆涂层固化后其涂层的稳定性、耐久性、耐候性、耐摩擦性、耐腐蚀性和硬度高，经抛光后，表面光洁度高，镜面效果好； </w:t>
            </w:r>
            <w:r>
              <w:rPr>
                <w:rFonts w:hint="eastAsia" w:ascii="宋体" w:hAnsi="宋体" w:cs="宋体"/>
                <w:kern w:val="0"/>
                <w:szCs w:val="21"/>
              </w:rPr>
              <w:br w:type="page"/>
            </w:r>
            <w:r>
              <w:rPr>
                <w:rFonts w:hint="eastAsia" w:ascii="宋体" w:hAnsi="宋体" w:cs="宋体"/>
                <w:kern w:val="0"/>
                <w:szCs w:val="21"/>
              </w:rPr>
              <w:t>3、防潮、防水性能 优越；不需封边；易清洁，不渗油，不褪色；  各项技术指标均达到国际标准。材料经防虫、防潮、防腐及三次烘干蒸发处理，木材干燥至9%-12%的含水率；</w:t>
            </w:r>
            <w:r>
              <w:rPr>
                <w:rFonts w:hint="eastAsia" w:ascii="宋体" w:hAnsi="宋体" w:cs="宋体"/>
                <w:kern w:val="0"/>
                <w:szCs w:val="21"/>
              </w:rPr>
              <w:br w:type="page"/>
            </w:r>
            <w:r>
              <w:rPr>
                <w:rFonts w:hint="eastAsia" w:ascii="宋体" w:hAnsi="宋体" w:cs="宋体"/>
                <w:kern w:val="0"/>
                <w:szCs w:val="21"/>
              </w:rPr>
              <w:t>4、油漆采用环保优质水性涂料，水性隐孔高光，双面涂饰。水性漆面漆、水性漆底漆甲醛含量≤25mg/kg，VOC含量≤20g/L。对人体无任何伤害、无污染而且亮、哑层次分明，手感好；表面无颗粒、气泡、渣点；漆面硬度大且清晰。</w:t>
            </w:r>
            <w:r>
              <w:rPr>
                <w:rFonts w:hint="eastAsia" w:ascii="宋体" w:hAnsi="宋体" w:cs="宋体"/>
                <w:kern w:val="0"/>
                <w:szCs w:val="21"/>
              </w:rPr>
              <w:br w:type="page"/>
            </w:r>
            <w:r>
              <w:rPr>
                <w:rFonts w:hint="eastAsia" w:ascii="宋体" w:hAnsi="宋体" w:cs="宋体"/>
                <w:kern w:val="0"/>
                <w:szCs w:val="21"/>
              </w:rPr>
              <w:t>5、胶粘剂：采用优质白乳胶，游离甲醛未检出，总挥发性有机物≤70g/L。</w:t>
            </w:r>
            <w:r>
              <w:rPr>
                <w:rFonts w:hint="eastAsia" w:ascii="宋体" w:hAnsi="宋体" w:cs="宋体"/>
                <w:kern w:val="0"/>
                <w:szCs w:val="21"/>
              </w:rPr>
              <w:br w:type="page"/>
            </w:r>
            <w:r>
              <w:rPr>
                <w:rFonts w:hint="eastAsia" w:ascii="宋体" w:hAnsi="宋体" w:cs="宋体"/>
                <w:kern w:val="0"/>
                <w:szCs w:val="21"/>
              </w:rPr>
              <w:t>6、胶水：采用优质环保品牌绿色环保胶水。</w:t>
            </w:r>
            <w:r>
              <w:rPr>
                <w:rFonts w:hint="eastAsia" w:ascii="宋体" w:hAnsi="宋体" w:cs="宋体"/>
                <w:kern w:val="0"/>
                <w:szCs w:val="21"/>
              </w:rPr>
              <w:br w:type="page"/>
            </w:r>
            <w:r>
              <w:rPr>
                <w:rFonts w:hint="eastAsia" w:ascii="宋体" w:hAnsi="宋体" w:cs="宋体"/>
                <w:kern w:val="0"/>
                <w:szCs w:val="21"/>
              </w:rPr>
              <w:t>7、五金配件：采用优质品牌的门铰五金锁具，满足QB/T 2189-2013检测，要求耐久性达到8万次。</w:t>
            </w:r>
          </w:p>
        </w:tc>
        <w:tc>
          <w:tcPr>
            <w:tcW w:w="236" w:type="dxa"/>
            <w:noWrap w:val="0"/>
            <w:vAlign w:val="center"/>
          </w:tcPr>
          <w:p w14:paraId="7E4DF394">
            <w:pPr>
              <w:widowControl/>
              <w:jc w:val="left"/>
              <w:rPr>
                <w:rFonts w:ascii="宋体" w:hAnsi="宋体"/>
                <w:kern w:val="0"/>
                <w:szCs w:val="21"/>
              </w:rPr>
            </w:pPr>
          </w:p>
        </w:tc>
      </w:tr>
      <w:tr w14:paraId="51C0C59B">
        <w:tblPrEx>
          <w:tblCellMar>
            <w:top w:w="0" w:type="dxa"/>
            <w:left w:w="108" w:type="dxa"/>
            <w:bottom w:w="0" w:type="dxa"/>
            <w:right w:w="108" w:type="dxa"/>
          </w:tblCellMar>
        </w:tblPrEx>
        <w:trPr>
          <w:gridAfter w:val="2"/>
          <w:wAfter w:w="13296" w:type="dxa"/>
          <w:trHeight w:val="20" w:hRule="atLeast"/>
        </w:trPr>
        <w:tc>
          <w:tcPr>
            <w:tcW w:w="635" w:type="dxa"/>
            <w:tcBorders>
              <w:top w:val="nil"/>
              <w:left w:val="single" w:color="auto" w:sz="4" w:space="0"/>
              <w:bottom w:val="single" w:color="auto" w:sz="4" w:space="0"/>
              <w:right w:val="single" w:color="auto" w:sz="4" w:space="0"/>
            </w:tcBorders>
            <w:noWrap/>
            <w:vAlign w:val="center"/>
          </w:tcPr>
          <w:p w14:paraId="039A3CEB">
            <w:pPr>
              <w:widowControl/>
              <w:jc w:val="center"/>
              <w:rPr>
                <w:rFonts w:hint="eastAsia" w:ascii="宋体" w:hAnsi="宋体" w:cs="宋体"/>
                <w:kern w:val="0"/>
                <w:szCs w:val="21"/>
              </w:rPr>
            </w:pPr>
            <w:r>
              <w:rPr>
                <w:rFonts w:hint="eastAsia" w:ascii="宋体" w:hAnsi="宋体" w:cs="宋体"/>
                <w:kern w:val="0"/>
                <w:szCs w:val="21"/>
              </w:rPr>
              <w:t>13</w:t>
            </w:r>
          </w:p>
        </w:tc>
        <w:tc>
          <w:tcPr>
            <w:tcW w:w="1161" w:type="dxa"/>
            <w:tcBorders>
              <w:top w:val="nil"/>
              <w:left w:val="nil"/>
              <w:bottom w:val="single" w:color="auto" w:sz="4" w:space="0"/>
              <w:right w:val="single" w:color="auto" w:sz="4" w:space="0"/>
            </w:tcBorders>
            <w:noWrap w:val="0"/>
            <w:vAlign w:val="center"/>
          </w:tcPr>
          <w:p w14:paraId="305EEC87">
            <w:pPr>
              <w:widowControl/>
              <w:jc w:val="center"/>
              <w:rPr>
                <w:rFonts w:hint="eastAsia" w:ascii="宋体" w:hAnsi="宋体" w:cs="宋体"/>
                <w:kern w:val="0"/>
                <w:szCs w:val="21"/>
              </w:rPr>
            </w:pPr>
            <w:r>
              <w:rPr>
                <w:rFonts w:hint="eastAsia" w:ascii="宋体" w:hAnsi="宋体" w:cs="宋体"/>
                <w:kern w:val="0"/>
                <w:szCs w:val="21"/>
              </w:rPr>
              <w:t>办公椅</w:t>
            </w:r>
          </w:p>
        </w:tc>
        <w:tc>
          <w:tcPr>
            <w:tcW w:w="2315" w:type="dxa"/>
            <w:tcBorders>
              <w:top w:val="nil"/>
              <w:left w:val="nil"/>
              <w:bottom w:val="single" w:color="auto" w:sz="4" w:space="0"/>
              <w:right w:val="single" w:color="auto" w:sz="4" w:space="0"/>
            </w:tcBorders>
            <w:noWrap w:val="0"/>
            <w:vAlign w:val="center"/>
          </w:tcPr>
          <w:p w14:paraId="0F10A49C">
            <w:pPr>
              <w:widowControl/>
              <w:jc w:val="center"/>
              <w:rPr>
                <w:rFonts w:hint="eastAsia" w:ascii="宋体" w:hAnsi="宋体" w:cs="宋体"/>
                <w:kern w:val="0"/>
                <w:szCs w:val="21"/>
              </w:rPr>
            </w:pPr>
            <w:r>
              <w:rPr>
                <w:rFonts w:hint="eastAsia" w:ascii="宋体" w:hAnsi="宋体" w:cs="宋体"/>
                <w:kern w:val="0"/>
                <w:szCs w:val="21"/>
              </w:rPr>
              <w:t>750W*700D*1200H</w:t>
            </w:r>
          </w:p>
        </w:tc>
        <w:tc>
          <w:tcPr>
            <w:tcW w:w="2300" w:type="dxa"/>
            <w:tcBorders>
              <w:top w:val="nil"/>
              <w:left w:val="nil"/>
              <w:bottom w:val="single" w:color="auto" w:sz="4" w:space="0"/>
              <w:right w:val="single" w:color="auto" w:sz="4" w:space="0"/>
            </w:tcBorders>
            <w:noWrap/>
            <w:vAlign w:val="center"/>
          </w:tcPr>
          <w:p w14:paraId="1043261E">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fldChar w:fldCharType="begin"/>
            </w:r>
            <w:r>
              <w:rPr>
                <w:rFonts w:hint="eastAsia" w:ascii="微软雅黑" w:hAnsi="微软雅黑" w:eastAsia="微软雅黑" w:cs="微软雅黑"/>
                <w:color w:val="000000"/>
                <w:kern w:val="0"/>
                <w:sz w:val="22"/>
                <w:szCs w:val="22"/>
                <w:lang w:bidi="ar"/>
              </w:rPr>
              <w:instrText xml:space="preserve">INCLUDEPICTURE \d "C:\\Users\\ADMINI~1\\AppData\\Local\\Temp\\ksohtml\\clip_cell_image52.png" \* MERGEFORMATINET </w:instrText>
            </w:r>
            <w:r>
              <w:rPr>
                <w:rFonts w:hint="eastAsia" w:ascii="微软雅黑" w:hAnsi="微软雅黑" w:eastAsia="微软雅黑" w:cs="微软雅黑"/>
                <w:color w:val="000000"/>
                <w:kern w:val="0"/>
                <w:sz w:val="22"/>
                <w:szCs w:val="22"/>
                <w:lang w:bidi="ar"/>
              </w:rPr>
              <w:fldChar w:fldCharType="separate"/>
            </w:r>
            <w:r>
              <w:rPr>
                <w:rFonts w:hint="eastAsia" w:ascii="微软雅黑" w:hAnsi="微软雅黑" w:eastAsia="微软雅黑" w:cs="微软雅黑"/>
                <w:color w:val="000000"/>
                <w:kern w:val="0"/>
                <w:sz w:val="22"/>
                <w:szCs w:val="22"/>
                <w:lang w:bidi="ar"/>
              </w:rPr>
              <w:drawing>
                <wp:inline distT="0" distB="0" distL="114300" distR="114300">
                  <wp:extent cx="779145" cy="1181735"/>
                  <wp:effectExtent l="0" t="0" r="1905" b="18415"/>
                  <wp:docPr id="10" name="图片 1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2" descr="IMG_256"/>
                          <pic:cNvPicPr>
                            <a:picLocks noChangeAspect="1"/>
                          </pic:cNvPicPr>
                        </pic:nvPicPr>
                        <pic:blipFill>
                          <a:blip r:embed="rId21"/>
                          <a:stretch>
                            <a:fillRect/>
                          </a:stretch>
                        </pic:blipFill>
                        <pic:spPr>
                          <a:xfrm>
                            <a:off x="0" y="0"/>
                            <a:ext cx="779145" cy="1181735"/>
                          </a:xfrm>
                          <a:prstGeom prst="rect">
                            <a:avLst/>
                          </a:prstGeom>
                          <a:noFill/>
                          <a:ln>
                            <a:noFill/>
                          </a:ln>
                        </pic:spPr>
                      </pic:pic>
                    </a:graphicData>
                  </a:graphic>
                </wp:inline>
              </w:drawing>
            </w:r>
            <w:r>
              <w:rPr>
                <w:rFonts w:hint="eastAsia" w:ascii="微软雅黑" w:hAnsi="微软雅黑" w:eastAsia="微软雅黑" w:cs="微软雅黑"/>
                <w:color w:val="000000"/>
                <w:kern w:val="0"/>
                <w:sz w:val="22"/>
                <w:szCs w:val="22"/>
                <w:lang w:bidi="ar"/>
              </w:rPr>
              <w:fldChar w:fldCharType="end"/>
            </w:r>
          </w:p>
        </w:tc>
        <w:tc>
          <w:tcPr>
            <w:tcW w:w="991" w:type="dxa"/>
            <w:tcBorders>
              <w:top w:val="nil"/>
              <w:left w:val="nil"/>
              <w:bottom w:val="single" w:color="auto" w:sz="4" w:space="0"/>
              <w:right w:val="single" w:color="auto" w:sz="4" w:space="0"/>
            </w:tcBorders>
            <w:noWrap/>
            <w:vAlign w:val="center"/>
          </w:tcPr>
          <w:p w14:paraId="35C4D493">
            <w:pPr>
              <w:widowControl/>
              <w:jc w:val="center"/>
              <w:rPr>
                <w:rFonts w:hint="eastAsia" w:ascii="宋体" w:hAnsi="宋体" w:cs="宋体"/>
                <w:kern w:val="0"/>
                <w:szCs w:val="21"/>
              </w:rPr>
            </w:pPr>
            <w:r>
              <w:rPr>
                <w:rFonts w:hint="eastAsia" w:ascii="宋体" w:hAnsi="宋体" w:cs="宋体"/>
                <w:kern w:val="0"/>
                <w:szCs w:val="21"/>
              </w:rPr>
              <w:t>把</w:t>
            </w:r>
          </w:p>
        </w:tc>
        <w:tc>
          <w:tcPr>
            <w:tcW w:w="659" w:type="dxa"/>
            <w:tcBorders>
              <w:top w:val="nil"/>
              <w:left w:val="nil"/>
              <w:bottom w:val="single" w:color="auto" w:sz="4" w:space="0"/>
              <w:right w:val="single" w:color="auto" w:sz="4" w:space="0"/>
            </w:tcBorders>
            <w:noWrap/>
            <w:vAlign w:val="center"/>
          </w:tcPr>
          <w:p w14:paraId="0C61170E">
            <w:pPr>
              <w:widowControl/>
              <w:jc w:val="center"/>
              <w:rPr>
                <w:rFonts w:hint="eastAsia" w:ascii="宋体" w:hAnsi="宋体" w:cs="宋体"/>
                <w:kern w:val="0"/>
                <w:szCs w:val="21"/>
              </w:rPr>
            </w:pPr>
            <w:r>
              <w:rPr>
                <w:rFonts w:hint="eastAsia" w:ascii="宋体" w:hAnsi="宋体" w:cs="宋体"/>
                <w:kern w:val="0"/>
                <w:szCs w:val="21"/>
              </w:rPr>
              <w:t>1</w:t>
            </w:r>
          </w:p>
        </w:tc>
        <w:tc>
          <w:tcPr>
            <w:tcW w:w="6256" w:type="dxa"/>
            <w:tcBorders>
              <w:top w:val="nil"/>
              <w:left w:val="nil"/>
              <w:bottom w:val="single" w:color="auto" w:sz="4" w:space="0"/>
              <w:right w:val="single" w:color="auto" w:sz="4" w:space="0"/>
            </w:tcBorders>
            <w:noWrap w:val="0"/>
            <w:vAlign w:val="center"/>
          </w:tcPr>
          <w:p w14:paraId="1CA478A6">
            <w:pPr>
              <w:widowControl/>
              <w:jc w:val="left"/>
              <w:rPr>
                <w:rFonts w:hint="eastAsia" w:ascii="宋体" w:hAnsi="宋体" w:cs="宋体"/>
                <w:kern w:val="0"/>
                <w:szCs w:val="21"/>
              </w:rPr>
            </w:pPr>
            <w:r>
              <w:rPr>
                <w:rFonts w:hint="eastAsia" w:ascii="宋体" w:hAnsi="宋体" w:cs="宋体"/>
                <w:kern w:val="0"/>
                <w:szCs w:val="21"/>
              </w:rPr>
              <w:t xml:space="preserve">1、面料:选用优质西皮经液态浸色及防潮、防污等工艺处理,皮面更加柔软舒适,光泽持久性，符合GB/T16799-2018《家具用皮革》标准：游离甲醛含量（分光光度法）≤75mg/kg，挥发性有机物 (V0C) ≤150mg/kg，可萃取重金属 (铅≤90mg/kg、镉≤75mg/kg) ，禁用偶氮染料≤30mg/kg；                                                                                           </w:t>
            </w:r>
            <w:r>
              <w:rPr>
                <w:rFonts w:hint="eastAsia" w:ascii="宋体" w:hAnsi="宋体" w:cs="宋体"/>
                <w:kern w:val="0"/>
                <w:szCs w:val="21"/>
              </w:rPr>
              <w:br w:type="textWrapping"/>
            </w:r>
            <w:r>
              <w:rPr>
                <w:rFonts w:hint="eastAsia" w:ascii="宋体" w:hAnsi="宋体" w:cs="宋体"/>
                <w:kern w:val="0"/>
                <w:szCs w:val="21"/>
              </w:rPr>
              <w:t xml:space="preserve">2、辅料:采用PU成型发泡高密度海绵,表面有一层保护面,可防氧化,防碎,经测试不变形。符合GB/T10802-2006《通用软质聚醚型聚氨酯泡沫塑料》、QB/T 2280-2016《办公家具 办公椅》标准：甲醛释放量不应大于0.120mg/㎡.h，拉伸强度≥100kPa、伸长度≥100%、撕拉强度≥1.8N/cm、干热老化后拉伸强度变化率±30%、湿热老化后拉伸强度≥55kPa、湿热老化后拉伸强度变化率±30%、25%压缩硬度151±14N、65%/25%压陷比≥1.8；                                                                                       </w:t>
            </w:r>
            <w:r>
              <w:rPr>
                <w:rFonts w:hint="eastAsia" w:ascii="宋体" w:hAnsi="宋体" w:cs="宋体"/>
                <w:kern w:val="0"/>
                <w:szCs w:val="21"/>
              </w:rPr>
              <w:br w:type="textWrapping"/>
            </w:r>
            <w:r>
              <w:rPr>
                <w:rFonts w:hint="eastAsia" w:ascii="宋体" w:hAnsi="宋体" w:cs="宋体"/>
                <w:kern w:val="0"/>
                <w:szCs w:val="21"/>
              </w:rPr>
              <w:t>3、配件：气压棒（受力≥250kg）；伸缩30万次不漏气。                                                                                                                         4、脚架：铝合金五星脚。                                                                                                                                                            5、功能：具备升降、倾仰、多段式锁定功能；成品需符合QB/T2280-2016《办公家具 办公椅》GB/T35607-2017《绿色产品评价 家具》标准且（塑料件、软和硬包件、金属件、涂层和镀层、其他外观要求）外观符合国家标准。</w:t>
            </w:r>
          </w:p>
        </w:tc>
        <w:tc>
          <w:tcPr>
            <w:tcW w:w="236" w:type="dxa"/>
            <w:noWrap w:val="0"/>
            <w:vAlign w:val="center"/>
          </w:tcPr>
          <w:p w14:paraId="4C2ED428">
            <w:pPr>
              <w:widowControl/>
              <w:jc w:val="left"/>
              <w:rPr>
                <w:rFonts w:ascii="宋体" w:hAnsi="宋体"/>
                <w:kern w:val="0"/>
                <w:szCs w:val="21"/>
              </w:rPr>
            </w:pPr>
          </w:p>
        </w:tc>
      </w:tr>
      <w:tr w14:paraId="7F65CD2C">
        <w:tblPrEx>
          <w:tblCellMar>
            <w:top w:w="0" w:type="dxa"/>
            <w:left w:w="108" w:type="dxa"/>
            <w:bottom w:w="0" w:type="dxa"/>
            <w:right w:w="108" w:type="dxa"/>
          </w:tblCellMar>
        </w:tblPrEx>
        <w:trPr>
          <w:gridAfter w:val="2"/>
          <w:wAfter w:w="13296" w:type="dxa"/>
          <w:trHeight w:val="20" w:hRule="atLeast"/>
        </w:trPr>
        <w:tc>
          <w:tcPr>
            <w:tcW w:w="635" w:type="dxa"/>
            <w:tcBorders>
              <w:top w:val="nil"/>
              <w:left w:val="single" w:color="auto" w:sz="4" w:space="0"/>
              <w:bottom w:val="single" w:color="auto" w:sz="4" w:space="0"/>
              <w:right w:val="single" w:color="auto" w:sz="4" w:space="0"/>
            </w:tcBorders>
            <w:noWrap/>
            <w:vAlign w:val="center"/>
          </w:tcPr>
          <w:p w14:paraId="7941DE5E">
            <w:pPr>
              <w:widowControl/>
              <w:jc w:val="center"/>
              <w:rPr>
                <w:rFonts w:hint="eastAsia" w:ascii="宋体" w:hAnsi="宋体" w:cs="宋体"/>
                <w:kern w:val="0"/>
                <w:szCs w:val="21"/>
              </w:rPr>
            </w:pPr>
            <w:r>
              <w:rPr>
                <w:rFonts w:hint="eastAsia" w:ascii="宋体" w:hAnsi="宋体" w:cs="宋体"/>
                <w:kern w:val="0"/>
                <w:szCs w:val="21"/>
              </w:rPr>
              <w:t>14</w:t>
            </w:r>
          </w:p>
        </w:tc>
        <w:tc>
          <w:tcPr>
            <w:tcW w:w="1161" w:type="dxa"/>
            <w:tcBorders>
              <w:top w:val="nil"/>
              <w:left w:val="nil"/>
              <w:bottom w:val="single" w:color="auto" w:sz="4" w:space="0"/>
              <w:right w:val="single" w:color="auto" w:sz="4" w:space="0"/>
            </w:tcBorders>
            <w:noWrap w:val="0"/>
            <w:vAlign w:val="center"/>
          </w:tcPr>
          <w:p w14:paraId="7EB472B9">
            <w:pPr>
              <w:widowControl/>
              <w:jc w:val="center"/>
              <w:rPr>
                <w:rFonts w:hint="eastAsia" w:ascii="宋体" w:hAnsi="宋体" w:cs="宋体"/>
                <w:kern w:val="0"/>
                <w:szCs w:val="21"/>
              </w:rPr>
            </w:pPr>
            <w:r>
              <w:rPr>
                <w:rFonts w:hint="eastAsia" w:ascii="宋体" w:hAnsi="宋体" w:cs="宋体"/>
                <w:kern w:val="0"/>
                <w:szCs w:val="21"/>
              </w:rPr>
              <w:t>办公沙发（1+1+3）</w:t>
            </w:r>
          </w:p>
        </w:tc>
        <w:tc>
          <w:tcPr>
            <w:tcW w:w="2315" w:type="dxa"/>
            <w:tcBorders>
              <w:top w:val="nil"/>
              <w:left w:val="nil"/>
              <w:bottom w:val="single" w:color="auto" w:sz="4" w:space="0"/>
              <w:right w:val="single" w:color="auto" w:sz="4" w:space="0"/>
            </w:tcBorders>
            <w:noWrap w:val="0"/>
            <w:vAlign w:val="center"/>
          </w:tcPr>
          <w:p w14:paraId="2771188A">
            <w:pPr>
              <w:widowControl/>
              <w:jc w:val="center"/>
              <w:rPr>
                <w:rFonts w:hint="eastAsia" w:ascii="宋体" w:hAnsi="宋体" w:cs="宋体"/>
                <w:kern w:val="0"/>
                <w:szCs w:val="21"/>
              </w:rPr>
            </w:pPr>
            <w:r>
              <w:rPr>
                <w:rFonts w:hint="eastAsia" w:ascii="宋体" w:hAnsi="宋体" w:cs="宋体"/>
                <w:kern w:val="0"/>
                <w:szCs w:val="21"/>
              </w:rPr>
              <w:t>单人位：805W*765D*800H</w:t>
            </w:r>
            <w:r>
              <w:rPr>
                <w:rFonts w:hint="eastAsia" w:ascii="宋体" w:hAnsi="宋体" w:cs="宋体"/>
                <w:kern w:val="0"/>
                <w:szCs w:val="21"/>
              </w:rPr>
              <w:br w:type="page"/>
            </w:r>
            <w:r>
              <w:rPr>
                <w:rFonts w:hint="eastAsia" w:ascii="宋体" w:hAnsi="宋体" w:cs="宋体"/>
                <w:kern w:val="0"/>
                <w:szCs w:val="21"/>
              </w:rPr>
              <w:t>三人位：2200W*765D*800H</w:t>
            </w:r>
          </w:p>
        </w:tc>
        <w:tc>
          <w:tcPr>
            <w:tcW w:w="2300" w:type="dxa"/>
            <w:tcBorders>
              <w:top w:val="nil"/>
              <w:left w:val="nil"/>
              <w:bottom w:val="single" w:color="auto" w:sz="4" w:space="0"/>
              <w:right w:val="single" w:color="auto" w:sz="4" w:space="0"/>
            </w:tcBorders>
            <w:noWrap/>
            <w:vAlign w:val="center"/>
          </w:tcPr>
          <w:p w14:paraId="7310CA4A">
            <w:pPr>
              <w:widowControl/>
              <w:jc w:val="left"/>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fldChar w:fldCharType="begin"/>
            </w:r>
            <w:r>
              <w:rPr>
                <w:rFonts w:hint="eastAsia" w:ascii="等线" w:hAnsi="等线" w:eastAsia="等线" w:cs="等线"/>
                <w:color w:val="000000"/>
                <w:kern w:val="0"/>
                <w:sz w:val="22"/>
                <w:szCs w:val="22"/>
                <w:lang w:bidi="ar"/>
              </w:rPr>
              <w:instrText xml:space="preserve">INCLUDEPICTURE \d "C:\\Users\\ADMINI~1\\AppData\\Local\\Temp\\ksohtml\\clip_cell_image53.png" \* MERGEFORMATINET </w:instrText>
            </w:r>
            <w:r>
              <w:rPr>
                <w:rFonts w:hint="eastAsia" w:ascii="等线" w:hAnsi="等线" w:eastAsia="等线" w:cs="等线"/>
                <w:color w:val="000000"/>
                <w:kern w:val="0"/>
                <w:sz w:val="22"/>
                <w:szCs w:val="22"/>
                <w:lang w:bidi="ar"/>
              </w:rPr>
              <w:fldChar w:fldCharType="separate"/>
            </w:r>
            <w:r>
              <w:rPr>
                <w:rFonts w:hint="eastAsia" w:ascii="等线" w:hAnsi="等线" w:eastAsia="等线" w:cs="等线"/>
                <w:color w:val="000000"/>
                <w:kern w:val="0"/>
                <w:sz w:val="22"/>
                <w:szCs w:val="22"/>
                <w:lang w:bidi="ar"/>
              </w:rPr>
              <w:drawing>
                <wp:inline distT="0" distB="0" distL="114300" distR="114300">
                  <wp:extent cx="1350645" cy="1205865"/>
                  <wp:effectExtent l="0" t="0" r="1905" b="13335"/>
                  <wp:docPr id="23" name="图片 1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3" descr="IMG_256"/>
                          <pic:cNvPicPr>
                            <a:picLocks noChangeAspect="1"/>
                          </pic:cNvPicPr>
                        </pic:nvPicPr>
                        <pic:blipFill>
                          <a:blip r:embed="rId22"/>
                          <a:stretch>
                            <a:fillRect/>
                          </a:stretch>
                        </pic:blipFill>
                        <pic:spPr>
                          <a:xfrm>
                            <a:off x="0" y="0"/>
                            <a:ext cx="1350645" cy="1205865"/>
                          </a:xfrm>
                          <a:prstGeom prst="rect">
                            <a:avLst/>
                          </a:prstGeom>
                          <a:noFill/>
                          <a:ln>
                            <a:noFill/>
                          </a:ln>
                        </pic:spPr>
                      </pic:pic>
                    </a:graphicData>
                  </a:graphic>
                </wp:inline>
              </w:drawing>
            </w:r>
            <w:r>
              <w:rPr>
                <w:rFonts w:hint="eastAsia" w:ascii="等线" w:hAnsi="等线" w:eastAsia="等线" w:cs="等线"/>
                <w:color w:val="000000"/>
                <w:kern w:val="0"/>
                <w:sz w:val="22"/>
                <w:szCs w:val="22"/>
                <w:lang w:bidi="ar"/>
              </w:rPr>
              <w:fldChar w:fldCharType="end"/>
            </w:r>
          </w:p>
        </w:tc>
        <w:tc>
          <w:tcPr>
            <w:tcW w:w="991" w:type="dxa"/>
            <w:tcBorders>
              <w:top w:val="nil"/>
              <w:left w:val="nil"/>
              <w:bottom w:val="single" w:color="auto" w:sz="4" w:space="0"/>
              <w:right w:val="single" w:color="auto" w:sz="4" w:space="0"/>
            </w:tcBorders>
            <w:noWrap/>
            <w:vAlign w:val="center"/>
          </w:tcPr>
          <w:p w14:paraId="2739F12A">
            <w:pPr>
              <w:widowControl/>
              <w:jc w:val="center"/>
              <w:rPr>
                <w:rFonts w:hint="eastAsia" w:ascii="宋体" w:hAnsi="宋体" w:cs="宋体"/>
                <w:kern w:val="0"/>
                <w:szCs w:val="21"/>
              </w:rPr>
            </w:pPr>
            <w:r>
              <w:rPr>
                <w:rFonts w:hint="eastAsia" w:ascii="宋体" w:hAnsi="宋体" w:cs="宋体"/>
                <w:kern w:val="0"/>
                <w:szCs w:val="21"/>
              </w:rPr>
              <w:t>套</w:t>
            </w:r>
          </w:p>
        </w:tc>
        <w:tc>
          <w:tcPr>
            <w:tcW w:w="659" w:type="dxa"/>
            <w:tcBorders>
              <w:top w:val="nil"/>
              <w:left w:val="nil"/>
              <w:bottom w:val="single" w:color="auto" w:sz="4" w:space="0"/>
              <w:right w:val="single" w:color="auto" w:sz="4" w:space="0"/>
            </w:tcBorders>
            <w:noWrap/>
            <w:vAlign w:val="center"/>
          </w:tcPr>
          <w:p w14:paraId="68D256EE">
            <w:pPr>
              <w:widowControl/>
              <w:jc w:val="center"/>
              <w:rPr>
                <w:rFonts w:hint="eastAsia" w:ascii="宋体" w:hAnsi="宋体" w:cs="宋体"/>
                <w:kern w:val="0"/>
                <w:szCs w:val="21"/>
              </w:rPr>
            </w:pPr>
            <w:r>
              <w:rPr>
                <w:rFonts w:hint="eastAsia" w:ascii="宋体" w:hAnsi="宋体" w:cs="宋体"/>
                <w:kern w:val="0"/>
                <w:szCs w:val="21"/>
              </w:rPr>
              <w:t>1</w:t>
            </w:r>
          </w:p>
        </w:tc>
        <w:tc>
          <w:tcPr>
            <w:tcW w:w="6256" w:type="dxa"/>
            <w:tcBorders>
              <w:top w:val="nil"/>
              <w:left w:val="nil"/>
              <w:bottom w:val="single" w:color="auto" w:sz="4" w:space="0"/>
              <w:right w:val="single" w:color="auto" w:sz="4" w:space="0"/>
            </w:tcBorders>
            <w:noWrap w:val="0"/>
            <w:vAlign w:val="center"/>
          </w:tcPr>
          <w:p w14:paraId="03C3E1F9">
            <w:pPr>
              <w:widowControl/>
              <w:jc w:val="left"/>
              <w:rPr>
                <w:rFonts w:hint="eastAsia" w:ascii="宋体" w:hAnsi="宋体" w:cs="宋体"/>
                <w:kern w:val="0"/>
                <w:szCs w:val="21"/>
              </w:rPr>
            </w:pPr>
            <w:r>
              <w:rPr>
                <w:rFonts w:hint="eastAsia" w:ascii="宋体" w:hAnsi="宋体" w:cs="宋体"/>
                <w:kern w:val="0"/>
                <w:szCs w:val="21"/>
              </w:rPr>
              <w:t>材质：采用优质超纤西皮，触感细腻，柔软舒适，韧性及耐磨性能极佳。泡棉：采用高回弹PU泡棉，座密度≥30Kg/m3、背密度≥25Kg/m3、回弹性能≥40%、压缩变形率＜6%。内部框架：采用优质松木或柞木实木框架，实木四面刨光，所有木材含水率8%-12%，木材无树皮、无腐朽和虫蛀，高强度S形弹簧（直径3.00MM），高弹力尼龙编织带穿插编织打底，与海绵间隔垫麻布，弹簧或绷带材料与泡棉之间有高强度织物隔垫，无苯胶粘剂粘结，内部衬垫物干燥卫生，无腐烂变质、无夹杂泥沙及金属杂物，所有内部填充物清洁无异味。外露木料：材色纹理与配套家具一致，木材含水率10-12%，四面抛光，光滑、无棱角。采用优质环保水性漆，表面平整，无明显颗粒、渣点，颜色均匀，硬度高，耐磨性强，能长久保持漆面效果。工艺：包覆衔接严密，线条流畅，转角顺畅，后背及底座饱满、富有弹性。</w:t>
            </w:r>
          </w:p>
        </w:tc>
        <w:tc>
          <w:tcPr>
            <w:tcW w:w="236" w:type="dxa"/>
            <w:noWrap w:val="0"/>
            <w:vAlign w:val="center"/>
          </w:tcPr>
          <w:p w14:paraId="1CCCF962">
            <w:pPr>
              <w:widowControl/>
              <w:jc w:val="left"/>
              <w:rPr>
                <w:rFonts w:ascii="宋体" w:hAnsi="宋体"/>
                <w:kern w:val="0"/>
                <w:szCs w:val="21"/>
              </w:rPr>
            </w:pPr>
          </w:p>
        </w:tc>
      </w:tr>
      <w:tr w14:paraId="2D4EB070">
        <w:tblPrEx>
          <w:tblCellMar>
            <w:top w:w="0" w:type="dxa"/>
            <w:left w:w="108" w:type="dxa"/>
            <w:bottom w:w="0" w:type="dxa"/>
            <w:right w:w="108" w:type="dxa"/>
          </w:tblCellMar>
        </w:tblPrEx>
        <w:trPr>
          <w:gridAfter w:val="2"/>
          <w:wAfter w:w="13296" w:type="dxa"/>
          <w:trHeight w:val="20" w:hRule="atLeast"/>
        </w:trPr>
        <w:tc>
          <w:tcPr>
            <w:tcW w:w="635" w:type="dxa"/>
            <w:tcBorders>
              <w:top w:val="nil"/>
              <w:left w:val="single" w:color="auto" w:sz="4" w:space="0"/>
              <w:bottom w:val="single" w:color="auto" w:sz="4" w:space="0"/>
              <w:right w:val="single" w:color="auto" w:sz="4" w:space="0"/>
            </w:tcBorders>
            <w:noWrap/>
            <w:vAlign w:val="center"/>
          </w:tcPr>
          <w:p w14:paraId="53FC100D">
            <w:pPr>
              <w:widowControl/>
              <w:jc w:val="center"/>
              <w:rPr>
                <w:rFonts w:hint="eastAsia" w:ascii="宋体" w:hAnsi="宋体" w:cs="宋体"/>
                <w:kern w:val="0"/>
                <w:szCs w:val="21"/>
              </w:rPr>
            </w:pPr>
            <w:r>
              <w:rPr>
                <w:rFonts w:hint="eastAsia" w:ascii="宋体" w:hAnsi="宋体" w:cs="宋体"/>
                <w:kern w:val="0"/>
                <w:szCs w:val="21"/>
              </w:rPr>
              <w:t>15</w:t>
            </w:r>
          </w:p>
        </w:tc>
        <w:tc>
          <w:tcPr>
            <w:tcW w:w="1161" w:type="dxa"/>
            <w:tcBorders>
              <w:top w:val="nil"/>
              <w:left w:val="nil"/>
              <w:bottom w:val="single" w:color="auto" w:sz="4" w:space="0"/>
              <w:right w:val="single" w:color="auto" w:sz="4" w:space="0"/>
            </w:tcBorders>
            <w:noWrap w:val="0"/>
            <w:vAlign w:val="center"/>
          </w:tcPr>
          <w:p w14:paraId="5BAB1214">
            <w:pPr>
              <w:widowControl/>
              <w:jc w:val="center"/>
              <w:rPr>
                <w:rFonts w:hint="eastAsia" w:ascii="宋体" w:hAnsi="宋体" w:cs="宋体"/>
                <w:kern w:val="0"/>
                <w:szCs w:val="21"/>
              </w:rPr>
            </w:pPr>
            <w:r>
              <w:rPr>
                <w:rFonts w:hint="eastAsia" w:ascii="宋体" w:hAnsi="宋体" w:cs="宋体"/>
                <w:kern w:val="0"/>
                <w:szCs w:val="21"/>
              </w:rPr>
              <w:t>展示长桌</w:t>
            </w:r>
          </w:p>
        </w:tc>
        <w:tc>
          <w:tcPr>
            <w:tcW w:w="2315" w:type="dxa"/>
            <w:tcBorders>
              <w:top w:val="nil"/>
              <w:left w:val="nil"/>
              <w:bottom w:val="single" w:color="auto" w:sz="4" w:space="0"/>
              <w:right w:val="single" w:color="auto" w:sz="4" w:space="0"/>
            </w:tcBorders>
            <w:noWrap w:val="0"/>
            <w:vAlign w:val="center"/>
          </w:tcPr>
          <w:p w14:paraId="34CADC86">
            <w:pPr>
              <w:widowControl/>
              <w:jc w:val="center"/>
              <w:rPr>
                <w:rFonts w:hint="eastAsia" w:ascii="宋体" w:hAnsi="宋体" w:cs="宋体"/>
                <w:kern w:val="0"/>
                <w:szCs w:val="21"/>
              </w:rPr>
            </w:pPr>
            <w:r>
              <w:rPr>
                <w:rFonts w:hint="eastAsia" w:ascii="宋体" w:hAnsi="宋体" w:cs="宋体"/>
                <w:kern w:val="0"/>
                <w:szCs w:val="21"/>
              </w:rPr>
              <w:t>1200W*700D*450H</w:t>
            </w:r>
          </w:p>
        </w:tc>
        <w:tc>
          <w:tcPr>
            <w:tcW w:w="2300" w:type="dxa"/>
            <w:tcBorders>
              <w:top w:val="nil"/>
              <w:left w:val="nil"/>
              <w:bottom w:val="single" w:color="auto" w:sz="4" w:space="0"/>
              <w:right w:val="single" w:color="auto" w:sz="4" w:space="0"/>
            </w:tcBorders>
            <w:noWrap/>
            <w:vAlign w:val="center"/>
          </w:tcPr>
          <w:p w14:paraId="717B6176">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fldChar w:fldCharType="begin"/>
            </w:r>
            <w:r>
              <w:rPr>
                <w:rFonts w:hint="eastAsia" w:ascii="微软雅黑" w:hAnsi="微软雅黑" w:eastAsia="微软雅黑" w:cs="微软雅黑"/>
                <w:color w:val="000000"/>
                <w:kern w:val="0"/>
                <w:sz w:val="22"/>
                <w:szCs w:val="22"/>
                <w:lang w:bidi="ar"/>
              </w:rPr>
              <w:instrText xml:space="preserve">INCLUDEPICTURE \d "C:\\Users\\ADMINI~1\\AppData\\Local\\Temp\\ksohtml\\clip_cell_image54.png" \* MERGEFORMATINET </w:instrText>
            </w:r>
            <w:r>
              <w:rPr>
                <w:rFonts w:hint="eastAsia" w:ascii="微软雅黑" w:hAnsi="微软雅黑" w:eastAsia="微软雅黑" w:cs="微软雅黑"/>
                <w:color w:val="000000"/>
                <w:kern w:val="0"/>
                <w:sz w:val="22"/>
                <w:szCs w:val="22"/>
                <w:lang w:bidi="ar"/>
              </w:rPr>
              <w:fldChar w:fldCharType="separate"/>
            </w:r>
            <w:r>
              <w:rPr>
                <w:rFonts w:hint="eastAsia" w:ascii="微软雅黑" w:hAnsi="微软雅黑" w:eastAsia="微软雅黑" w:cs="微软雅黑"/>
                <w:color w:val="000000"/>
                <w:kern w:val="0"/>
                <w:sz w:val="22"/>
                <w:szCs w:val="22"/>
                <w:lang w:bidi="ar"/>
              </w:rPr>
              <w:drawing>
                <wp:inline distT="0" distB="0" distL="114300" distR="114300">
                  <wp:extent cx="1369695" cy="1054100"/>
                  <wp:effectExtent l="0" t="0" r="1905" b="12700"/>
                  <wp:docPr id="22" name="图片 1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4" descr="IMG_256"/>
                          <pic:cNvPicPr>
                            <a:picLocks noChangeAspect="1"/>
                          </pic:cNvPicPr>
                        </pic:nvPicPr>
                        <pic:blipFill>
                          <a:blip r:embed="rId23"/>
                          <a:stretch>
                            <a:fillRect/>
                          </a:stretch>
                        </pic:blipFill>
                        <pic:spPr>
                          <a:xfrm>
                            <a:off x="0" y="0"/>
                            <a:ext cx="1369695" cy="1054100"/>
                          </a:xfrm>
                          <a:prstGeom prst="rect">
                            <a:avLst/>
                          </a:prstGeom>
                          <a:noFill/>
                          <a:ln>
                            <a:noFill/>
                          </a:ln>
                        </pic:spPr>
                      </pic:pic>
                    </a:graphicData>
                  </a:graphic>
                </wp:inline>
              </w:drawing>
            </w:r>
            <w:r>
              <w:rPr>
                <w:rFonts w:hint="eastAsia" w:ascii="微软雅黑" w:hAnsi="微软雅黑" w:eastAsia="微软雅黑" w:cs="微软雅黑"/>
                <w:color w:val="000000"/>
                <w:kern w:val="0"/>
                <w:sz w:val="22"/>
                <w:szCs w:val="22"/>
                <w:lang w:bidi="ar"/>
              </w:rPr>
              <w:fldChar w:fldCharType="end"/>
            </w:r>
          </w:p>
        </w:tc>
        <w:tc>
          <w:tcPr>
            <w:tcW w:w="991" w:type="dxa"/>
            <w:tcBorders>
              <w:top w:val="nil"/>
              <w:left w:val="nil"/>
              <w:bottom w:val="single" w:color="auto" w:sz="4" w:space="0"/>
              <w:right w:val="single" w:color="auto" w:sz="4" w:space="0"/>
            </w:tcBorders>
            <w:noWrap/>
            <w:vAlign w:val="center"/>
          </w:tcPr>
          <w:p w14:paraId="67D2FC46">
            <w:pPr>
              <w:widowControl/>
              <w:jc w:val="center"/>
              <w:rPr>
                <w:rFonts w:hint="eastAsia" w:ascii="宋体" w:hAnsi="宋体" w:cs="宋体"/>
                <w:kern w:val="0"/>
                <w:szCs w:val="21"/>
              </w:rPr>
            </w:pPr>
            <w:r>
              <w:rPr>
                <w:rFonts w:hint="eastAsia" w:ascii="宋体" w:hAnsi="宋体" w:cs="宋体"/>
                <w:kern w:val="0"/>
                <w:szCs w:val="21"/>
              </w:rPr>
              <w:t>个</w:t>
            </w:r>
          </w:p>
        </w:tc>
        <w:tc>
          <w:tcPr>
            <w:tcW w:w="659" w:type="dxa"/>
            <w:tcBorders>
              <w:top w:val="nil"/>
              <w:left w:val="nil"/>
              <w:bottom w:val="single" w:color="auto" w:sz="4" w:space="0"/>
              <w:right w:val="single" w:color="auto" w:sz="4" w:space="0"/>
            </w:tcBorders>
            <w:noWrap/>
            <w:vAlign w:val="center"/>
          </w:tcPr>
          <w:p w14:paraId="510125FE">
            <w:pPr>
              <w:widowControl/>
              <w:jc w:val="center"/>
              <w:rPr>
                <w:rFonts w:hint="eastAsia" w:ascii="宋体" w:hAnsi="宋体" w:cs="宋体"/>
                <w:kern w:val="0"/>
                <w:szCs w:val="21"/>
              </w:rPr>
            </w:pPr>
            <w:r>
              <w:rPr>
                <w:rFonts w:hint="eastAsia" w:ascii="宋体" w:hAnsi="宋体" w:cs="宋体"/>
                <w:kern w:val="0"/>
                <w:szCs w:val="21"/>
              </w:rPr>
              <w:t>1</w:t>
            </w:r>
          </w:p>
        </w:tc>
        <w:tc>
          <w:tcPr>
            <w:tcW w:w="6256" w:type="dxa"/>
            <w:tcBorders>
              <w:top w:val="nil"/>
              <w:left w:val="nil"/>
              <w:bottom w:val="single" w:color="auto" w:sz="4" w:space="0"/>
              <w:right w:val="single" w:color="auto" w:sz="4" w:space="0"/>
            </w:tcBorders>
            <w:noWrap w:val="0"/>
            <w:vAlign w:val="center"/>
          </w:tcPr>
          <w:p w14:paraId="4D786F26">
            <w:pPr>
              <w:widowControl/>
              <w:jc w:val="left"/>
              <w:rPr>
                <w:rFonts w:hint="eastAsia" w:ascii="宋体" w:hAnsi="宋体" w:cs="宋体"/>
                <w:kern w:val="0"/>
                <w:szCs w:val="21"/>
              </w:rPr>
            </w:pPr>
            <w:r>
              <w:rPr>
                <w:rFonts w:hint="eastAsia" w:ascii="宋体" w:hAnsi="宋体" w:cs="宋体"/>
                <w:kern w:val="0"/>
                <w:szCs w:val="21"/>
              </w:rPr>
              <w:t>1、基材：采用优质环保ENF级高密度中纤板,优质绿色环保产品,甲醛含量≤1.0mg/L密度≥760kg/m3,静曲张度≥ 51.5Mpa,吸水膨胀率≤8.1%；</w:t>
            </w:r>
            <w:r>
              <w:rPr>
                <w:rFonts w:hint="eastAsia" w:ascii="宋体" w:hAnsi="宋体" w:cs="宋体"/>
                <w:kern w:val="0"/>
                <w:szCs w:val="21"/>
              </w:rPr>
              <w:br w:type="textWrapping"/>
            </w:r>
            <w:r>
              <w:rPr>
                <w:rFonts w:hint="eastAsia" w:ascii="宋体" w:hAnsi="宋体" w:cs="宋体"/>
                <w:kern w:val="0"/>
                <w:szCs w:val="21"/>
              </w:rPr>
              <w:t xml:space="preserve">2、烤漆涂层固化后其涂层的稳定性、耐久性、耐候性、耐摩擦性、耐腐蚀性和硬度高，经抛光后，表面光洁度高，镜面效果好； </w:t>
            </w:r>
            <w:r>
              <w:rPr>
                <w:rFonts w:hint="eastAsia" w:ascii="宋体" w:hAnsi="宋体" w:cs="宋体"/>
                <w:kern w:val="0"/>
                <w:szCs w:val="21"/>
              </w:rPr>
              <w:br w:type="textWrapping"/>
            </w:r>
            <w:r>
              <w:rPr>
                <w:rFonts w:hint="eastAsia" w:ascii="宋体" w:hAnsi="宋体" w:cs="宋体"/>
                <w:kern w:val="0"/>
                <w:szCs w:val="21"/>
              </w:rPr>
              <w:t>3、防潮、防水性能 优越；不需封边；易清洁，不渗油，不褪色；  各项技术指标均达到国际标准。材料经防虫、防潮、防腐及三次烘干蒸发处理，木材干燥至9%-12%的含水率；</w:t>
            </w:r>
            <w:r>
              <w:rPr>
                <w:rFonts w:hint="eastAsia" w:ascii="宋体" w:hAnsi="宋体" w:cs="宋体"/>
                <w:kern w:val="0"/>
                <w:szCs w:val="21"/>
              </w:rPr>
              <w:br w:type="textWrapping"/>
            </w:r>
            <w:r>
              <w:rPr>
                <w:rFonts w:hint="eastAsia" w:ascii="宋体" w:hAnsi="宋体" w:cs="宋体"/>
                <w:kern w:val="0"/>
                <w:szCs w:val="21"/>
              </w:rPr>
              <w:t>4、油漆采用环保优质水性涂料，水性隐孔高光，双面涂饰。水性漆面漆、水性漆底漆甲醛含量≤25mg/kg，VOC含量≤20g/L。，对人体无任何伤害、无污染而且亮、哑层次分明，手感好；表面无颗粒、气泡、渣点；漆面硬度大且清晰。</w:t>
            </w:r>
            <w:r>
              <w:rPr>
                <w:rFonts w:hint="eastAsia" w:ascii="宋体" w:hAnsi="宋体" w:cs="宋体"/>
                <w:kern w:val="0"/>
                <w:szCs w:val="21"/>
              </w:rPr>
              <w:br w:type="textWrapping"/>
            </w:r>
            <w:r>
              <w:rPr>
                <w:rFonts w:hint="eastAsia" w:ascii="宋体" w:hAnsi="宋体" w:cs="宋体"/>
                <w:kern w:val="0"/>
                <w:szCs w:val="21"/>
              </w:rPr>
              <w:t>5、胶粘剂：采用优质白乳胶，游离甲醛未检出，总挥发性有机物≤70g/L。</w:t>
            </w:r>
            <w:r>
              <w:rPr>
                <w:rFonts w:hint="eastAsia" w:ascii="宋体" w:hAnsi="宋体" w:cs="宋体"/>
                <w:kern w:val="0"/>
                <w:szCs w:val="21"/>
              </w:rPr>
              <w:br w:type="textWrapping"/>
            </w:r>
            <w:r>
              <w:rPr>
                <w:rFonts w:hint="eastAsia" w:ascii="宋体" w:hAnsi="宋体" w:cs="宋体"/>
                <w:kern w:val="0"/>
                <w:szCs w:val="21"/>
              </w:rPr>
              <w:t>6、胶水：采用优质环保品牌绿色环保胶水。</w:t>
            </w:r>
            <w:r>
              <w:rPr>
                <w:rFonts w:hint="eastAsia" w:ascii="宋体" w:hAnsi="宋体" w:cs="宋体"/>
                <w:kern w:val="0"/>
                <w:szCs w:val="21"/>
              </w:rPr>
              <w:br w:type="textWrapping"/>
            </w:r>
            <w:r>
              <w:rPr>
                <w:rFonts w:hint="eastAsia" w:ascii="宋体" w:hAnsi="宋体" w:cs="宋体"/>
                <w:kern w:val="0"/>
                <w:szCs w:val="21"/>
              </w:rPr>
              <w:t>7、五金配件：采用优质品牌的门铰五金锁具，满足QB/T 2189-2013检测，要求耐久性达到8万次。</w:t>
            </w:r>
          </w:p>
        </w:tc>
        <w:tc>
          <w:tcPr>
            <w:tcW w:w="236" w:type="dxa"/>
            <w:noWrap w:val="0"/>
            <w:vAlign w:val="center"/>
          </w:tcPr>
          <w:p w14:paraId="303A64D7">
            <w:pPr>
              <w:widowControl/>
              <w:jc w:val="left"/>
              <w:rPr>
                <w:rFonts w:ascii="宋体" w:hAnsi="宋体"/>
                <w:kern w:val="0"/>
                <w:szCs w:val="21"/>
              </w:rPr>
            </w:pPr>
          </w:p>
        </w:tc>
      </w:tr>
      <w:tr w14:paraId="7102EE51">
        <w:tblPrEx>
          <w:tblCellMar>
            <w:top w:w="0" w:type="dxa"/>
            <w:left w:w="108" w:type="dxa"/>
            <w:bottom w:w="0" w:type="dxa"/>
            <w:right w:w="108" w:type="dxa"/>
          </w:tblCellMar>
        </w:tblPrEx>
        <w:trPr>
          <w:gridAfter w:val="2"/>
          <w:wAfter w:w="13296" w:type="dxa"/>
          <w:trHeight w:val="20" w:hRule="atLeast"/>
        </w:trPr>
        <w:tc>
          <w:tcPr>
            <w:tcW w:w="635" w:type="dxa"/>
            <w:tcBorders>
              <w:top w:val="nil"/>
              <w:left w:val="single" w:color="auto" w:sz="4" w:space="0"/>
              <w:bottom w:val="single" w:color="auto" w:sz="4" w:space="0"/>
              <w:right w:val="single" w:color="auto" w:sz="4" w:space="0"/>
            </w:tcBorders>
            <w:noWrap/>
            <w:vAlign w:val="center"/>
          </w:tcPr>
          <w:p w14:paraId="7625A4EF">
            <w:pPr>
              <w:widowControl/>
              <w:jc w:val="center"/>
              <w:rPr>
                <w:rFonts w:hint="eastAsia" w:ascii="宋体" w:hAnsi="宋体" w:cs="宋体"/>
                <w:kern w:val="0"/>
                <w:szCs w:val="21"/>
              </w:rPr>
            </w:pPr>
            <w:r>
              <w:rPr>
                <w:rFonts w:hint="eastAsia" w:ascii="宋体" w:hAnsi="宋体" w:cs="宋体"/>
                <w:kern w:val="0"/>
                <w:szCs w:val="21"/>
              </w:rPr>
              <w:t>16</w:t>
            </w:r>
          </w:p>
        </w:tc>
        <w:tc>
          <w:tcPr>
            <w:tcW w:w="1161" w:type="dxa"/>
            <w:tcBorders>
              <w:top w:val="nil"/>
              <w:left w:val="nil"/>
              <w:bottom w:val="single" w:color="auto" w:sz="4" w:space="0"/>
              <w:right w:val="single" w:color="auto" w:sz="4" w:space="0"/>
            </w:tcBorders>
            <w:noWrap w:val="0"/>
            <w:vAlign w:val="center"/>
          </w:tcPr>
          <w:p w14:paraId="09173F03">
            <w:pPr>
              <w:widowControl/>
              <w:jc w:val="center"/>
              <w:rPr>
                <w:rFonts w:hint="eastAsia" w:ascii="宋体" w:hAnsi="宋体" w:cs="宋体"/>
                <w:kern w:val="0"/>
                <w:szCs w:val="21"/>
              </w:rPr>
            </w:pPr>
            <w:r>
              <w:rPr>
                <w:rFonts w:hint="eastAsia" w:ascii="宋体" w:hAnsi="宋体" w:cs="宋体"/>
                <w:kern w:val="0"/>
                <w:szCs w:val="21"/>
              </w:rPr>
              <w:t>展示方桌</w:t>
            </w:r>
          </w:p>
        </w:tc>
        <w:tc>
          <w:tcPr>
            <w:tcW w:w="2315" w:type="dxa"/>
            <w:tcBorders>
              <w:top w:val="nil"/>
              <w:left w:val="nil"/>
              <w:bottom w:val="single" w:color="auto" w:sz="4" w:space="0"/>
              <w:right w:val="single" w:color="auto" w:sz="4" w:space="0"/>
            </w:tcBorders>
            <w:noWrap w:val="0"/>
            <w:vAlign w:val="center"/>
          </w:tcPr>
          <w:p w14:paraId="09C4B72F">
            <w:pPr>
              <w:widowControl/>
              <w:jc w:val="center"/>
              <w:rPr>
                <w:rFonts w:hint="eastAsia" w:ascii="宋体" w:hAnsi="宋体" w:cs="宋体"/>
                <w:kern w:val="0"/>
                <w:szCs w:val="21"/>
              </w:rPr>
            </w:pPr>
            <w:r>
              <w:rPr>
                <w:rFonts w:hint="eastAsia" w:ascii="宋体" w:hAnsi="宋体" w:cs="宋体"/>
                <w:kern w:val="0"/>
                <w:szCs w:val="21"/>
              </w:rPr>
              <w:t>650W*650D*450H</w:t>
            </w:r>
          </w:p>
        </w:tc>
        <w:tc>
          <w:tcPr>
            <w:tcW w:w="2300" w:type="dxa"/>
            <w:tcBorders>
              <w:top w:val="nil"/>
              <w:left w:val="nil"/>
              <w:bottom w:val="single" w:color="auto" w:sz="4" w:space="0"/>
              <w:right w:val="single" w:color="auto" w:sz="4" w:space="0"/>
            </w:tcBorders>
            <w:noWrap/>
            <w:vAlign w:val="center"/>
          </w:tcPr>
          <w:p w14:paraId="10E594E8">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fldChar w:fldCharType="begin"/>
            </w:r>
            <w:r>
              <w:rPr>
                <w:rFonts w:hint="eastAsia" w:ascii="微软雅黑" w:hAnsi="微软雅黑" w:eastAsia="微软雅黑" w:cs="微软雅黑"/>
                <w:color w:val="000000"/>
                <w:kern w:val="0"/>
                <w:sz w:val="22"/>
                <w:szCs w:val="22"/>
                <w:lang w:bidi="ar"/>
              </w:rPr>
              <w:instrText xml:space="preserve">INCLUDEPICTURE \d "C:\\Users\\ADMINI~1\\AppData\\Local\\Temp\\ksohtml\\clip_cell_image55.png" \* MERGEFORMATINET </w:instrText>
            </w:r>
            <w:r>
              <w:rPr>
                <w:rFonts w:hint="eastAsia" w:ascii="微软雅黑" w:hAnsi="微软雅黑" w:eastAsia="微软雅黑" w:cs="微软雅黑"/>
                <w:color w:val="000000"/>
                <w:kern w:val="0"/>
                <w:sz w:val="22"/>
                <w:szCs w:val="22"/>
                <w:lang w:bidi="ar"/>
              </w:rPr>
              <w:fldChar w:fldCharType="separate"/>
            </w:r>
            <w:r>
              <w:rPr>
                <w:rFonts w:hint="eastAsia" w:ascii="微软雅黑" w:hAnsi="微软雅黑" w:eastAsia="微软雅黑" w:cs="微软雅黑"/>
                <w:color w:val="000000"/>
                <w:kern w:val="0"/>
                <w:sz w:val="22"/>
                <w:szCs w:val="22"/>
                <w:lang w:bidi="ar"/>
              </w:rPr>
              <w:drawing>
                <wp:inline distT="0" distB="0" distL="114300" distR="114300">
                  <wp:extent cx="922655" cy="737870"/>
                  <wp:effectExtent l="0" t="0" r="10795" b="5080"/>
                  <wp:docPr id="20" name="图片 1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5" descr="IMG_256"/>
                          <pic:cNvPicPr>
                            <a:picLocks noChangeAspect="1"/>
                          </pic:cNvPicPr>
                        </pic:nvPicPr>
                        <pic:blipFill>
                          <a:blip r:embed="rId24"/>
                          <a:stretch>
                            <a:fillRect/>
                          </a:stretch>
                        </pic:blipFill>
                        <pic:spPr>
                          <a:xfrm>
                            <a:off x="0" y="0"/>
                            <a:ext cx="922655" cy="737870"/>
                          </a:xfrm>
                          <a:prstGeom prst="rect">
                            <a:avLst/>
                          </a:prstGeom>
                          <a:noFill/>
                          <a:ln>
                            <a:noFill/>
                          </a:ln>
                        </pic:spPr>
                      </pic:pic>
                    </a:graphicData>
                  </a:graphic>
                </wp:inline>
              </w:drawing>
            </w:r>
            <w:r>
              <w:rPr>
                <w:rFonts w:hint="eastAsia" w:ascii="微软雅黑" w:hAnsi="微软雅黑" w:eastAsia="微软雅黑" w:cs="微软雅黑"/>
                <w:color w:val="000000"/>
                <w:kern w:val="0"/>
                <w:sz w:val="22"/>
                <w:szCs w:val="22"/>
                <w:lang w:bidi="ar"/>
              </w:rPr>
              <w:fldChar w:fldCharType="end"/>
            </w:r>
          </w:p>
        </w:tc>
        <w:tc>
          <w:tcPr>
            <w:tcW w:w="991" w:type="dxa"/>
            <w:tcBorders>
              <w:top w:val="nil"/>
              <w:left w:val="nil"/>
              <w:bottom w:val="single" w:color="auto" w:sz="4" w:space="0"/>
              <w:right w:val="single" w:color="auto" w:sz="4" w:space="0"/>
            </w:tcBorders>
            <w:noWrap/>
            <w:vAlign w:val="center"/>
          </w:tcPr>
          <w:p w14:paraId="73983F53">
            <w:pPr>
              <w:widowControl/>
              <w:jc w:val="center"/>
              <w:rPr>
                <w:rFonts w:hint="eastAsia" w:ascii="宋体" w:hAnsi="宋体" w:cs="宋体"/>
                <w:kern w:val="0"/>
                <w:szCs w:val="21"/>
              </w:rPr>
            </w:pPr>
            <w:r>
              <w:rPr>
                <w:rFonts w:hint="eastAsia" w:ascii="宋体" w:hAnsi="宋体" w:cs="宋体"/>
                <w:kern w:val="0"/>
                <w:szCs w:val="21"/>
              </w:rPr>
              <w:t>个</w:t>
            </w:r>
          </w:p>
        </w:tc>
        <w:tc>
          <w:tcPr>
            <w:tcW w:w="659" w:type="dxa"/>
            <w:tcBorders>
              <w:top w:val="nil"/>
              <w:left w:val="nil"/>
              <w:bottom w:val="single" w:color="auto" w:sz="4" w:space="0"/>
              <w:right w:val="single" w:color="auto" w:sz="4" w:space="0"/>
            </w:tcBorders>
            <w:noWrap/>
            <w:vAlign w:val="center"/>
          </w:tcPr>
          <w:p w14:paraId="7EB38A87">
            <w:pPr>
              <w:widowControl/>
              <w:jc w:val="center"/>
              <w:rPr>
                <w:rFonts w:hint="eastAsia" w:ascii="宋体" w:hAnsi="宋体" w:cs="宋体"/>
                <w:kern w:val="0"/>
                <w:szCs w:val="21"/>
              </w:rPr>
            </w:pPr>
            <w:r>
              <w:rPr>
                <w:rFonts w:hint="eastAsia" w:ascii="宋体" w:hAnsi="宋体" w:cs="宋体"/>
                <w:kern w:val="0"/>
                <w:szCs w:val="21"/>
              </w:rPr>
              <w:t>1</w:t>
            </w:r>
          </w:p>
        </w:tc>
        <w:tc>
          <w:tcPr>
            <w:tcW w:w="6256" w:type="dxa"/>
            <w:tcBorders>
              <w:top w:val="nil"/>
              <w:left w:val="nil"/>
              <w:bottom w:val="single" w:color="auto" w:sz="4" w:space="0"/>
              <w:right w:val="single" w:color="auto" w:sz="4" w:space="0"/>
            </w:tcBorders>
            <w:noWrap w:val="0"/>
            <w:vAlign w:val="center"/>
          </w:tcPr>
          <w:p w14:paraId="365D1C78">
            <w:pPr>
              <w:widowControl/>
              <w:jc w:val="left"/>
              <w:rPr>
                <w:rFonts w:hint="eastAsia" w:ascii="宋体" w:hAnsi="宋体" w:cs="宋体"/>
                <w:kern w:val="0"/>
                <w:szCs w:val="21"/>
              </w:rPr>
            </w:pPr>
            <w:r>
              <w:rPr>
                <w:rFonts w:hint="eastAsia" w:ascii="宋体" w:hAnsi="宋体" w:cs="宋体"/>
                <w:kern w:val="0"/>
                <w:szCs w:val="21"/>
              </w:rPr>
              <w:t>1、基材：采用优质环保ENF级高密度中纤板,优质绿色环保产品,甲醛含量≤1.0mg/L密度≥760kg/m3,静曲张度≥ 51.5Mpa,吸水膨胀率≤8.1%；</w:t>
            </w:r>
            <w:r>
              <w:rPr>
                <w:rFonts w:hint="eastAsia" w:ascii="宋体" w:hAnsi="宋体" w:cs="宋体"/>
                <w:kern w:val="0"/>
                <w:szCs w:val="21"/>
              </w:rPr>
              <w:br w:type="page"/>
            </w:r>
            <w:r>
              <w:rPr>
                <w:rFonts w:hint="eastAsia" w:ascii="宋体" w:hAnsi="宋体" w:cs="宋体"/>
                <w:kern w:val="0"/>
                <w:szCs w:val="21"/>
              </w:rPr>
              <w:t xml:space="preserve">2、烤漆涂层固化后其涂层的稳定性、耐久性、耐候性、耐摩擦性、耐腐蚀性和硬度高，经抛光后，表面光洁度高，镜面效果好； </w:t>
            </w:r>
            <w:r>
              <w:rPr>
                <w:rFonts w:hint="eastAsia" w:ascii="宋体" w:hAnsi="宋体" w:cs="宋体"/>
                <w:kern w:val="0"/>
                <w:szCs w:val="21"/>
              </w:rPr>
              <w:br w:type="page"/>
            </w:r>
            <w:r>
              <w:rPr>
                <w:rFonts w:hint="eastAsia" w:ascii="宋体" w:hAnsi="宋体" w:cs="宋体"/>
                <w:kern w:val="0"/>
                <w:szCs w:val="21"/>
              </w:rPr>
              <w:t>3、防潮、防水性能 优越；不需封边；易清洁，不渗油，不褪色；  各项技术指标均达到国际标准。材料经防虫、防潮、防腐及三次烘干蒸发处理，木材干燥至9%-12%的含水率；</w:t>
            </w:r>
            <w:r>
              <w:rPr>
                <w:rFonts w:hint="eastAsia" w:ascii="宋体" w:hAnsi="宋体" w:cs="宋体"/>
                <w:kern w:val="0"/>
                <w:szCs w:val="21"/>
              </w:rPr>
              <w:br w:type="page"/>
            </w:r>
            <w:r>
              <w:rPr>
                <w:rFonts w:hint="eastAsia" w:ascii="宋体" w:hAnsi="宋体" w:cs="宋体"/>
                <w:kern w:val="0"/>
                <w:szCs w:val="21"/>
              </w:rPr>
              <w:t>4、油漆采用环保优质水性涂料，水性隐孔高光，双面涂饰。水性漆面漆、水性漆底漆甲醛含量≤25mg/kg，VOC含量≤20g/L。，对人体无任何伤害、无污染而且亮、哑层次分明，手感好；表面无颗粒、气泡、渣点；漆面硬度大且清晰。</w:t>
            </w:r>
            <w:r>
              <w:rPr>
                <w:rFonts w:hint="eastAsia" w:ascii="宋体" w:hAnsi="宋体" w:cs="宋体"/>
                <w:kern w:val="0"/>
                <w:szCs w:val="21"/>
              </w:rPr>
              <w:br w:type="page"/>
            </w:r>
            <w:r>
              <w:rPr>
                <w:rFonts w:hint="eastAsia" w:ascii="宋体" w:hAnsi="宋体" w:cs="宋体"/>
                <w:kern w:val="0"/>
                <w:szCs w:val="21"/>
              </w:rPr>
              <w:t>5、胶粘剂：采用优质白乳胶，游离甲醛未检出，总挥发性有机物≤70g/L。</w:t>
            </w:r>
            <w:r>
              <w:rPr>
                <w:rFonts w:hint="eastAsia" w:ascii="宋体" w:hAnsi="宋体" w:cs="宋体"/>
                <w:kern w:val="0"/>
                <w:szCs w:val="21"/>
              </w:rPr>
              <w:br w:type="page"/>
            </w:r>
            <w:r>
              <w:rPr>
                <w:rFonts w:hint="eastAsia" w:ascii="宋体" w:hAnsi="宋体" w:cs="宋体"/>
                <w:kern w:val="0"/>
                <w:szCs w:val="21"/>
              </w:rPr>
              <w:t>6、胶水：采用优质环保品牌绿色环保胶水。</w:t>
            </w:r>
            <w:r>
              <w:rPr>
                <w:rFonts w:hint="eastAsia" w:ascii="宋体" w:hAnsi="宋体" w:cs="宋体"/>
                <w:kern w:val="0"/>
                <w:szCs w:val="21"/>
              </w:rPr>
              <w:br w:type="page"/>
            </w:r>
            <w:r>
              <w:rPr>
                <w:rFonts w:hint="eastAsia" w:ascii="宋体" w:hAnsi="宋体" w:cs="宋体"/>
                <w:kern w:val="0"/>
                <w:szCs w:val="21"/>
              </w:rPr>
              <w:t>7、五金配件：采用优质品牌的门铰五金锁具，满足QB/T 2189-2013检测，要求耐久性达到8万次。</w:t>
            </w:r>
          </w:p>
        </w:tc>
        <w:tc>
          <w:tcPr>
            <w:tcW w:w="236" w:type="dxa"/>
            <w:noWrap w:val="0"/>
            <w:vAlign w:val="center"/>
          </w:tcPr>
          <w:p w14:paraId="38818A48">
            <w:pPr>
              <w:widowControl/>
              <w:jc w:val="left"/>
              <w:rPr>
                <w:rFonts w:ascii="宋体" w:hAnsi="宋体"/>
                <w:kern w:val="0"/>
                <w:szCs w:val="21"/>
              </w:rPr>
            </w:pPr>
          </w:p>
        </w:tc>
      </w:tr>
      <w:tr w14:paraId="69AB2467">
        <w:tblPrEx>
          <w:tblCellMar>
            <w:top w:w="0" w:type="dxa"/>
            <w:left w:w="108" w:type="dxa"/>
            <w:bottom w:w="0" w:type="dxa"/>
            <w:right w:w="108" w:type="dxa"/>
          </w:tblCellMar>
        </w:tblPrEx>
        <w:trPr>
          <w:gridAfter w:val="2"/>
          <w:wAfter w:w="13296" w:type="dxa"/>
          <w:trHeight w:val="20" w:hRule="atLeast"/>
        </w:trPr>
        <w:tc>
          <w:tcPr>
            <w:tcW w:w="635" w:type="dxa"/>
            <w:tcBorders>
              <w:top w:val="nil"/>
              <w:left w:val="single" w:color="auto" w:sz="4" w:space="0"/>
              <w:bottom w:val="single" w:color="auto" w:sz="4" w:space="0"/>
              <w:right w:val="single" w:color="auto" w:sz="4" w:space="0"/>
            </w:tcBorders>
            <w:noWrap/>
            <w:vAlign w:val="center"/>
          </w:tcPr>
          <w:p w14:paraId="6E86618D">
            <w:pPr>
              <w:widowControl/>
              <w:jc w:val="center"/>
              <w:rPr>
                <w:rFonts w:hint="eastAsia" w:ascii="宋体" w:hAnsi="宋体" w:cs="宋体"/>
                <w:kern w:val="0"/>
                <w:szCs w:val="21"/>
              </w:rPr>
            </w:pPr>
            <w:r>
              <w:rPr>
                <w:rFonts w:hint="eastAsia" w:ascii="宋体" w:hAnsi="宋体" w:cs="宋体"/>
                <w:kern w:val="0"/>
                <w:szCs w:val="21"/>
              </w:rPr>
              <w:t>17</w:t>
            </w:r>
          </w:p>
        </w:tc>
        <w:tc>
          <w:tcPr>
            <w:tcW w:w="1161" w:type="dxa"/>
            <w:tcBorders>
              <w:top w:val="nil"/>
              <w:left w:val="nil"/>
              <w:bottom w:val="single" w:color="auto" w:sz="4" w:space="0"/>
              <w:right w:val="single" w:color="auto" w:sz="4" w:space="0"/>
            </w:tcBorders>
            <w:noWrap w:val="0"/>
            <w:vAlign w:val="center"/>
          </w:tcPr>
          <w:p w14:paraId="29522439">
            <w:pPr>
              <w:widowControl/>
              <w:jc w:val="center"/>
              <w:rPr>
                <w:rFonts w:hint="eastAsia" w:ascii="宋体" w:hAnsi="宋体" w:cs="宋体"/>
                <w:kern w:val="0"/>
                <w:szCs w:val="21"/>
              </w:rPr>
            </w:pPr>
            <w:r>
              <w:rPr>
                <w:rFonts w:hint="eastAsia" w:ascii="宋体" w:hAnsi="宋体" w:cs="宋体"/>
                <w:kern w:val="0"/>
                <w:szCs w:val="21"/>
              </w:rPr>
              <w:t>设备柜</w:t>
            </w:r>
          </w:p>
        </w:tc>
        <w:tc>
          <w:tcPr>
            <w:tcW w:w="2315" w:type="dxa"/>
            <w:tcBorders>
              <w:top w:val="nil"/>
              <w:left w:val="nil"/>
              <w:bottom w:val="single" w:color="auto" w:sz="4" w:space="0"/>
              <w:right w:val="single" w:color="auto" w:sz="4" w:space="0"/>
            </w:tcBorders>
            <w:noWrap w:val="0"/>
            <w:vAlign w:val="center"/>
          </w:tcPr>
          <w:p w14:paraId="699165AA">
            <w:pPr>
              <w:widowControl/>
              <w:jc w:val="center"/>
              <w:rPr>
                <w:rFonts w:hint="eastAsia" w:ascii="宋体" w:hAnsi="宋体" w:cs="宋体"/>
                <w:kern w:val="0"/>
                <w:szCs w:val="21"/>
              </w:rPr>
            </w:pPr>
            <w:r>
              <w:rPr>
                <w:rFonts w:hint="eastAsia" w:ascii="宋体" w:hAnsi="宋体" w:cs="宋体"/>
                <w:kern w:val="0"/>
                <w:szCs w:val="21"/>
              </w:rPr>
              <w:t>900W*400D*1850H</w:t>
            </w:r>
          </w:p>
        </w:tc>
        <w:tc>
          <w:tcPr>
            <w:tcW w:w="2300" w:type="dxa"/>
            <w:tcBorders>
              <w:top w:val="nil"/>
              <w:left w:val="nil"/>
              <w:bottom w:val="single" w:color="auto" w:sz="4" w:space="0"/>
              <w:right w:val="single" w:color="auto" w:sz="4" w:space="0"/>
            </w:tcBorders>
            <w:noWrap/>
            <w:vAlign w:val="center"/>
          </w:tcPr>
          <w:p w14:paraId="6D654817">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fldChar w:fldCharType="begin"/>
            </w:r>
            <w:r>
              <w:rPr>
                <w:rFonts w:hint="eastAsia" w:ascii="微软雅黑" w:hAnsi="微软雅黑" w:eastAsia="微软雅黑" w:cs="微软雅黑"/>
                <w:color w:val="000000"/>
                <w:kern w:val="0"/>
                <w:sz w:val="22"/>
                <w:szCs w:val="22"/>
                <w:lang w:bidi="ar"/>
              </w:rPr>
              <w:instrText xml:space="preserve">INCLUDEPICTURE \d "C:\\Users\\ADMINI~1\\AppData\\Local\\Temp\\ksohtml\\clip_cell_image56.png" \* MERGEFORMATINET </w:instrText>
            </w:r>
            <w:r>
              <w:rPr>
                <w:rFonts w:hint="eastAsia" w:ascii="微软雅黑" w:hAnsi="微软雅黑" w:eastAsia="微软雅黑" w:cs="微软雅黑"/>
                <w:color w:val="000000"/>
                <w:kern w:val="0"/>
                <w:sz w:val="22"/>
                <w:szCs w:val="22"/>
                <w:lang w:bidi="ar"/>
              </w:rPr>
              <w:fldChar w:fldCharType="separate"/>
            </w:r>
            <w:r>
              <w:rPr>
                <w:rFonts w:hint="eastAsia" w:ascii="微软雅黑" w:hAnsi="微软雅黑" w:eastAsia="微软雅黑" w:cs="微软雅黑"/>
                <w:color w:val="000000"/>
                <w:kern w:val="0"/>
                <w:sz w:val="22"/>
                <w:szCs w:val="22"/>
                <w:lang w:bidi="ar"/>
              </w:rPr>
              <w:drawing>
                <wp:inline distT="0" distB="0" distL="114300" distR="114300">
                  <wp:extent cx="1233170" cy="1208405"/>
                  <wp:effectExtent l="0" t="0" r="5080" b="10795"/>
                  <wp:docPr id="19" name="图片 1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6" descr="IMG_256"/>
                          <pic:cNvPicPr>
                            <a:picLocks noChangeAspect="1"/>
                          </pic:cNvPicPr>
                        </pic:nvPicPr>
                        <pic:blipFill>
                          <a:blip r:embed="rId25"/>
                          <a:stretch>
                            <a:fillRect/>
                          </a:stretch>
                        </pic:blipFill>
                        <pic:spPr>
                          <a:xfrm flipH="1">
                            <a:off x="0" y="0"/>
                            <a:ext cx="1233170" cy="1208405"/>
                          </a:xfrm>
                          <a:prstGeom prst="rect">
                            <a:avLst/>
                          </a:prstGeom>
                          <a:noFill/>
                          <a:ln>
                            <a:noFill/>
                          </a:ln>
                        </pic:spPr>
                      </pic:pic>
                    </a:graphicData>
                  </a:graphic>
                </wp:inline>
              </w:drawing>
            </w:r>
            <w:r>
              <w:rPr>
                <w:rFonts w:hint="eastAsia" w:ascii="微软雅黑" w:hAnsi="微软雅黑" w:eastAsia="微软雅黑" w:cs="微软雅黑"/>
                <w:color w:val="000000"/>
                <w:kern w:val="0"/>
                <w:sz w:val="22"/>
                <w:szCs w:val="22"/>
                <w:lang w:bidi="ar"/>
              </w:rPr>
              <w:fldChar w:fldCharType="end"/>
            </w:r>
          </w:p>
        </w:tc>
        <w:tc>
          <w:tcPr>
            <w:tcW w:w="991" w:type="dxa"/>
            <w:tcBorders>
              <w:top w:val="nil"/>
              <w:left w:val="nil"/>
              <w:bottom w:val="single" w:color="auto" w:sz="4" w:space="0"/>
              <w:right w:val="single" w:color="auto" w:sz="4" w:space="0"/>
            </w:tcBorders>
            <w:noWrap/>
            <w:vAlign w:val="center"/>
          </w:tcPr>
          <w:p w14:paraId="1F9D24A8">
            <w:pPr>
              <w:widowControl/>
              <w:jc w:val="center"/>
              <w:rPr>
                <w:rFonts w:hint="eastAsia" w:ascii="宋体" w:hAnsi="宋体" w:cs="宋体"/>
                <w:kern w:val="0"/>
                <w:szCs w:val="21"/>
              </w:rPr>
            </w:pPr>
            <w:r>
              <w:rPr>
                <w:rFonts w:hint="eastAsia" w:ascii="宋体" w:hAnsi="宋体" w:cs="宋体"/>
                <w:kern w:val="0"/>
                <w:szCs w:val="21"/>
              </w:rPr>
              <w:t>套</w:t>
            </w:r>
          </w:p>
        </w:tc>
        <w:tc>
          <w:tcPr>
            <w:tcW w:w="659" w:type="dxa"/>
            <w:tcBorders>
              <w:top w:val="nil"/>
              <w:left w:val="nil"/>
              <w:bottom w:val="single" w:color="auto" w:sz="4" w:space="0"/>
              <w:right w:val="single" w:color="auto" w:sz="4" w:space="0"/>
            </w:tcBorders>
            <w:noWrap/>
            <w:vAlign w:val="center"/>
          </w:tcPr>
          <w:p w14:paraId="1F541002">
            <w:pPr>
              <w:widowControl/>
              <w:jc w:val="center"/>
              <w:rPr>
                <w:rFonts w:hint="eastAsia" w:ascii="宋体" w:hAnsi="宋体" w:cs="宋体"/>
                <w:kern w:val="0"/>
                <w:szCs w:val="21"/>
              </w:rPr>
            </w:pPr>
            <w:r>
              <w:rPr>
                <w:rFonts w:hint="eastAsia" w:ascii="宋体" w:hAnsi="宋体" w:cs="宋体"/>
                <w:kern w:val="0"/>
                <w:szCs w:val="21"/>
              </w:rPr>
              <w:t>3</w:t>
            </w:r>
          </w:p>
        </w:tc>
        <w:tc>
          <w:tcPr>
            <w:tcW w:w="6256" w:type="dxa"/>
            <w:tcBorders>
              <w:top w:val="nil"/>
              <w:left w:val="nil"/>
              <w:bottom w:val="single" w:color="auto" w:sz="4" w:space="0"/>
              <w:right w:val="single" w:color="auto" w:sz="4" w:space="0"/>
            </w:tcBorders>
            <w:noWrap w:val="0"/>
            <w:vAlign w:val="center"/>
          </w:tcPr>
          <w:p w14:paraId="02A38DB3">
            <w:pPr>
              <w:widowControl/>
              <w:jc w:val="left"/>
              <w:rPr>
                <w:rFonts w:hint="eastAsia" w:ascii="宋体" w:hAnsi="宋体" w:cs="宋体"/>
                <w:kern w:val="0"/>
                <w:szCs w:val="21"/>
              </w:rPr>
            </w:pPr>
            <w:r>
              <w:rPr>
                <w:rFonts w:hint="eastAsia" w:ascii="宋体" w:hAnsi="宋体" w:cs="宋体"/>
                <w:kern w:val="0"/>
                <w:szCs w:val="21"/>
              </w:rPr>
              <w:t>基材：采用优质一级冷轧钢板厚度≥1.0mm（钢板：符合GB/T 5213-2008冷轧低碳钢板及钢带其力学性能符合GB/T700标准）。表面涂饰：部件进入大型喷涂生产线时，先经酸洗去锈、热水漂洗、清水漂洗，脱脂去油、二道清水漂洗、再浸入磷化槽中表面钝化处理、清水漂洗、热水漂洗、烘干预热后、采用优质环氧树脂进行表面喷涂处理；符合GB/T19356标准。</w:t>
            </w:r>
            <w:r>
              <w:rPr>
                <w:rFonts w:hint="eastAsia" w:ascii="宋体" w:hAnsi="宋体" w:cs="宋体"/>
                <w:kern w:val="0"/>
                <w:szCs w:val="21"/>
              </w:rPr>
              <w:br w:type="textWrapping"/>
            </w:r>
            <w:r>
              <w:rPr>
                <w:rFonts w:hint="eastAsia" w:ascii="宋体" w:hAnsi="宋体" w:cs="宋体"/>
                <w:kern w:val="0"/>
                <w:szCs w:val="21"/>
              </w:rPr>
              <w:t xml:space="preserve"> 拉手：一次成型内嵌抠手；                                   </w:t>
            </w:r>
            <w:r>
              <w:rPr>
                <w:rFonts w:hint="eastAsia" w:ascii="宋体" w:hAnsi="宋体" w:cs="宋体"/>
                <w:kern w:val="0"/>
                <w:szCs w:val="21"/>
              </w:rPr>
              <w:br w:type="textWrapping"/>
            </w:r>
            <w:r>
              <w:rPr>
                <w:rFonts w:hint="eastAsia" w:ascii="宋体" w:hAnsi="宋体" w:cs="宋体"/>
                <w:kern w:val="0"/>
                <w:szCs w:val="21"/>
              </w:rPr>
              <w:t>锁具：锌合金压铸锁芯表面镀鉻，锁头不锈钢包边处理；配备管理钥匙。</w:t>
            </w:r>
            <w:r>
              <w:rPr>
                <w:rFonts w:hint="eastAsia" w:ascii="宋体" w:hAnsi="宋体" w:cs="宋体"/>
                <w:kern w:val="0"/>
                <w:szCs w:val="21"/>
              </w:rPr>
              <w:br w:type="textWrapping"/>
            </w:r>
            <w:r>
              <w:rPr>
                <w:rFonts w:hint="eastAsia" w:ascii="宋体" w:hAnsi="宋体" w:cs="宋体"/>
                <w:kern w:val="0"/>
                <w:szCs w:val="21"/>
              </w:rPr>
              <w:t xml:space="preserve">包装：纸箱包装。  结构：整装，上大下小，上部玻璃门内两块可调隔板，下部内一块可调隔板。                                              </w:t>
            </w:r>
          </w:p>
        </w:tc>
        <w:tc>
          <w:tcPr>
            <w:tcW w:w="236" w:type="dxa"/>
            <w:noWrap w:val="0"/>
            <w:vAlign w:val="center"/>
          </w:tcPr>
          <w:p w14:paraId="64ADC86E">
            <w:pPr>
              <w:widowControl/>
              <w:jc w:val="left"/>
              <w:rPr>
                <w:rFonts w:ascii="宋体" w:hAnsi="宋体"/>
                <w:kern w:val="0"/>
                <w:szCs w:val="21"/>
              </w:rPr>
            </w:pPr>
          </w:p>
        </w:tc>
      </w:tr>
      <w:tr w14:paraId="4370E87C">
        <w:tblPrEx>
          <w:tblCellMar>
            <w:top w:w="0" w:type="dxa"/>
            <w:left w:w="108" w:type="dxa"/>
            <w:bottom w:w="0" w:type="dxa"/>
            <w:right w:w="108" w:type="dxa"/>
          </w:tblCellMar>
        </w:tblPrEx>
        <w:trPr>
          <w:gridAfter w:val="2"/>
          <w:wAfter w:w="13296" w:type="dxa"/>
          <w:trHeight w:val="20" w:hRule="atLeast"/>
        </w:trPr>
        <w:tc>
          <w:tcPr>
            <w:tcW w:w="635" w:type="dxa"/>
            <w:tcBorders>
              <w:top w:val="nil"/>
              <w:left w:val="single" w:color="auto" w:sz="4" w:space="0"/>
              <w:bottom w:val="single" w:color="auto" w:sz="4" w:space="0"/>
              <w:right w:val="single" w:color="auto" w:sz="4" w:space="0"/>
            </w:tcBorders>
            <w:noWrap/>
            <w:vAlign w:val="center"/>
          </w:tcPr>
          <w:p w14:paraId="2F3AE426">
            <w:pPr>
              <w:widowControl/>
              <w:jc w:val="center"/>
              <w:rPr>
                <w:rFonts w:hint="eastAsia" w:ascii="宋体" w:hAnsi="宋体" w:cs="宋体"/>
                <w:kern w:val="0"/>
                <w:szCs w:val="21"/>
              </w:rPr>
            </w:pPr>
            <w:r>
              <w:rPr>
                <w:rFonts w:hint="eastAsia" w:ascii="宋体" w:hAnsi="宋体" w:cs="宋体"/>
                <w:kern w:val="0"/>
                <w:szCs w:val="21"/>
              </w:rPr>
              <w:t>18</w:t>
            </w:r>
          </w:p>
        </w:tc>
        <w:tc>
          <w:tcPr>
            <w:tcW w:w="1161" w:type="dxa"/>
            <w:tcBorders>
              <w:top w:val="nil"/>
              <w:left w:val="nil"/>
              <w:bottom w:val="single" w:color="auto" w:sz="4" w:space="0"/>
              <w:right w:val="single" w:color="auto" w:sz="4" w:space="0"/>
            </w:tcBorders>
            <w:noWrap w:val="0"/>
            <w:vAlign w:val="center"/>
          </w:tcPr>
          <w:p w14:paraId="7A8D5BE7">
            <w:pPr>
              <w:widowControl/>
              <w:jc w:val="center"/>
              <w:rPr>
                <w:rFonts w:hint="eastAsia" w:ascii="宋体" w:hAnsi="宋体" w:cs="宋体"/>
                <w:kern w:val="0"/>
                <w:szCs w:val="21"/>
              </w:rPr>
            </w:pPr>
            <w:r>
              <w:rPr>
                <w:rFonts w:hint="eastAsia" w:ascii="宋体" w:hAnsi="宋体" w:cs="宋体"/>
                <w:kern w:val="0"/>
                <w:szCs w:val="21"/>
              </w:rPr>
              <w:t>设备柜</w:t>
            </w:r>
          </w:p>
        </w:tc>
        <w:tc>
          <w:tcPr>
            <w:tcW w:w="2315" w:type="dxa"/>
            <w:tcBorders>
              <w:top w:val="nil"/>
              <w:left w:val="nil"/>
              <w:bottom w:val="single" w:color="auto" w:sz="4" w:space="0"/>
              <w:right w:val="single" w:color="auto" w:sz="4" w:space="0"/>
            </w:tcBorders>
            <w:noWrap w:val="0"/>
            <w:vAlign w:val="center"/>
          </w:tcPr>
          <w:p w14:paraId="1B12674E">
            <w:pPr>
              <w:widowControl/>
              <w:jc w:val="center"/>
              <w:rPr>
                <w:rFonts w:hint="eastAsia" w:ascii="宋体" w:hAnsi="宋体" w:cs="宋体"/>
                <w:kern w:val="0"/>
                <w:szCs w:val="21"/>
              </w:rPr>
            </w:pPr>
            <w:r>
              <w:rPr>
                <w:rFonts w:hint="eastAsia" w:ascii="宋体" w:hAnsi="宋体" w:cs="宋体"/>
                <w:kern w:val="0"/>
                <w:szCs w:val="21"/>
              </w:rPr>
              <w:t>1020W*400D*1850H</w:t>
            </w:r>
          </w:p>
        </w:tc>
        <w:tc>
          <w:tcPr>
            <w:tcW w:w="2300" w:type="dxa"/>
            <w:tcBorders>
              <w:top w:val="nil"/>
              <w:left w:val="nil"/>
              <w:bottom w:val="single" w:color="auto" w:sz="4" w:space="0"/>
              <w:right w:val="single" w:color="auto" w:sz="4" w:space="0"/>
            </w:tcBorders>
            <w:noWrap/>
            <w:vAlign w:val="center"/>
          </w:tcPr>
          <w:p w14:paraId="717365F5">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fldChar w:fldCharType="begin"/>
            </w:r>
            <w:r>
              <w:rPr>
                <w:rFonts w:hint="eastAsia" w:ascii="微软雅黑" w:hAnsi="微软雅黑" w:eastAsia="微软雅黑" w:cs="微软雅黑"/>
                <w:color w:val="000000"/>
                <w:kern w:val="0"/>
                <w:sz w:val="22"/>
                <w:szCs w:val="22"/>
                <w:lang w:bidi="ar"/>
              </w:rPr>
              <w:instrText xml:space="preserve">INCLUDEPICTURE \d "C:\\Users\\ADMINI~1\\AppData\\Local\\Temp\\ksohtml\\clip_cell_image57.png" \* MERGEFORMATINET </w:instrText>
            </w:r>
            <w:r>
              <w:rPr>
                <w:rFonts w:hint="eastAsia" w:ascii="微软雅黑" w:hAnsi="微软雅黑" w:eastAsia="微软雅黑" w:cs="微软雅黑"/>
                <w:color w:val="000000"/>
                <w:kern w:val="0"/>
                <w:sz w:val="22"/>
                <w:szCs w:val="22"/>
                <w:lang w:bidi="ar"/>
              </w:rPr>
              <w:fldChar w:fldCharType="separate"/>
            </w:r>
            <w:r>
              <w:rPr>
                <w:rFonts w:hint="eastAsia" w:ascii="微软雅黑" w:hAnsi="微软雅黑" w:eastAsia="微软雅黑" w:cs="微软雅黑"/>
                <w:color w:val="000000"/>
                <w:kern w:val="0"/>
                <w:sz w:val="22"/>
                <w:szCs w:val="22"/>
                <w:lang w:bidi="ar"/>
              </w:rPr>
              <w:drawing>
                <wp:inline distT="0" distB="0" distL="114300" distR="114300">
                  <wp:extent cx="1216660" cy="1188720"/>
                  <wp:effectExtent l="0" t="0" r="2540" b="11430"/>
                  <wp:docPr id="18" name="图片 1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descr="IMG_256"/>
                          <pic:cNvPicPr>
                            <a:picLocks noChangeAspect="1"/>
                          </pic:cNvPicPr>
                        </pic:nvPicPr>
                        <pic:blipFill>
                          <a:blip r:embed="rId26"/>
                          <a:stretch>
                            <a:fillRect/>
                          </a:stretch>
                        </pic:blipFill>
                        <pic:spPr>
                          <a:xfrm>
                            <a:off x="0" y="0"/>
                            <a:ext cx="1216660" cy="1188720"/>
                          </a:xfrm>
                          <a:prstGeom prst="rect">
                            <a:avLst/>
                          </a:prstGeom>
                          <a:noFill/>
                          <a:ln>
                            <a:noFill/>
                          </a:ln>
                        </pic:spPr>
                      </pic:pic>
                    </a:graphicData>
                  </a:graphic>
                </wp:inline>
              </w:drawing>
            </w:r>
            <w:r>
              <w:rPr>
                <w:rFonts w:hint="eastAsia" w:ascii="微软雅黑" w:hAnsi="微软雅黑" w:eastAsia="微软雅黑" w:cs="微软雅黑"/>
                <w:color w:val="000000"/>
                <w:kern w:val="0"/>
                <w:sz w:val="22"/>
                <w:szCs w:val="22"/>
                <w:lang w:bidi="ar"/>
              </w:rPr>
              <w:fldChar w:fldCharType="end"/>
            </w:r>
          </w:p>
        </w:tc>
        <w:tc>
          <w:tcPr>
            <w:tcW w:w="991" w:type="dxa"/>
            <w:tcBorders>
              <w:top w:val="nil"/>
              <w:left w:val="nil"/>
              <w:bottom w:val="single" w:color="auto" w:sz="4" w:space="0"/>
              <w:right w:val="single" w:color="auto" w:sz="4" w:space="0"/>
            </w:tcBorders>
            <w:noWrap/>
            <w:vAlign w:val="center"/>
          </w:tcPr>
          <w:p w14:paraId="1715BDC9">
            <w:pPr>
              <w:widowControl/>
              <w:jc w:val="center"/>
              <w:rPr>
                <w:rFonts w:hint="eastAsia" w:ascii="宋体" w:hAnsi="宋体" w:cs="宋体"/>
                <w:kern w:val="0"/>
                <w:szCs w:val="21"/>
              </w:rPr>
            </w:pPr>
            <w:r>
              <w:rPr>
                <w:rFonts w:hint="eastAsia" w:ascii="宋体" w:hAnsi="宋体" w:cs="宋体"/>
                <w:kern w:val="0"/>
                <w:szCs w:val="21"/>
              </w:rPr>
              <w:t>套</w:t>
            </w:r>
          </w:p>
        </w:tc>
        <w:tc>
          <w:tcPr>
            <w:tcW w:w="659" w:type="dxa"/>
            <w:tcBorders>
              <w:top w:val="nil"/>
              <w:left w:val="nil"/>
              <w:bottom w:val="single" w:color="auto" w:sz="4" w:space="0"/>
              <w:right w:val="single" w:color="auto" w:sz="4" w:space="0"/>
            </w:tcBorders>
            <w:noWrap/>
            <w:vAlign w:val="center"/>
          </w:tcPr>
          <w:p w14:paraId="2AF29AF2">
            <w:pPr>
              <w:widowControl/>
              <w:jc w:val="center"/>
              <w:rPr>
                <w:rFonts w:hint="eastAsia" w:ascii="宋体" w:hAnsi="宋体" w:cs="宋体"/>
                <w:kern w:val="0"/>
                <w:szCs w:val="21"/>
              </w:rPr>
            </w:pPr>
            <w:r>
              <w:rPr>
                <w:rFonts w:hint="eastAsia" w:ascii="宋体" w:hAnsi="宋体" w:cs="宋体"/>
                <w:kern w:val="0"/>
                <w:szCs w:val="21"/>
              </w:rPr>
              <w:t>1</w:t>
            </w:r>
          </w:p>
        </w:tc>
        <w:tc>
          <w:tcPr>
            <w:tcW w:w="6256" w:type="dxa"/>
            <w:tcBorders>
              <w:top w:val="nil"/>
              <w:left w:val="nil"/>
              <w:bottom w:val="single" w:color="auto" w:sz="4" w:space="0"/>
              <w:right w:val="single" w:color="auto" w:sz="4" w:space="0"/>
            </w:tcBorders>
            <w:noWrap w:val="0"/>
            <w:vAlign w:val="center"/>
          </w:tcPr>
          <w:p w14:paraId="44A8CF49">
            <w:pPr>
              <w:widowControl/>
              <w:jc w:val="left"/>
              <w:rPr>
                <w:rFonts w:hint="eastAsia" w:ascii="宋体" w:hAnsi="宋体" w:cs="宋体"/>
                <w:kern w:val="0"/>
                <w:szCs w:val="21"/>
              </w:rPr>
            </w:pPr>
            <w:r>
              <w:rPr>
                <w:rFonts w:hint="eastAsia" w:ascii="宋体" w:hAnsi="宋体" w:cs="宋体"/>
                <w:kern w:val="0"/>
                <w:szCs w:val="21"/>
              </w:rPr>
              <w:t>基材：采用优质一级冷轧钢板厚度≥1.0mm（钢板：符合GB/T 5213-2008冷轧低碳钢板及钢带其力学性能符合GB/T700标准）。表面涂饰：部件进入大型喷涂生产线时，先经酸洗去锈、热水漂洗、清水漂洗，脱脂去油、二道清水漂洗、再浸入磷化槽中表面钝化处理、清水漂洗、热水漂洗、烘干预热后、采用优质环氧树脂进行表面喷涂处理；符合GB/T19356标准。</w:t>
            </w:r>
            <w:r>
              <w:rPr>
                <w:rFonts w:hint="eastAsia" w:ascii="宋体" w:hAnsi="宋体" w:cs="宋体"/>
                <w:kern w:val="0"/>
                <w:szCs w:val="21"/>
              </w:rPr>
              <w:br w:type="page"/>
            </w:r>
            <w:r>
              <w:rPr>
                <w:rFonts w:hint="eastAsia" w:ascii="宋体" w:hAnsi="宋体" w:cs="宋体"/>
                <w:kern w:val="0"/>
                <w:szCs w:val="21"/>
              </w:rPr>
              <w:t xml:space="preserve"> 拉手：一次成型内嵌抠手；                                   </w:t>
            </w:r>
            <w:r>
              <w:rPr>
                <w:rFonts w:hint="eastAsia" w:ascii="宋体" w:hAnsi="宋体" w:cs="宋体"/>
                <w:kern w:val="0"/>
                <w:szCs w:val="21"/>
              </w:rPr>
              <w:br w:type="page"/>
            </w:r>
            <w:r>
              <w:rPr>
                <w:rFonts w:hint="eastAsia" w:ascii="宋体" w:hAnsi="宋体" w:cs="宋体"/>
                <w:kern w:val="0"/>
                <w:szCs w:val="21"/>
              </w:rPr>
              <w:t>锁具：锌合金压铸锁芯表面镀鉻，锁头不锈钢包边处理；配备管理钥匙。</w:t>
            </w:r>
            <w:r>
              <w:rPr>
                <w:rFonts w:hint="eastAsia" w:ascii="宋体" w:hAnsi="宋体" w:cs="宋体"/>
                <w:kern w:val="0"/>
                <w:szCs w:val="21"/>
              </w:rPr>
              <w:br w:type="page"/>
            </w:r>
            <w:r>
              <w:rPr>
                <w:rFonts w:hint="eastAsia" w:ascii="宋体" w:hAnsi="宋体" w:cs="宋体"/>
                <w:kern w:val="0"/>
                <w:szCs w:val="21"/>
              </w:rPr>
              <w:t xml:space="preserve">包装：纸箱包装。  结构：整装，上大下小，上部玻璃门内两块可调隔板，下部内一块可调隔板。                                              </w:t>
            </w:r>
          </w:p>
        </w:tc>
        <w:tc>
          <w:tcPr>
            <w:tcW w:w="236" w:type="dxa"/>
            <w:noWrap w:val="0"/>
            <w:vAlign w:val="center"/>
          </w:tcPr>
          <w:p w14:paraId="2533E261">
            <w:pPr>
              <w:widowControl/>
              <w:jc w:val="left"/>
              <w:rPr>
                <w:rFonts w:ascii="宋体" w:hAnsi="宋体"/>
                <w:kern w:val="0"/>
                <w:szCs w:val="21"/>
              </w:rPr>
            </w:pPr>
          </w:p>
        </w:tc>
      </w:tr>
      <w:tr w14:paraId="3D9D144F">
        <w:tblPrEx>
          <w:tblCellMar>
            <w:top w:w="0" w:type="dxa"/>
            <w:left w:w="108" w:type="dxa"/>
            <w:bottom w:w="0" w:type="dxa"/>
            <w:right w:w="108" w:type="dxa"/>
          </w:tblCellMar>
        </w:tblPrEx>
        <w:trPr>
          <w:gridAfter w:val="2"/>
          <w:wAfter w:w="13296" w:type="dxa"/>
          <w:trHeight w:val="20" w:hRule="atLeast"/>
        </w:trPr>
        <w:tc>
          <w:tcPr>
            <w:tcW w:w="635" w:type="dxa"/>
            <w:tcBorders>
              <w:top w:val="nil"/>
              <w:left w:val="single" w:color="auto" w:sz="4" w:space="0"/>
              <w:bottom w:val="single" w:color="auto" w:sz="4" w:space="0"/>
              <w:right w:val="single" w:color="auto" w:sz="4" w:space="0"/>
            </w:tcBorders>
            <w:noWrap/>
            <w:vAlign w:val="center"/>
          </w:tcPr>
          <w:p w14:paraId="72C05E5E">
            <w:pPr>
              <w:widowControl/>
              <w:jc w:val="center"/>
              <w:rPr>
                <w:rFonts w:hint="eastAsia" w:ascii="宋体" w:hAnsi="宋体" w:cs="宋体"/>
                <w:kern w:val="0"/>
                <w:szCs w:val="21"/>
              </w:rPr>
            </w:pPr>
            <w:r>
              <w:rPr>
                <w:rFonts w:hint="eastAsia" w:ascii="宋体" w:hAnsi="宋体" w:cs="宋体"/>
                <w:kern w:val="0"/>
                <w:szCs w:val="21"/>
              </w:rPr>
              <w:t>19</w:t>
            </w:r>
          </w:p>
        </w:tc>
        <w:tc>
          <w:tcPr>
            <w:tcW w:w="1161" w:type="dxa"/>
            <w:tcBorders>
              <w:top w:val="nil"/>
              <w:left w:val="nil"/>
              <w:bottom w:val="single" w:color="auto" w:sz="4" w:space="0"/>
              <w:right w:val="single" w:color="auto" w:sz="4" w:space="0"/>
            </w:tcBorders>
            <w:noWrap w:val="0"/>
            <w:vAlign w:val="center"/>
          </w:tcPr>
          <w:p w14:paraId="08A9A4DC">
            <w:pPr>
              <w:widowControl/>
              <w:jc w:val="center"/>
              <w:rPr>
                <w:rFonts w:hint="eastAsia" w:ascii="宋体" w:hAnsi="宋体" w:cs="宋体"/>
                <w:kern w:val="0"/>
                <w:szCs w:val="21"/>
              </w:rPr>
            </w:pPr>
            <w:r>
              <w:rPr>
                <w:rFonts w:hint="eastAsia" w:ascii="宋体" w:hAnsi="宋体" w:cs="宋体"/>
                <w:kern w:val="0"/>
                <w:szCs w:val="21"/>
              </w:rPr>
              <w:t>设备柜</w:t>
            </w:r>
          </w:p>
        </w:tc>
        <w:tc>
          <w:tcPr>
            <w:tcW w:w="2315" w:type="dxa"/>
            <w:tcBorders>
              <w:top w:val="nil"/>
              <w:left w:val="nil"/>
              <w:bottom w:val="single" w:color="auto" w:sz="4" w:space="0"/>
              <w:right w:val="single" w:color="auto" w:sz="4" w:space="0"/>
            </w:tcBorders>
            <w:noWrap w:val="0"/>
            <w:vAlign w:val="center"/>
          </w:tcPr>
          <w:p w14:paraId="06A54F32">
            <w:pPr>
              <w:widowControl/>
              <w:jc w:val="center"/>
              <w:rPr>
                <w:rFonts w:hint="eastAsia" w:ascii="宋体" w:hAnsi="宋体" w:cs="宋体"/>
                <w:kern w:val="0"/>
                <w:szCs w:val="21"/>
              </w:rPr>
            </w:pPr>
            <w:r>
              <w:rPr>
                <w:rFonts w:hint="eastAsia" w:ascii="宋体" w:hAnsi="宋体" w:cs="宋体"/>
                <w:kern w:val="0"/>
                <w:szCs w:val="21"/>
              </w:rPr>
              <w:t>1150W*400D*1850H</w:t>
            </w:r>
          </w:p>
        </w:tc>
        <w:tc>
          <w:tcPr>
            <w:tcW w:w="2300" w:type="dxa"/>
            <w:tcBorders>
              <w:top w:val="nil"/>
              <w:left w:val="nil"/>
              <w:bottom w:val="single" w:color="auto" w:sz="4" w:space="0"/>
              <w:right w:val="single" w:color="auto" w:sz="4" w:space="0"/>
            </w:tcBorders>
            <w:noWrap/>
            <w:vAlign w:val="center"/>
          </w:tcPr>
          <w:p w14:paraId="316F3E68">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fldChar w:fldCharType="begin"/>
            </w:r>
            <w:r>
              <w:rPr>
                <w:rFonts w:hint="eastAsia" w:ascii="微软雅黑" w:hAnsi="微软雅黑" w:eastAsia="微软雅黑" w:cs="微软雅黑"/>
                <w:color w:val="000000"/>
                <w:kern w:val="0"/>
                <w:sz w:val="22"/>
                <w:szCs w:val="22"/>
                <w:lang w:bidi="ar"/>
              </w:rPr>
              <w:instrText xml:space="preserve">INCLUDEPICTURE \d "C:\\Users\\ADMINI~1\\AppData\\Local\\Temp\\ksohtml\\clip_cell_image58.png" \* MERGEFORMATINET </w:instrText>
            </w:r>
            <w:r>
              <w:rPr>
                <w:rFonts w:hint="eastAsia" w:ascii="微软雅黑" w:hAnsi="微软雅黑" w:eastAsia="微软雅黑" w:cs="微软雅黑"/>
                <w:color w:val="000000"/>
                <w:kern w:val="0"/>
                <w:sz w:val="22"/>
                <w:szCs w:val="22"/>
                <w:lang w:bidi="ar"/>
              </w:rPr>
              <w:fldChar w:fldCharType="separate"/>
            </w:r>
            <w:r>
              <w:rPr>
                <w:rFonts w:hint="eastAsia" w:ascii="微软雅黑" w:hAnsi="微软雅黑" w:eastAsia="微软雅黑" w:cs="微软雅黑"/>
                <w:color w:val="000000"/>
                <w:kern w:val="0"/>
                <w:sz w:val="22"/>
                <w:szCs w:val="22"/>
                <w:lang w:bidi="ar"/>
              </w:rPr>
              <w:drawing>
                <wp:inline distT="0" distB="0" distL="114300" distR="114300">
                  <wp:extent cx="1165225" cy="1170305"/>
                  <wp:effectExtent l="0" t="0" r="15875" b="10795"/>
                  <wp:docPr id="21" name="图片 1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8" descr="IMG_256"/>
                          <pic:cNvPicPr>
                            <a:picLocks noChangeAspect="1"/>
                          </pic:cNvPicPr>
                        </pic:nvPicPr>
                        <pic:blipFill>
                          <a:blip r:embed="rId27"/>
                          <a:stretch>
                            <a:fillRect/>
                          </a:stretch>
                        </pic:blipFill>
                        <pic:spPr>
                          <a:xfrm>
                            <a:off x="0" y="0"/>
                            <a:ext cx="1165225" cy="1170305"/>
                          </a:xfrm>
                          <a:prstGeom prst="rect">
                            <a:avLst/>
                          </a:prstGeom>
                          <a:noFill/>
                          <a:ln>
                            <a:noFill/>
                          </a:ln>
                        </pic:spPr>
                      </pic:pic>
                    </a:graphicData>
                  </a:graphic>
                </wp:inline>
              </w:drawing>
            </w:r>
            <w:r>
              <w:rPr>
                <w:rFonts w:hint="eastAsia" w:ascii="微软雅黑" w:hAnsi="微软雅黑" w:eastAsia="微软雅黑" w:cs="微软雅黑"/>
                <w:color w:val="000000"/>
                <w:kern w:val="0"/>
                <w:sz w:val="22"/>
                <w:szCs w:val="22"/>
                <w:lang w:bidi="ar"/>
              </w:rPr>
              <w:fldChar w:fldCharType="end"/>
            </w:r>
          </w:p>
        </w:tc>
        <w:tc>
          <w:tcPr>
            <w:tcW w:w="991" w:type="dxa"/>
            <w:tcBorders>
              <w:top w:val="nil"/>
              <w:left w:val="nil"/>
              <w:bottom w:val="single" w:color="auto" w:sz="4" w:space="0"/>
              <w:right w:val="single" w:color="auto" w:sz="4" w:space="0"/>
            </w:tcBorders>
            <w:noWrap/>
            <w:vAlign w:val="center"/>
          </w:tcPr>
          <w:p w14:paraId="387A8237">
            <w:pPr>
              <w:widowControl/>
              <w:jc w:val="center"/>
              <w:rPr>
                <w:rFonts w:hint="eastAsia" w:ascii="宋体" w:hAnsi="宋体" w:cs="宋体"/>
                <w:kern w:val="0"/>
                <w:szCs w:val="21"/>
              </w:rPr>
            </w:pPr>
            <w:r>
              <w:rPr>
                <w:rFonts w:hint="eastAsia" w:ascii="宋体" w:hAnsi="宋体" w:cs="宋体"/>
                <w:kern w:val="0"/>
                <w:szCs w:val="21"/>
              </w:rPr>
              <w:t>套</w:t>
            </w:r>
          </w:p>
        </w:tc>
        <w:tc>
          <w:tcPr>
            <w:tcW w:w="659" w:type="dxa"/>
            <w:tcBorders>
              <w:top w:val="nil"/>
              <w:left w:val="nil"/>
              <w:bottom w:val="single" w:color="auto" w:sz="4" w:space="0"/>
              <w:right w:val="single" w:color="auto" w:sz="4" w:space="0"/>
            </w:tcBorders>
            <w:noWrap/>
            <w:vAlign w:val="center"/>
          </w:tcPr>
          <w:p w14:paraId="70EC7414">
            <w:pPr>
              <w:widowControl/>
              <w:jc w:val="center"/>
              <w:rPr>
                <w:rFonts w:hint="eastAsia" w:ascii="宋体" w:hAnsi="宋体" w:cs="宋体"/>
                <w:kern w:val="0"/>
                <w:szCs w:val="21"/>
              </w:rPr>
            </w:pPr>
            <w:r>
              <w:rPr>
                <w:rFonts w:hint="eastAsia" w:ascii="宋体" w:hAnsi="宋体" w:cs="宋体"/>
                <w:kern w:val="0"/>
                <w:szCs w:val="21"/>
              </w:rPr>
              <w:t>2</w:t>
            </w:r>
          </w:p>
        </w:tc>
        <w:tc>
          <w:tcPr>
            <w:tcW w:w="6256" w:type="dxa"/>
            <w:tcBorders>
              <w:top w:val="nil"/>
              <w:left w:val="nil"/>
              <w:bottom w:val="single" w:color="auto" w:sz="4" w:space="0"/>
              <w:right w:val="single" w:color="auto" w:sz="4" w:space="0"/>
            </w:tcBorders>
            <w:noWrap w:val="0"/>
            <w:vAlign w:val="center"/>
          </w:tcPr>
          <w:p w14:paraId="340B2917">
            <w:pPr>
              <w:widowControl/>
              <w:jc w:val="left"/>
              <w:rPr>
                <w:rFonts w:hint="eastAsia" w:ascii="宋体" w:hAnsi="宋体" w:cs="宋体"/>
                <w:kern w:val="0"/>
                <w:szCs w:val="21"/>
              </w:rPr>
            </w:pPr>
            <w:r>
              <w:rPr>
                <w:rFonts w:hint="eastAsia" w:ascii="宋体" w:hAnsi="宋体" w:cs="宋体"/>
                <w:kern w:val="0"/>
                <w:szCs w:val="21"/>
              </w:rPr>
              <w:t>基材：采用优质一级冷轧钢板厚度≥1.0mm（钢板：符合GB/T 5213-2008冷轧低碳钢板及钢带其力学性能符合GB/T700标准）。表面涂饰：部件进入大型喷涂生产线时，先经酸洗去锈、热水漂洗、清水漂洗，脱脂去油、二道清水漂洗、再浸入磷化槽中表面钝化处理、清水漂洗、热水漂洗、烘干预热后、采用优质环氧树脂进行表面喷涂处理；符合GB/T19356标准。</w:t>
            </w:r>
            <w:r>
              <w:rPr>
                <w:rFonts w:hint="eastAsia" w:ascii="宋体" w:hAnsi="宋体" w:cs="宋体"/>
                <w:kern w:val="0"/>
                <w:szCs w:val="21"/>
              </w:rPr>
              <w:br w:type="textWrapping"/>
            </w:r>
            <w:r>
              <w:rPr>
                <w:rFonts w:hint="eastAsia" w:ascii="宋体" w:hAnsi="宋体" w:cs="宋体"/>
                <w:kern w:val="0"/>
                <w:szCs w:val="21"/>
              </w:rPr>
              <w:t xml:space="preserve"> 拉手：一次成型内嵌抠手；                                   </w:t>
            </w:r>
            <w:r>
              <w:rPr>
                <w:rFonts w:hint="eastAsia" w:ascii="宋体" w:hAnsi="宋体" w:cs="宋体"/>
                <w:kern w:val="0"/>
                <w:szCs w:val="21"/>
              </w:rPr>
              <w:br w:type="textWrapping"/>
            </w:r>
            <w:r>
              <w:rPr>
                <w:rFonts w:hint="eastAsia" w:ascii="宋体" w:hAnsi="宋体" w:cs="宋体"/>
                <w:kern w:val="0"/>
                <w:szCs w:val="21"/>
              </w:rPr>
              <w:t>锁具：锌合金压铸锁芯表面镀鉻，锁头不锈钢包边处理；配备管理钥匙。</w:t>
            </w:r>
            <w:r>
              <w:rPr>
                <w:rFonts w:hint="eastAsia" w:ascii="宋体" w:hAnsi="宋体" w:cs="宋体"/>
                <w:kern w:val="0"/>
                <w:szCs w:val="21"/>
              </w:rPr>
              <w:br w:type="textWrapping"/>
            </w:r>
            <w:r>
              <w:rPr>
                <w:rFonts w:hint="eastAsia" w:ascii="宋体" w:hAnsi="宋体" w:cs="宋体"/>
                <w:kern w:val="0"/>
                <w:szCs w:val="21"/>
              </w:rPr>
              <w:t>结构：整装，左侧玻璃门文件柜，右侧单门更衣柜，衣柜门内半身穿衣镜及便捷挂钩。</w:t>
            </w:r>
          </w:p>
        </w:tc>
        <w:tc>
          <w:tcPr>
            <w:tcW w:w="236" w:type="dxa"/>
            <w:noWrap w:val="0"/>
            <w:vAlign w:val="center"/>
          </w:tcPr>
          <w:p w14:paraId="071BD7F5">
            <w:pPr>
              <w:widowControl/>
              <w:jc w:val="left"/>
              <w:rPr>
                <w:rFonts w:ascii="宋体" w:hAnsi="宋体"/>
                <w:kern w:val="0"/>
                <w:szCs w:val="21"/>
              </w:rPr>
            </w:pPr>
          </w:p>
        </w:tc>
      </w:tr>
      <w:tr w14:paraId="117C792E">
        <w:tblPrEx>
          <w:tblCellMar>
            <w:top w:w="0" w:type="dxa"/>
            <w:left w:w="108" w:type="dxa"/>
            <w:bottom w:w="0" w:type="dxa"/>
            <w:right w:w="108" w:type="dxa"/>
          </w:tblCellMar>
        </w:tblPrEx>
        <w:trPr>
          <w:gridAfter w:val="2"/>
          <w:wAfter w:w="13296" w:type="dxa"/>
          <w:trHeight w:val="20" w:hRule="atLeast"/>
        </w:trPr>
        <w:tc>
          <w:tcPr>
            <w:tcW w:w="635" w:type="dxa"/>
            <w:tcBorders>
              <w:top w:val="nil"/>
              <w:left w:val="single" w:color="auto" w:sz="4" w:space="0"/>
              <w:bottom w:val="single" w:color="auto" w:sz="4" w:space="0"/>
              <w:right w:val="single" w:color="auto" w:sz="4" w:space="0"/>
            </w:tcBorders>
            <w:noWrap/>
            <w:vAlign w:val="center"/>
          </w:tcPr>
          <w:p w14:paraId="51D3FE67">
            <w:pPr>
              <w:widowControl/>
              <w:jc w:val="center"/>
              <w:rPr>
                <w:rFonts w:hint="eastAsia" w:ascii="宋体" w:hAnsi="宋体" w:cs="宋体"/>
                <w:kern w:val="0"/>
                <w:szCs w:val="21"/>
              </w:rPr>
            </w:pPr>
            <w:r>
              <w:rPr>
                <w:rFonts w:hint="eastAsia" w:ascii="宋体" w:hAnsi="宋体" w:cs="宋体"/>
                <w:kern w:val="0"/>
                <w:szCs w:val="21"/>
              </w:rPr>
              <w:t>20</w:t>
            </w:r>
          </w:p>
        </w:tc>
        <w:tc>
          <w:tcPr>
            <w:tcW w:w="1161" w:type="dxa"/>
            <w:tcBorders>
              <w:top w:val="nil"/>
              <w:left w:val="nil"/>
              <w:bottom w:val="single" w:color="auto" w:sz="4" w:space="0"/>
              <w:right w:val="single" w:color="auto" w:sz="4" w:space="0"/>
            </w:tcBorders>
            <w:noWrap w:val="0"/>
            <w:vAlign w:val="center"/>
          </w:tcPr>
          <w:p w14:paraId="554383CF">
            <w:pPr>
              <w:widowControl/>
              <w:jc w:val="center"/>
              <w:rPr>
                <w:rFonts w:hint="eastAsia" w:ascii="宋体" w:hAnsi="宋体" w:cs="宋体"/>
                <w:kern w:val="0"/>
                <w:szCs w:val="21"/>
              </w:rPr>
            </w:pPr>
            <w:r>
              <w:rPr>
                <w:rFonts w:hint="eastAsia" w:ascii="宋体" w:hAnsi="宋体" w:cs="宋体"/>
                <w:kern w:val="0"/>
                <w:szCs w:val="21"/>
              </w:rPr>
              <w:t>组合柜</w:t>
            </w:r>
          </w:p>
        </w:tc>
        <w:tc>
          <w:tcPr>
            <w:tcW w:w="2315" w:type="dxa"/>
            <w:tcBorders>
              <w:top w:val="nil"/>
              <w:left w:val="nil"/>
              <w:bottom w:val="single" w:color="auto" w:sz="4" w:space="0"/>
              <w:right w:val="single" w:color="auto" w:sz="4" w:space="0"/>
            </w:tcBorders>
            <w:noWrap w:val="0"/>
            <w:vAlign w:val="center"/>
          </w:tcPr>
          <w:p w14:paraId="1B5FA77D">
            <w:pPr>
              <w:widowControl/>
              <w:jc w:val="center"/>
              <w:rPr>
                <w:rFonts w:hint="eastAsia" w:ascii="宋体" w:hAnsi="宋体" w:cs="宋体"/>
                <w:kern w:val="0"/>
                <w:szCs w:val="21"/>
              </w:rPr>
            </w:pPr>
            <w:r>
              <w:rPr>
                <w:rFonts w:hint="eastAsia" w:ascii="宋体" w:hAnsi="宋体" w:cs="宋体"/>
                <w:kern w:val="0"/>
                <w:szCs w:val="21"/>
              </w:rPr>
              <w:t>1600W*400D*850H</w:t>
            </w:r>
          </w:p>
        </w:tc>
        <w:tc>
          <w:tcPr>
            <w:tcW w:w="2300" w:type="dxa"/>
            <w:tcBorders>
              <w:top w:val="nil"/>
              <w:left w:val="nil"/>
              <w:bottom w:val="single" w:color="auto" w:sz="4" w:space="0"/>
              <w:right w:val="single" w:color="auto" w:sz="4" w:space="0"/>
            </w:tcBorders>
            <w:noWrap/>
            <w:vAlign w:val="center"/>
          </w:tcPr>
          <w:p w14:paraId="0C4F9652">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fldChar w:fldCharType="begin"/>
            </w:r>
            <w:r>
              <w:rPr>
                <w:rFonts w:hint="eastAsia" w:ascii="微软雅黑" w:hAnsi="微软雅黑" w:eastAsia="微软雅黑" w:cs="微软雅黑"/>
                <w:color w:val="000000"/>
                <w:kern w:val="0"/>
                <w:sz w:val="22"/>
                <w:szCs w:val="22"/>
                <w:lang w:bidi="ar"/>
              </w:rPr>
              <w:instrText xml:space="preserve">INCLUDEPICTURE \d "C:\\Users\\ADMINI~1\\AppData\\Local\\Temp\\ksohtml\\clip_cell_image59.png" \* MERGEFORMATINET </w:instrText>
            </w:r>
            <w:r>
              <w:rPr>
                <w:rFonts w:hint="eastAsia" w:ascii="微软雅黑" w:hAnsi="微软雅黑" w:eastAsia="微软雅黑" w:cs="微软雅黑"/>
                <w:color w:val="000000"/>
                <w:kern w:val="0"/>
                <w:sz w:val="22"/>
                <w:szCs w:val="22"/>
                <w:lang w:bidi="ar"/>
              </w:rPr>
              <w:fldChar w:fldCharType="separate"/>
            </w:r>
            <w:r>
              <w:rPr>
                <w:rFonts w:hint="eastAsia" w:ascii="微软雅黑" w:hAnsi="微软雅黑" w:eastAsia="微软雅黑" w:cs="微软雅黑"/>
                <w:color w:val="000000"/>
                <w:kern w:val="0"/>
                <w:sz w:val="22"/>
                <w:szCs w:val="22"/>
                <w:lang w:bidi="ar"/>
              </w:rPr>
              <w:drawing>
                <wp:inline distT="0" distB="0" distL="114300" distR="114300">
                  <wp:extent cx="1387475" cy="945515"/>
                  <wp:effectExtent l="0" t="0" r="3175" b="6985"/>
                  <wp:docPr id="1" name="图片 1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9" descr="IMG_256"/>
                          <pic:cNvPicPr>
                            <a:picLocks noChangeAspect="1"/>
                          </pic:cNvPicPr>
                        </pic:nvPicPr>
                        <pic:blipFill>
                          <a:blip r:embed="rId28"/>
                          <a:stretch>
                            <a:fillRect/>
                          </a:stretch>
                        </pic:blipFill>
                        <pic:spPr>
                          <a:xfrm>
                            <a:off x="0" y="0"/>
                            <a:ext cx="1387475" cy="945515"/>
                          </a:xfrm>
                          <a:prstGeom prst="rect">
                            <a:avLst/>
                          </a:prstGeom>
                          <a:noFill/>
                          <a:ln>
                            <a:noFill/>
                          </a:ln>
                        </pic:spPr>
                      </pic:pic>
                    </a:graphicData>
                  </a:graphic>
                </wp:inline>
              </w:drawing>
            </w:r>
            <w:r>
              <w:rPr>
                <w:rFonts w:hint="eastAsia" w:ascii="微软雅黑" w:hAnsi="微软雅黑" w:eastAsia="微软雅黑" w:cs="微软雅黑"/>
                <w:color w:val="000000"/>
                <w:kern w:val="0"/>
                <w:sz w:val="22"/>
                <w:szCs w:val="22"/>
                <w:lang w:bidi="ar"/>
              </w:rPr>
              <w:fldChar w:fldCharType="end"/>
            </w:r>
          </w:p>
        </w:tc>
        <w:tc>
          <w:tcPr>
            <w:tcW w:w="991" w:type="dxa"/>
            <w:tcBorders>
              <w:top w:val="nil"/>
              <w:left w:val="nil"/>
              <w:bottom w:val="single" w:color="auto" w:sz="4" w:space="0"/>
              <w:right w:val="single" w:color="auto" w:sz="4" w:space="0"/>
            </w:tcBorders>
            <w:noWrap/>
            <w:vAlign w:val="center"/>
          </w:tcPr>
          <w:p w14:paraId="7DBE8DD8">
            <w:pPr>
              <w:widowControl/>
              <w:jc w:val="center"/>
              <w:rPr>
                <w:rFonts w:hint="eastAsia" w:ascii="宋体" w:hAnsi="宋体" w:cs="宋体"/>
                <w:kern w:val="0"/>
                <w:szCs w:val="21"/>
              </w:rPr>
            </w:pPr>
            <w:r>
              <w:rPr>
                <w:rFonts w:hint="eastAsia" w:ascii="宋体" w:hAnsi="宋体" w:cs="宋体"/>
                <w:kern w:val="0"/>
                <w:szCs w:val="21"/>
              </w:rPr>
              <w:t>套</w:t>
            </w:r>
          </w:p>
        </w:tc>
        <w:tc>
          <w:tcPr>
            <w:tcW w:w="659" w:type="dxa"/>
            <w:tcBorders>
              <w:top w:val="nil"/>
              <w:left w:val="nil"/>
              <w:bottom w:val="single" w:color="auto" w:sz="4" w:space="0"/>
              <w:right w:val="single" w:color="auto" w:sz="4" w:space="0"/>
            </w:tcBorders>
            <w:noWrap/>
            <w:vAlign w:val="center"/>
          </w:tcPr>
          <w:p w14:paraId="7A3303DE">
            <w:pPr>
              <w:widowControl/>
              <w:jc w:val="center"/>
              <w:rPr>
                <w:rFonts w:hint="eastAsia" w:ascii="宋体" w:hAnsi="宋体" w:cs="宋体"/>
                <w:kern w:val="0"/>
                <w:szCs w:val="21"/>
              </w:rPr>
            </w:pPr>
            <w:r>
              <w:rPr>
                <w:rFonts w:hint="eastAsia" w:ascii="宋体" w:hAnsi="宋体" w:cs="宋体"/>
                <w:kern w:val="0"/>
                <w:szCs w:val="21"/>
              </w:rPr>
              <w:t>1</w:t>
            </w:r>
          </w:p>
        </w:tc>
        <w:tc>
          <w:tcPr>
            <w:tcW w:w="6256" w:type="dxa"/>
            <w:tcBorders>
              <w:top w:val="nil"/>
              <w:left w:val="nil"/>
              <w:bottom w:val="single" w:color="auto" w:sz="4" w:space="0"/>
              <w:right w:val="single" w:color="auto" w:sz="4" w:space="0"/>
            </w:tcBorders>
            <w:noWrap w:val="0"/>
            <w:vAlign w:val="center"/>
          </w:tcPr>
          <w:p w14:paraId="7F9E2D17">
            <w:pPr>
              <w:widowControl/>
              <w:jc w:val="left"/>
              <w:rPr>
                <w:rFonts w:hint="eastAsia" w:ascii="宋体" w:hAnsi="宋体" w:cs="宋体"/>
                <w:kern w:val="0"/>
                <w:szCs w:val="21"/>
              </w:rPr>
            </w:pPr>
            <w:r>
              <w:rPr>
                <w:rFonts w:hint="eastAsia" w:ascii="宋体" w:hAnsi="宋体" w:cs="宋体"/>
                <w:kern w:val="0"/>
                <w:szCs w:val="21"/>
              </w:rPr>
              <w:t>1、基材：采用优质环保ENF级高密度中纤板,优质绿色环保产品,甲醛含量≤1.0mg/L密度≥760kg/m3,静曲张度≥ 51.5Mpa,吸水膨胀率≤8.1%；</w:t>
            </w:r>
            <w:r>
              <w:rPr>
                <w:rFonts w:hint="eastAsia" w:ascii="宋体" w:hAnsi="宋体" w:cs="宋体"/>
                <w:kern w:val="0"/>
                <w:szCs w:val="21"/>
              </w:rPr>
              <w:br w:type="page"/>
            </w:r>
            <w:r>
              <w:rPr>
                <w:rFonts w:hint="eastAsia" w:ascii="宋体" w:hAnsi="宋体" w:cs="宋体"/>
                <w:kern w:val="0"/>
                <w:szCs w:val="21"/>
              </w:rPr>
              <w:t xml:space="preserve">2、烤漆涂层固化后其涂层的稳定性、耐久性、耐候性、耐摩擦性、耐腐蚀性和硬度高，经抛光后，表面光洁度高，镜面效果好； </w:t>
            </w:r>
            <w:r>
              <w:rPr>
                <w:rFonts w:hint="eastAsia" w:ascii="宋体" w:hAnsi="宋体" w:cs="宋体"/>
                <w:kern w:val="0"/>
                <w:szCs w:val="21"/>
              </w:rPr>
              <w:br w:type="page"/>
            </w:r>
            <w:r>
              <w:rPr>
                <w:rFonts w:hint="eastAsia" w:ascii="宋体" w:hAnsi="宋体" w:cs="宋体"/>
                <w:kern w:val="0"/>
                <w:szCs w:val="21"/>
              </w:rPr>
              <w:t>3、防潮、防水性能 优越；不需封边；易清洁，不渗油，不褪色；  各项技术指标均达到国际标准。材料经防虫、防潮、防腐及三次烘干蒸发处理，木材干燥至9%-12%的含水率；</w:t>
            </w:r>
            <w:r>
              <w:rPr>
                <w:rFonts w:hint="eastAsia" w:ascii="宋体" w:hAnsi="宋体" w:cs="宋体"/>
                <w:kern w:val="0"/>
                <w:szCs w:val="21"/>
              </w:rPr>
              <w:br w:type="page"/>
            </w:r>
            <w:r>
              <w:rPr>
                <w:rFonts w:hint="eastAsia" w:ascii="宋体" w:hAnsi="宋体" w:cs="宋体"/>
                <w:kern w:val="0"/>
                <w:szCs w:val="21"/>
              </w:rPr>
              <w:t>4、油漆采用环保优质水性涂料，水性隐孔高光，双面涂饰。水性漆面漆、水性漆底漆甲醛含量≤25mg/kg，VOC含量≤20g/L。，对人体无任何伤害、无污染而且亮、哑层次分明，手感好；表面无颗粒、气泡、渣点；漆面硬度大且清晰。</w:t>
            </w:r>
            <w:r>
              <w:rPr>
                <w:rFonts w:hint="eastAsia" w:ascii="宋体" w:hAnsi="宋体" w:cs="宋体"/>
                <w:kern w:val="0"/>
                <w:szCs w:val="21"/>
              </w:rPr>
              <w:br w:type="page"/>
            </w:r>
            <w:r>
              <w:rPr>
                <w:rFonts w:hint="eastAsia" w:ascii="宋体" w:hAnsi="宋体" w:cs="宋体"/>
                <w:kern w:val="0"/>
                <w:szCs w:val="21"/>
              </w:rPr>
              <w:t>5、胶粘剂：采用优质白乳胶，游离甲醛未检出，总挥发性有机物≤70g/L。</w:t>
            </w:r>
            <w:r>
              <w:rPr>
                <w:rFonts w:hint="eastAsia" w:ascii="宋体" w:hAnsi="宋体" w:cs="宋体"/>
                <w:kern w:val="0"/>
                <w:szCs w:val="21"/>
              </w:rPr>
              <w:br w:type="page"/>
            </w:r>
            <w:r>
              <w:rPr>
                <w:rFonts w:hint="eastAsia" w:ascii="宋体" w:hAnsi="宋体" w:cs="宋体"/>
                <w:kern w:val="0"/>
                <w:szCs w:val="21"/>
              </w:rPr>
              <w:t>6、胶水：采用优质环保品牌绿色环保胶水。</w:t>
            </w:r>
            <w:r>
              <w:rPr>
                <w:rFonts w:hint="eastAsia" w:ascii="宋体" w:hAnsi="宋体" w:cs="宋体"/>
                <w:kern w:val="0"/>
                <w:szCs w:val="21"/>
              </w:rPr>
              <w:br w:type="page"/>
            </w:r>
            <w:r>
              <w:rPr>
                <w:rFonts w:hint="eastAsia" w:ascii="宋体" w:hAnsi="宋体" w:cs="宋体"/>
                <w:kern w:val="0"/>
                <w:szCs w:val="21"/>
              </w:rPr>
              <w:t xml:space="preserve">7、五金配件：采用优质品牌的门铰五金锁具，满足QB/T 2189-2013检测，要求耐久性达到8万次。 </w:t>
            </w:r>
          </w:p>
        </w:tc>
        <w:tc>
          <w:tcPr>
            <w:tcW w:w="236" w:type="dxa"/>
            <w:noWrap w:val="0"/>
            <w:vAlign w:val="center"/>
          </w:tcPr>
          <w:p w14:paraId="3FBE06B3">
            <w:pPr>
              <w:widowControl/>
              <w:jc w:val="left"/>
              <w:rPr>
                <w:rFonts w:ascii="宋体" w:hAnsi="宋体"/>
                <w:kern w:val="0"/>
                <w:szCs w:val="21"/>
              </w:rPr>
            </w:pPr>
          </w:p>
        </w:tc>
      </w:tr>
      <w:tr w14:paraId="08AAAC42">
        <w:tblPrEx>
          <w:tblCellMar>
            <w:top w:w="0" w:type="dxa"/>
            <w:left w:w="108" w:type="dxa"/>
            <w:bottom w:w="0" w:type="dxa"/>
            <w:right w:w="108" w:type="dxa"/>
          </w:tblCellMar>
        </w:tblPrEx>
        <w:trPr>
          <w:gridAfter w:val="2"/>
          <w:wAfter w:w="13296" w:type="dxa"/>
          <w:trHeight w:val="20" w:hRule="atLeast"/>
        </w:trPr>
        <w:tc>
          <w:tcPr>
            <w:tcW w:w="635" w:type="dxa"/>
            <w:tcBorders>
              <w:top w:val="nil"/>
              <w:left w:val="single" w:color="auto" w:sz="4" w:space="0"/>
              <w:bottom w:val="single" w:color="auto" w:sz="4" w:space="0"/>
              <w:right w:val="single" w:color="auto" w:sz="4" w:space="0"/>
            </w:tcBorders>
            <w:noWrap/>
            <w:vAlign w:val="center"/>
          </w:tcPr>
          <w:p w14:paraId="20BFB281">
            <w:pPr>
              <w:widowControl/>
              <w:jc w:val="center"/>
              <w:rPr>
                <w:rFonts w:hint="eastAsia" w:ascii="宋体" w:hAnsi="宋体" w:cs="宋体"/>
                <w:kern w:val="0"/>
                <w:szCs w:val="21"/>
              </w:rPr>
            </w:pPr>
            <w:r>
              <w:rPr>
                <w:rFonts w:hint="eastAsia" w:ascii="宋体" w:hAnsi="宋体" w:cs="宋体"/>
                <w:kern w:val="0"/>
                <w:szCs w:val="21"/>
              </w:rPr>
              <w:t>21</w:t>
            </w:r>
          </w:p>
        </w:tc>
        <w:tc>
          <w:tcPr>
            <w:tcW w:w="1161" w:type="dxa"/>
            <w:tcBorders>
              <w:top w:val="nil"/>
              <w:left w:val="nil"/>
              <w:bottom w:val="single" w:color="auto" w:sz="4" w:space="0"/>
              <w:right w:val="single" w:color="auto" w:sz="4" w:space="0"/>
            </w:tcBorders>
            <w:noWrap w:val="0"/>
            <w:vAlign w:val="center"/>
          </w:tcPr>
          <w:p w14:paraId="4467F9BF">
            <w:pPr>
              <w:widowControl/>
              <w:jc w:val="center"/>
              <w:rPr>
                <w:rFonts w:hint="eastAsia" w:ascii="宋体" w:hAnsi="宋体" w:cs="宋体"/>
                <w:kern w:val="0"/>
                <w:szCs w:val="21"/>
              </w:rPr>
            </w:pPr>
            <w:r>
              <w:rPr>
                <w:rFonts w:hint="eastAsia" w:ascii="宋体" w:hAnsi="宋体" w:cs="宋体"/>
                <w:kern w:val="0"/>
                <w:szCs w:val="21"/>
              </w:rPr>
              <w:t>影印机柜</w:t>
            </w:r>
          </w:p>
        </w:tc>
        <w:tc>
          <w:tcPr>
            <w:tcW w:w="2315" w:type="dxa"/>
            <w:tcBorders>
              <w:top w:val="nil"/>
              <w:left w:val="nil"/>
              <w:bottom w:val="single" w:color="auto" w:sz="4" w:space="0"/>
              <w:right w:val="single" w:color="auto" w:sz="4" w:space="0"/>
            </w:tcBorders>
            <w:noWrap w:val="0"/>
            <w:vAlign w:val="center"/>
          </w:tcPr>
          <w:p w14:paraId="12075A20">
            <w:pPr>
              <w:widowControl/>
              <w:jc w:val="center"/>
              <w:rPr>
                <w:rFonts w:hint="eastAsia" w:ascii="宋体" w:hAnsi="宋体" w:cs="宋体"/>
                <w:kern w:val="0"/>
                <w:szCs w:val="21"/>
              </w:rPr>
            </w:pPr>
            <w:r>
              <w:rPr>
                <w:rFonts w:hint="eastAsia" w:ascii="宋体" w:hAnsi="宋体" w:cs="宋体"/>
                <w:kern w:val="0"/>
                <w:szCs w:val="21"/>
              </w:rPr>
              <w:t>2400W*600D*750H</w:t>
            </w:r>
          </w:p>
        </w:tc>
        <w:tc>
          <w:tcPr>
            <w:tcW w:w="2300" w:type="dxa"/>
            <w:tcBorders>
              <w:top w:val="nil"/>
              <w:left w:val="nil"/>
              <w:bottom w:val="single" w:color="auto" w:sz="4" w:space="0"/>
              <w:right w:val="single" w:color="auto" w:sz="4" w:space="0"/>
            </w:tcBorders>
            <w:noWrap/>
            <w:vAlign w:val="center"/>
          </w:tcPr>
          <w:p w14:paraId="284E4CF2">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fldChar w:fldCharType="begin"/>
            </w:r>
            <w:r>
              <w:rPr>
                <w:rFonts w:hint="eastAsia" w:ascii="微软雅黑" w:hAnsi="微软雅黑" w:eastAsia="微软雅黑" w:cs="微软雅黑"/>
                <w:color w:val="000000"/>
                <w:kern w:val="0"/>
                <w:sz w:val="22"/>
                <w:szCs w:val="22"/>
                <w:lang w:bidi="ar"/>
              </w:rPr>
              <w:instrText xml:space="preserve">INCLUDEPICTURE \d "C:\\Users\\ADMINI~1\\AppData\\Local\\Temp\\ksohtml\\clip_cell_image60.png" \* MERGEFORMATINET </w:instrText>
            </w:r>
            <w:r>
              <w:rPr>
                <w:rFonts w:hint="eastAsia" w:ascii="微软雅黑" w:hAnsi="微软雅黑" w:eastAsia="微软雅黑" w:cs="微软雅黑"/>
                <w:color w:val="000000"/>
                <w:kern w:val="0"/>
                <w:sz w:val="22"/>
                <w:szCs w:val="22"/>
                <w:lang w:bidi="ar"/>
              </w:rPr>
              <w:fldChar w:fldCharType="separate"/>
            </w:r>
            <w:r>
              <w:rPr>
                <w:rFonts w:hint="eastAsia" w:ascii="微软雅黑" w:hAnsi="微软雅黑" w:eastAsia="微软雅黑" w:cs="微软雅黑"/>
                <w:color w:val="000000"/>
                <w:kern w:val="0"/>
                <w:sz w:val="22"/>
                <w:szCs w:val="22"/>
                <w:lang w:bidi="ar"/>
              </w:rPr>
              <w:drawing>
                <wp:inline distT="0" distB="0" distL="114300" distR="114300">
                  <wp:extent cx="1300480" cy="1043305"/>
                  <wp:effectExtent l="0" t="0" r="13970" b="4445"/>
                  <wp:docPr id="2" name="图片 2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0" descr="IMG_256"/>
                          <pic:cNvPicPr>
                            <a:picLocks noChangeAspect="1"/>
                          </pic:cNvPicPr>
                        </pic:nvPicPr>
                        <pic:blipFill>
                          <a:blip r:embed="rId29"/>
                          <a:stretch>
                            <a:fillRect/>
                          </a:stretch>
                        </pic:blipFill>
                        <pic:spPr>
                          <a:xfrm>
                            <a:off x="0" y="0"/>
                            <a:ext cx="1300480" cy="1043305"/>
                          </a:xfrm>
                          <a:prstGeom prst="rect">
                            <a:avLst/>
                          </a:prstGeom>
                          <a:noFill/>
                          <a:ln>
                            <a:noFill/>
                          </a:ln>
                        </pic:spPr>
                      </pic:pic>
                    </a:graphicData>
                  </a:graphic>
                </wp:inline>
              </w:drawing>
            </w:r>
            <w:r>
              <w:rPr>
                <w:rFonts w:hint="eastAsia" w:ascii="微软雅黑" w:hAnsi="微软雅黑" w:eastAsia="微软雅黑" w:cs="微软雅黑"/>
                <w:color w:val="000000"/>
                <w:kern w:val="0"/>
                <w:sz w:val="22"/>
                <w:szCs w:val="22"/>
                <w:lang w:bidi="ar"/>
              </w:rPr>
              <w:fldChar w:fldCharType="end"/>
            </w:r>
          </w:p>
        </w:tc>
        <w:tc>
          <w:tcPr>
            <w:tcW w:w="991" w:type="dxa"/>
            <w:tcBorders>
              <w:top w:val="nil"/>
              <w:left w:val="nil"/>
              <w:bottom w:val="single" w:color="auto" w:sz="4" w:space="0"/>
              <w:right w:val="single" w:color="auto" w:sz="4" w:space="0"/>
            </w:tcBorders>
            <w:noWrap/>
            <w:vAlign w:val="center"/>
          </w:tcPr>
          <w:p w14:paraId="597A3DC4">
            <w:pPr>
              <w:widowControl/>
              <w:jc w:val="center"/>
              <w:rPr>
                <w:rFonts w:hint="eastAsia" w:ascii="宋体" w:hAnsi="宋体" w:cs="宋体"/>
                <w:kern w:val="0"/>
                <w:szCs w:val="21"/>
              </w:rPr>
            </w:pPr>
            <w:r>
              <w:rPr>
                <w:rFonts w:hint="eastAsia" w:ascii="宋体" w:hAnsi="宋体" w:cs="宋体"/>
                <w:kern w:val="0"/>
                <w:szCs w:val="21"/>
              </w:rPr>
              <w:t>套</w:t>
            </w:r>
          </w:p>
        </w:tc>
        <w:tc>
          <w:tcPr>
            <w:tcW w:w="659" w:type="dxa"/>
            <w:tcBorders>
              <w:top w:val="nil"/>
              <w:left w:val="nil"/>
              <w:bottom w:val="single" w:color="auto" w:sz="4" w:space="0"/>
              <w:right w:val="single" w:color="auto" w:sz="4" w:space="0"/>
            </w:tcBorders>
            <w:noWrap/>
            <w:vAlign w:val="center"/>
          </w:tcPr>
          <w:p w14:paraId="3A1D30EA">
            <w:pPr>
              <w:widowControl/>
              <w:jc w:val="center"/>
              <w:rPr>
                <w:rFonts w:hint="eastAsia" w:ascii="宋体" w:hAnsi="宋体" w:cs="宋体"/>
                <w:kern w:val="0"/>
                <w:szCs w:val="21"/>
              </w:rPr>
            </w:pPr>
            <w:r>
              <w:rPr>
                <w:rFonts w:hint="eastAsia" w:ascii="宋体" w:hAnsi="宋体" w:cs="宋体"/>
                <w:kern w:val="0"/>
                <w:szCs w:val="21"/>
              </w:rPr>
              <w:t>1</w:t>
            </w:r>
          </w:p>
        </w:tc>
        <w:tc>
          <w:tcPr>
            <w:tcW w:w="6256" w:type="dxa"/>
            <w:tcBorders>
              <w:top w:val="nil"/>
              <w:left w:val="nil"/>
              <w:bottom w:val="single" w:color="auto" w:sz="4" w:space="0"/>
              <w:right w:val="single" w:color="auto" w:sz="4" w:space="0"/>
            </w:tcBorders>
            <w:noWrap w:val="0"/>
            <w:vAlign w:val="center"/>
          </w:tcPr>
          <w:p w14:paraId="6993A063">
            <w:pPr>
              <w:widowControl/>
              <w:jc w:val="left"/>
              <w:rPr>
                <w:rFonts w:hint="eastAsia" w:ascii="宋体" w:hAnsi="宋体" w:cs="宋体"/>
                <w:kern w:val="0"/>
                <w:szCs w:val="21"/>
              </w:rPr>
            </w:pPr>
            <w:r>
              <w:rPr>
                <w:rFonts w:hint="eastAsia" w:ascii="宋体" w:hAnsi="宋体" w:cs="宋体"/>
                <w:kern w:val="0"/>
                <w:szCs w:val="21"/>
              </w:rPr>
              <w:t>1、基材：采用优质环保ENF级高密度中纤板,优质绿色环保产品,甲醛含量≤1.0mg/L密度≥760kg/m3,静曲张度≥ 51.5Mpa,吸水膨胀率≤8.1%；</w:t>
            </w:r>
            <w:r>
              <w:rPr>
                <w:rFonts w:hint="eastAsia" w:ascii="宋体" w:hAnsi="宋体" w:cs="宋体"/>
                <w:kern w:val="0"/>
                <w:szCs w:val="21"/>
              </w:rPr>
              <w:br w:type="textWrapping"/>
            </w:r>
            <w:r>
              <w:rPr>
                <w:rFonts w:hint="eastAsia" w:ascii="宋体" w:hAnsi="宋体" w:cs="宋体"/>
                <w:kern w:val="0"/>
                <w:szCs w:val="21"/>
              </w:rPr>
              <w:t xml:space="preserve">2、烤漆涂层固化后其涂层的稳定性、耐久性、耐候性、耐摩擦性、耐腐蚀性和硬度高，经抛光后，表面光洁度高，镜面效果好； </w:t>
            </w:r>
            <w:r>
              <w:rPr>
                <w:rFonts w:hint="eastAsia" w:ascii="宋体" w:hAnsi="宋体" w:cs="宋体"/>
                <w:kern w:val="0"/>
                <w:szCs w:val="21"/>
              </w:rPr>
              <w:br w:type="textWrapping"/>
            </w:r>
            <w:r>
              <w:rPr>
                <w:rFonts w:hint="eastAsia" w:ascii="宋体" w:hAnsi="宋体" w:cs="宋体"/>
                <w:kern w:val="0"/>
                <w:szCs w:val="21"/>
              </w:rPr>
              <w:t>3、防潮、防水性能 优越；不需封边；易清洁，不渗油，不褪色；  各项技术指标均达到国际标准。材料经防虫、防潮、防腐及三次烘干蒸发处理，木材干燥至9%-12%的含水率；</w:t>
            </w:r>
            <w:r>
              <w:rPr>
                <w:rFonts w:hint="eastAsia" w:ascii="宋体" w:hAnsi="宋体" w:cs="宋体"/>
                <w:kern w:val="0"/>
                <w:szCs w:val="21"/>
              </w:rPr>
              <w:br w:type="textWrapping"/>
            </w:r>
            <w:r>
              <w:rPr>
                <w:rFonts w:hint="eastAsia" w:ascii="宋体" w:hAnsi="宋体" w:cs="宋体"/>
                <w:kern w:val="0"/>
                <w:szCs w:val="21"/>
              </w:rPr>
              <w:t>4、油漆采用环保优质水性涂料，水性隐孔高光，双面涂饰。水性漆面漆、水性漆底漆甲醛含量≤25mg/kg，VOC含量≤20g/L。，对人体无任何伤害、无污染而且亮、哑层次分明，手感好；表面无颗粒、气泡、渣点；漆面硬度大且清晰。</w:t>
            </w:r>
            <w:r>
              <w:rPr>
                <w:rFonts w:hint="eastAsia" w:ascii="宋体" w:hAnsi="宋体" w:cs="宋体"/>
                <w:kern w:val="0"/>
                <w:szCs w:val="21"/>
              </w:rPr>
              <w:br w:type="textWrapping"/>
            </w:r>
            <w:r>
              <w:rPr>
                <w:rFonts w:hint="eastAsia" w:ascii="宋体" w:hAnsi="宋体" w:cs="宋体"/>
                <w:kern w:val="0"/>
                <w:szCs w:val="21"/>
              </w:rPr>
              <w:t>5、胶粘剂：采用优质白乳胶，游离甲醛未检出，总挥发性有机物≤70g/L。</w:t>
            </w:r>
            <w:r>
              <w:rPr>
                <w:rFonts w:hint="eastAsia" w:ascii="宋体" w:hAnsi="宋体" w:cs="宋体"/>
                <w:kern w:val="0"/>
                <w:szCs w:val="21"/>
              </w:rPr>
              <w:br w:type="textWrapping"/>
            </w:r>
            <w:r>
              <w:rPr>
                <w:rFonts w:hint="eastAsia" w:ascii="宋体" w:hAnsi="宋体" w:cs="宋体"/>
                <w:kern w:val="0"/>
                <w:szCs w:val="21"/>
              </w:rPr>
              <w:t>6、胶水：采用优质环保品牌绿色环保胶水。</w:t>
            </w:r>
            <w:r>
              <w:rPr>
                <w:rFonts w:hint="eastAsia" w:ascii="宋体" w:hAnsi="宋体" w:cs="宋体"/>
                <w:kern w:val="0"/>
                <w:szCs w:val="21"/>
              </w:rPr>
              <w:br w:type="textWrapping"/>
            </w:r>
            <w:r>
              <w:rPr>
                <w:rFonts w:hint="eastAsia" w:ascii="宋体" w:hAnsi="宋体" w:cs="宋体"/>
                <w:kern w:val="0"/>
                <w:szCs w:val="21"/>
              </w:rPr>
              <w:t>7、五金配件：采用优质品牌的门铰五金锁具，满足QB/T 2189-2013检测，要求耐久性达到8万次。</w:t>
            </w:r>
          </w:p>
        </w:tc>
        <w:tc>
          <w:tcPr>
            <w:tcW w:w="236" w:type="dxa"/>
            <w:noWrap w:val="0"/>
            <w:vAlign w:val="center"/>
          </w:tcPr>
          <w:p w14:paraId="3E6ED318">
            <w:pPr>
              <w:widowControl/>
              <w:jc w:val="left"/>
              <w:rPr>
                <w:rFonts w:ascii="宋体" w:hAnsi="宋体"/>
                <w:kern w:val="0"/>
                <w:szCs w:val="21"/>
              </w:rPr>
            </w:pPr>
          </w:p>
        </w:tc>
      </w:tr>
      <w:bookmarkEnd w:id="0"/>
    </w:tbl>
    <w:p w14:paraId="04664222"/>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40001" w:csb1="00000000"/>
  </w:font>
  <w:font w:name="东文宋体">
    <w:altName w:val="微软雅黑"/>
    <w:panose1 w:val="00000000000000000000"/>
    <w:charset w:val="00"/>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32421">
    <w:pPr>
      <w:pStyle w:val="4"/>
      <w:ind w:right="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1302E6">
                          <w:pPr>
                            <w:pStyle w:val="4"/>
                            <w:rPr>
                              <w:rStyle w:val="9"/>
                            </w:rPr>
                          </w:pPr>
                          <w:r>
                            <w:fldChar w:fldCharType="begin"/>
                          </w:r>
                          <w:r>
                            <w:rPr>
                              <w:rStyle w:val="9"/>
                            </w:rPr>
                            <w:instrText xml:space="preserve">PAGE  </w:instrText>
                          </w:r>
                          <w:r>
                            <w:fldChar w:fldCharType="separate"/>
                          </w:r>
                          <w:r>
                            <w:rPr>
                              <w:rStyle w:val="9"/>
                            </w:rPr>
                            <w:t>21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rjO8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lLShy3OPHzj+/nn7/Pv74R&#10;9KFAfYAa8x4DZqbhxg+YPPsBnZn3oKLNX2REMI7yni7yyiERkR+tlqtVhSGBsfmC+OzpeYiQ7qS3&#10;JBsNjTi/Iis/3kMaU+eUXM35W21MmaFxfzkQM3tY7n3sMVtp2A0ToZ1vT8inx9E31OGmU2I+OlQ2&#10;b8lsxNnYzcYhRL3vyhrlehA+HBI2UXrLFUbYqTDOrLCb9isvxfN7yXr6pz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uuuM7yQEAAJsDAAAOAAAAAAAAAAEAIAAAAB4BAABkcnMvZTJvRG9j&#10;LnhtbFBLBQYAAAAABgAGAFkBAABZBQAAAAA=&#10;">
              <v:path/>
              <v:fill on="f" focussize="0,0"/>
              <v:stroke on="f"/>
              <v:imagedata o:title=""/>
              <o:lock v:ext="edit" aspectratio="f"/>
              <v:textbox inset="0mm,0mm,0mm,0mm" style="mso-fit-shape-to-text:t;">
                <w:txbxContent>
                  <w:p w14:paraId="791302E6">
                    <w:pPr>
                      <w:pStyle w:val="4"/>
                      <w:rPr>
                        <w:rStyle w:val="9"/>
                      </w:rPr>
                    </w:pPr>
                    <w:r>
                      <w:fldChar w:fldCharType="begin"/>
                    </w:r>
                    <w:r>
                      <w:rPr>
                        <w:rStyle w:val="9"/>
                      </w:rPr>
                      <w:instrText xml:space="preserve">PAGE  </w:instrText>
                    </w:r>
                    <w:r>
                      <w:fldChar w:fldCharType="separate"/>
                    </w:r>
                    <w:r>
                      <w:rPr>
                        <w:rStyle w:val="9"/>
                      </w:rPr>
                      <w:t>21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87A90">
    <w:pPr>
      <w:pStyle w:val="4"/>
      <w:framePr w:wrap="around" w:vAnchor="text" w:hAnchor="margin" w:xAlign="right" w:y="1"/>
      <w:rPr>
        <w:rStyle w:val="9"/>
      </w:rPr>
    </w:pPr>
    <w:r>
      <w:fldChar w:fldCharType="begin"/>
    </w:r>
    <w:r>
      <w:rPr>
        <w:rStyle w:val="9"/>
      </w:rPr>
      <w:instrText xml:space="preserve">PAGE  </w:instrText>
    </w:r>
    <w:r>
      <w:fldChar w:fldCharType="separate"/>
    </w:r>
    <w:r>
      <w:rPr>
        <w:rStyle w:val="9"/>
      </w:rPr>
      <w:t>1</w:t>
    </w:r>
    <w:r>
      <w:fldChar w:fldCharType="end"/>
    </w:r>
  </w:p>
  <w:p w14:paraId="1A9E285A">
    <w:pPr>
      <w:pStyle w:val="4"/>
      <w:ind w:right="360"/>
    </w:pPr>
  </w:p>
  <w:p w14:paraId="1F5548D9"/>
  <w:p w14:paraId="4E6D5BC7"/>
  <w:p w14:paraId="24A7598A"/>
  <w:p w14:paraId="6505CB6D"/>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31D0E">
    <w:pPr>
      <w:pStyle w:val="5"/>
      <w:rPr>
        <w:rFonts w:hint="eastAsia"/>
      </w:rPr>
    </w:pPr>
    <w:r>
      <w:pict>
        <v:shape id="PowerPlusWaterMarkObject195006321" o:spid="_x0000_s2050" o:spt="136" type="#_x0000_t136" style="position:absolute;left:0pt;height:133.2pt;width:466.3pt;mso-position-horizontal:center;mso-position-horizontal-relative:margin;mso-position-vertical:center;mso-position-vertical-relative:margin;rotation:20643840f;z-index:-251655168;mso-width-relative:page;mso-height-relative:page;" fillcolor="#EAEAEA" filled="t" stroked="f" coordsize="21600,21600" o:allowincell="f">
          <v:path/>
          <v:fill on="t" opacity="32768f" focussize="0,0"/>
          <v:stroke on="f"/>
          <v:imagedata o:title=""/>
          <o:lock v:ext="edit"/>
          <v:textpath on="t" fitshape="t" fitpath="t" trim="f" xscale="f" string="GOSING" style="font-family:Colonna MT;font-size:8pt;v-same-letter-heights:f;v-text-align:center;"/>
        </v:shape>
      </w:pict>
    </w:r>
    <w:r>
      <w:rPr>
        <w:rFonts w:hint="eastAsia"/>
      </w:rPr>
      <w:drawing>
        <wp:anchor distT="0" distB="0" distL="114300" distR="114300" simplePos="0" relativeHeight="251662336" behindDoc="0" locked="0" layoutInCell="1" allowOverlap="1">
          <wp:simplePos x="0" y="0"/>
          <wp:positionH relativeFrom="column">
            <wp:posOffset>-525780</wp:posOffset>
          </wp:positionH>
          <wp:positionV relativeFrom="paragraph">
            <wp:posOffset>-237490</wp:posOffset>
          </wp:positionV>
          <wp:extent cx="6510020" cy="287655"/>
          <wp:effectExtent l="0" t="0" r="5080" b="17145"/>
          <wp:wrapSquare wrapText="bothSides"/>
          <wp:docPr id="3" name="图片 25" descr="说明: B部分-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5" descr="说明: B部分-27"/>
                  <pic:cNvPicPr>
                    <a:picLocks noChangeAspect="1"/>
                  </pic:cNvPicPr>
                </pic:nvPicPr>
                <pic:blipFill>
                  <a:blip r:embed="rId1"/>
                  <a:stretch>
                    <a:fillRect/>
                  </a:stretch>
                </pic:blipFill>
                <pic:spPr>
                  <a:xfrm>
                    <a:off x="0" y="0"/>
                    <a:ext cx="6510020" cy="28765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B92CD">
    <w:pPr>
      <w:pStyle w:val="5"/>
    </w:pPr>
    <w:r>
      <w:pict>
        <v:shape id="PowerPlusWaterMarkObject195006320" o:spid="_x0000_s2053" o:spt="136" type="#_x0000_t136" style="position:absolute;left:0pt;height:133.2pt;width:466.3pt;mso-position-horizontal:center;mso-position-horizontal-relative:margin;mso-position-vertical:center;mso-position-vertical-relative:margin;rotation:20643840f;z-index:-251656192;mso-width-relative:page;mso-height-relative:page;" fillcolor="#EAEAEA" filled="t" stroked="f" coordsize="21600,21600" o:allowincell="f">
          <v:path/>
          <v:fill on="t" opacity="32768f" focussize="0,0"/>
          <v:stroke on="f"/>
          <v:imagedata o:title=""/>
          <o:lock v:ext="edit"/>
          <v:textpath on="t" fitshape="t" fitpath="t" trim="f" xscale="f" string="GOSING" style="font-family:Colonna MT;font-size:8pt;v-same-letter-heights:f;v-text-align:center;"/>
        </v:shape>
      </w:pict>
    </w:r>
  </w:p>
  <w:p w14:paraId="43655745"/>
  <w:p w14:paraId="4A6DDB22"/>
  <w:p w14:paraId="526BF30D"/>
  <w:p w14:paraId="4133386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7F7F9">
    <w:pPr>
      <w:pStyle w:val="5"/>
    </w:pPr>
    <w:r>
      <w:pict>
        <v:shape id="PowerPlusWaterMarkObject195006319" o:spid="_x0000_s2049" o:spt="136" type="#_x0000_t136" style="position:absolute;left:0pt;height:133.2pt;width:466.3pt;mso-position-horizontal:center;mso-position-horizontal-relative:margin;mso-position-vertical:center;mso-position-vertical-relative:margin;rotation:20643840f;z-index:-251657216;mso-width-relative:page;mso-height-relative:page;" fillcolor="#EAEAEA" filled="t" stroked="f" coordsize="21600,21600" o:allowincell="f">
          <v:path/>
          <v:fill on="t" opacity="32768f" focussize="0,0"/>
          <v:stroke on="f"/>
          <v:imagedata o:title=""/>
          <o:lock v:ext="edit"/>
          <v:textpath on="t" fitshape="t" fitpath="t" trim="f" xscale="f" string="GOSING" style="font-family:Colonna MT;font-size:8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0D2646"/>
    <w:multiLevelType w:val="multilevel"/>
    <w:tmpl w:val="0F0D2646"/>
    <w:lvl w:ilvl="0" w:tentative="0">
      <w:start w:val="1"/>
      <w:numFmt w:val="japaneseCounting"/>
      <w:lvlText w:val="%1、"/>
      <w:lvlJc w:val="left"/>
      <w:pPr>
        <w:ind w:left="876" w:hanging="45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
    <w:nsid w:val="5A704288"/>
    <w:multiLevelType w:val="multilevel"/>
    <w:tmpl w:val="5A704288"/>
    <w:lvl w:ilvl="0" w:tentative="0">
      <w:start w:val="8"/>
      <w:numFmt w:val="japaneseCounting"/>
      <w:lvlText w:val="（%1）"/>
      <w:lvlJc w:val="left"/>
      <w:pPr>
        <w:ind w:left="1144" w:hanging="720"/>
      </w:pPr>
      <w:rPr>
        <w:rFonts w:hint="default"/>
      </w:rPr>
    </w:lvl>
    <w:lvl w:ilvl="1" w:tentative="0">
      <w:start w:val="1"/>
      <w:numFmt w:val="lowerLetter"/>
      <w:lvlText w:val="%2)"/>
      <w:lvlJc w:val="left"/>
      <w:pPr>
        <w:ind w:left="1304" w:hanging="440"/>
      </w:pPr>
    </w:lvl>
    <w:lvl w:ilvl="2" w:tentative="0">
      <w:start w:val="1"/>
      <w:numFmt w:val="lowerRoman"/>
      <w:lvlText w:val="%3."/>
      <w:lvlJc w:val="right"/>
      <w:pPr>
        <w:ind w:left="1744" w:hanging="440"/>
      </w:pPr>
    </w:lvl>
    <w:lvl w:ilvl="3" w:tentative="0">
      <w:start w:val="1"/>
      <w:numFmt w:val="decimal"/>
      <w:lvlText w:val="%4."/>
      <w:lvlJc w:val="left"/>
      <w:pPr>
        <w:ind w:left="2184" w:hanging="440"/>
      </w:pPr>
    </w:lvl>
    <w:lvl w:ilvl="4" w:tentative="0">
      <w:start w:val="1"/>
      <w:numFmt w:val="lowerLetter"/>
      <w:lvlText w:val="%5)"/>
      <w:lvlJc w:val="left"/>
      <w:pPr>
        <w:ind w:left="2624" w:hanging="440"/>
      </w:pPr>
    </w:lvl>
    <w:lvl w:ilvl="5" w:tentative="0">
      <w:start w:val="1"/>
      <w:numFmt w:val="lowerRoman"/>
      <w:lvlText w:val="%6."/>
      <w:lvlJc w:val="right"/>
      <w:pPr>
        <w:ind w:left="3064" w:hanging="440"/>
      </w:pPr>
    </w:lvl>
    <w:lvl w:ilvl="6" w:tentative="0">
      <w:start w:val="1"/>
      <w:numFmt w:val="decimal"/>
      <w:lvlText w:val="%7."/>
      <w:lvlJc w:val="left"/>
      <w:pPr>
        <w:ind w:left="3504" w:hanging="440"/>
      </w:pPr>
    </w:lvl>
    <w:lvl w:ilvl="7" w:tentative="0">
      <w:start w:val="1"/>
      <w:numFmt w:val="lowerLetter"/>
      <w:lvlText w:val="%8)"/>
      <w:lvlJc w:val="left"/>
      <w:pPr>
        <w:ind w:left="3944" w:hanging="440"/>
      </w:pPr>
    </w:lvl>
    <w:lvl w:ilvl="8" w:tentative="0">
      <w:start w:val="1"/>
      <w:numFmt w:val="lowerRoman"/>
      <w:lvlText w:val="%9."/>
      <w:lvlJc w:val="right"/>
      <w:pPr>
        <w:ind w:left="4384"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DF5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76" w:lineRule="auto"/>
      <w:jc w:val="center"/>
      <w:outlineLvl w:val="0"/>
    </w:pPr>
    <w:rPr>
      <w:b/>
      <w:kern w:val="44"/>
      <w:sz w:val="44"/>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Body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tabs>
        <w:tab w:val="center" w:pos="4153"/>
        <w:tab w:val="right" w:pos="8306"/>
      </w:tabs>
      <w:snapToGrid w:val="0"/>
      <w:jc w:val="center"/>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uiPriority w:val="0"/>
  </w:style>
  <w:style w:type="paragraph" w:customStyle="1" w:styleId="10">
    <w:name w:val="文档正文"/>
    <w:basedOn w:val="1"/>
    <w:qFormat/>
    <w:uiPriority w:val="0"/>
    <w:pPr>
      <w:spacing w:line="360" w:lineRule="auto"/>
    </w:pPr>
    <w:rPr>
      <w:rFonts w:ascii="Calibri" w:hAnsi="Calibri" w:cs="Arial"/>
      <w:bCs/>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22.png"/><Relationship Id="rId28" Type="http://schemas.openxmlformats.org/officeDocument/2006/relationships/image" Target="media/image21.png"/><Relationship Id="rId27" Type="http://schemas.openxmlformats.org/officeDocument/2006/relationships/image" Target="media/image20.png"/><Relationship Id="rId26" Type="http://schemas.openxmlformats.org/officeDocument/2006/relationships/image" Target="media/image19.png"/><Relationship Id="rId25" Type="http://schemas.openxmlformats.org/officeDocument/2006/relationships/image" Target="media/image18.png"/><Relationship Id="rId24" Type="http://schemas.openxmlformats.org/officeDocument/2006/relationships/image" Target="media/image17.png"/><Relationship Id="rId23" Type="http://schemas.openxmlformats.org/officeDocument/2006/relationships/image" Target="media/image16.png"/><Relationship Id="rId22" Type="http://schemas.openxmlformats.org/officeDocument/2006/relationships/image" Target="media/image15.png"/><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3"/>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2025-04-29T10:18:01Z</dcterms:created>
  <dc:creator>Administrator</dc:creator>
  <cp:lastModifiedBy>Administrator</cp:lastModifiedBy>
  <dcterms:modified xsi:type="dcterms:W3CDTF">2025-04-29T10:21:09Z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eyJoZGlkIjoiOWUyODI3ZDg3NjU4NzQ3NjJjMDhkZGY2ODVkYzI0NTAiLCJ1c2VySWQiOiI1MDk5NTI0NTYifQ==</vt:lpwstr>
  </property>
  <property fmtid="{D5CDD505-2E9C-101B-9397-08002B2CF9AE}" pid="4" name="ICV">
    <vt:lpwstr>429BEB7AAB13462A8230D67C9E6B6E9E_12</vt:lpwstr>
  </property>
</Properties>
</file>