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AC6649" w:rsidRPr="00AC6649" w:rsidRDefault="00AC6649" w:rsidP="00AC6649">
      <w:pPr>
        <w:keepNext/>
        <w:keepLines/>
        <w:spacing w:line="360" w:lineRule="auto"/>
        <w:jc w:val="center"/>
        <w:outlineLvl w:val="0"/>
        <w:rPr>
          <w:rFonts w:ascii="黑体" w:eastAsia="黑体" w:hAnsi="黑体" w:cs="Times New Roman" w:hint="eastAsia"/>
          <w:b/>
          <w:bCs/>
          <w:color w:val="000000"/>
          <w:kern w:val="44"/>
          <w:sz w:val="44"/>
          <w:szCs w:val="44"/>
        </w:rPr>
      </w:pPr>
      <w:r w:rsidRPr="00AC6649">
        <w:rPr>
          <w:rFonts w:ascii="黑体" w:eastAsia="黑体" w:hAnsi="黑体" w:cs="Times New Roman"/>
          <w:b/>
          <w:bCs/>
          <w:color w:val="000000"/>
          <w:kern w:val="44"/>
          <w:sz w:val="44"/>
          <w:szCs w:val="44"/>
        </w:rPr>
        <w:fldChar w:fldCharType="begin"/>
      </w:r>
      <w:r w:rsidRPr="00AC6649">
        <w:rPr>
          <w:rFonts w:ascii="黑体" w:eastAsia="黑体" w:hAnsi="黑体" w:cs="Times New Roman"/>
          <w:b/>
          <w:bCs/>
          <w:color w:val="000000"/>
          <w:kern w:val="44"/>
          <w:sz w:val="44"/>
          <w:szCs w:val="44"/>
        </w:rPr>
        <w:instrText xml:space="preserve"> HYPERLINK \l "_Toc488762883" </w:instrText>
      </w:r>
      <w:r w:rsidRPr="00AC6649">
        <w:rPr>
          <w:rFonts w:ascii="黑体" w:eastAsia="黑体" w:hAnsi="黑体" w:cs="Times New Roman"/>
          <w:b/>
          <w:bCs/>
          <w:color w:val="000000"/>
          <w:kern w:val="44"/>
          <w:sz w:val="44"/>
          <w:szCs w:val="44"/>
        </w:rPr>
        <w:fldChar w:fldCharType="separate"/>
      </w:r>
      <w:r w:rsidRPr="00AC6649">
        <w:rPr>
          <w:rFonts w:ascii="黑体" w:eastAsia="黑体" w:hAnsi="黑体" w:cs="Times New Roman" w:hint="eastAsia"/>
          <w:b/>
          <w:bCs/>
          <w:color w:val="000000"/>
          <w:kern w:val="44"/>
          <w:sz w:val="44"/>
          <w:szCs w:val="44"/>
        </w:rPr>
        <w:t>招标项目需求</w:t>
      </w:r>
      <w:r w:rsidRPr="00AC6649">
        <w:rPr>
          <w:rFonts w:ascii="黑体" w:eastAsia="黑体" w:hAnsi="黑体" w:cs="Times New Roman"/>
          <w:b/>
          <w:bCs/>
          <w:color w:val="000000"/>
          <w:kern w:val="44"/>
          <w:sz w:val="44"/>
          <w:szCs w:val="44"/>
        </w:rPr>
        <w:fldChar w:fldCharType="end"/>
      </w:r>
      <w:bookmarkEnd w:id="0"/>
    </w:p>
    <w:p w:rsidR="00AC6649" w:rsidRPr="00AC6649" w:rsidRDefault="00AC6649" w:rsidP="00AC6649">
      <w:pPr>
        <w:spacing w:line="360" w:lineRule="auto"/>
        <w:outlineLvl w:val="1"/>
        <w:rPr>
          <w:rFonts w:ascii="宋体" w:eastAsia="宋体" w:hAnsi="宋体" w:cs="Times New Roman" w:hint="eastAsia"/>
          <w:b/>
          <w:bCs/>
          <w:kern w:val="0"/>
          <w:sz w:val="28"/>
          <w:szCs w:val="28"/>
        </w:rPr>
      </w:pPr>
      <w:bookmarkStart w:id="1" w:name="sixxiangmugaisu"/>
      <w:bookmarkStart w:id="2" w:name="_Toc13"/>
      <w:bookmarkStart w:id="3" w:name="_Toc266949377"/>
      <w:bookmarkEnd w:id="1"/>
      <w:r w:rsidRPr="00AC6649">
        <w:rPr>
          <w:rFonts w:ascii="宋体" w:eastAsia="宋体" w:hAnsi="宋体" w:cs="Times New Roman" w:hint="eastAsia"/>
          <w:b/>
          <w:bCs/>
          <w:kern w:val="0"/>
          <w:sz w:val="28"/>
          <w:szCs w:val="28"/>
        </w:rPr>
        <w:t>一、项目概况</w:t>
      </w:r>
      <w:bookmarkEnd w:id="2"/>
    </w:p>
    <w:p w:rsidR="00AC6649" w:rsidRPr="00AC6649" w:rsidRDefault="00AC6649" w:rsidP="00AC6649">
      <w:pPr>
        <w:spacing w:line="360" w:lineRule="auto"/>
        <w:ind w:firstLineChars="202" w:firstLine="485"/>
        <w:rPr>
          <w:rFonts w:ascii="宋体" w:eastAsia="宋体" w:hAnsi="宋体" w:cs="Times New Roman" w:hint="eastAsia"/>
          <w:sz w:val="24"/>
          <w:szCs w:val="24"/>
        </w:rPr>
      </w:pPr>
      <w:r w:rsidRPr="00AC6649">
        <w:rPr>
          <w:rFonts w:ascii="宋体" w:eastAsia="宋体" w:hAnsi="宋体" w:cs="Times New Roman" w:hint="eastAsia"/>
          <w:sz w:val="24"/>
          <w:szCs w:val="24"/>
        </w:rPr>
        <w:t>本项目位于光明科学城核心大科学装置引领区，紧邻正在建设的深圳医学科学院与深圳湾实验室，周边分布中山大学深圳校区及深圳理工大学。项目范围北至羌下一路，南至羌下二路，西</w:t>
      </w:r>
      <w:proofErr w:type="gramStart"/>
      <w:r w:rsidRPr="00AC6649">
        <w:rPr>
          <w:rFonts w:ascii="宋体" w:eastAsia="宋体" w:hAnsi="宋体" w:cs="Times New Roman" w:hint="eastAsia"/>
          <w:sz w:val="24"/>
          <w:szCs w:val="24"/>
        </w:rPr>
        <w:t>临基本</w:t>
      </w:r>
      <w:proofErr w:type="gramEnd"/>
      <w:r w:rsidRPr="00AC6649">
        <w:rPr>
          <w:rFonts w:ascii="宋体" w:eastAsia="宋体" w:hAnsi="宋体" w:cs="Times New Roman" w:hint="eastAsia"/>
          <w:sz w:val="24"/>
          <w:szCs w:val="24"/>
        </w:rPr>
        <w:t>农田，东至永创路。项目拆除新建用地面积约6.5万平方米（最终数据以政府审批数据为准），现状建筑面积约5.6万平方米（最终数据以测绘报告为准），现状容积率0.9。</w:t>
      </w:r>
    </w:p>
    <w:p w:rsidR="00AC6649" w:rsidRPr="00AC6649" w:rsidRDefault="00AC6649" w:rsidP="00AC6649">
      <w:pPr>
        <w:widowControl/>
        <w:kinsoku w:val="0"/>
        <w:autoSpaceDE w:val="0"/>
        <w:autoSpaceDN w:val="0"/>
        <w:adjustRightInd w:val="0"/>
        <w:snapToGrid w:val="0"/>
        <w:spacing w:line="560" w:lineRule="exact"/>
        <w:jc w:val="center"/>
        <w:textAlignment w:val="baseline"/>
        <w:rPr>
          <w:rFonts w:ascii="Verdana" w:eastAsia="仿宋_GB2312" w:hAnsi="Verdana" w:cs="Times New Roman"/>
          <w:b/>
          <w:bCs/>
          <w:sz w:val="24"/>
          <w:szCs w:val="24"/>
          <w:lang w:eastAsia="en-US"/>
        </w:rPr>
      </w:pPr>
      <w:proofErr w:type="spellStart"/>
      <w:r w:rsidRPr="00AC6649">
        <w:rPr>
          <w:rFonts w:ascii="仿宋" w:eastAsia="仿宋" w:hAnsi="仿宋" w:cs="仿宋" w:hint="eastAsia"/>
          <w:b/>
          <w:bCs/>
          <w:spacing w:val="-3"/>
          <w:sz w:val="28"/>
          <w:szCs w:val="28"/>
          <w:lang w:eastAsia="en-US"/>
        </w:rPr>
        <w:t>现状建筑一览表</w:t>
      </w:r>
      <w:proofErr w:type="spellEnd"/>
    </w:p>
    <w:p w:rsidR="00AC6649" w:rsidRPr="00AC6649" w:rsidRDefault="00AC6649" w:rsidP="00AC6649">
      <w:pPr>
        <w:spacing w:after="160" w:line="278" w:lineRule="auto"/>
        <w:rPr>
          <w:rFonts w:ascii="Times New Roman" w:eastAsia="宋体" w:hAnsi="Times New Roman" w:cs="Times New Roman"/>
          <w:szCs w:val="24"/>
        </w:rPr>
      </w:pPr>
      <w:r w:rsidRPr="00AC6649">
        <w:rPr>
          <w:rFonts w:ascii="Times New Roman" w:eastAsia="宋体" w:hAnsi="Times New Roman" w:cs="Times New Roman" w:hint="eastAsia"/>
          <w:szCs w:val="24"/>
        </w:rPr>
        <w:t xml:space="preserve">   </w:t>
      </w:r>
    </w:p>
    <w:tbl>
      <w:tblPr>
        <w:tblpPr w:leftFromText="180" w:rightFromText="180" w:vertAnchor="text" w:horzAnchor="page" w:tblpXSpec="center" w:tblpY="13"/>
        <w:tblOverlap w:val="neve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91"/>
        <w:gridCol w:w="2415"/>
        <w:gridCol w:w="2460"/>
        <w:gridCol w:w="3033"/>
      </w:tblGrid>
      <w:tr w:rsidR="00AC6649" w:rsidRPr="00AC6649" w:rsidTr="00BD4A0B">
        <w:trPr>
          <w:trHeight w:val="322"/>
          <w:jc w:val="center"/>
        </w:trPr>
        <w:tc>
          <w:tcPr>
            <w:tcW w:w="691" w:type="dxa"/>
            <w:vAlign w:val="center"/>
          </w:tcPr>
          <w:p w:rsidR="00AC6649" w:rsidRPr="00AC6649" w:rsidRDefault="00AC6649" w:rsidP="00AC6649">
            <w:pPr>
              <w:spacing w:after="160"/>
              <w:jc w:val="center"/>
              <w:rPr>
                <w:rFonts w:ascii="宋体" w:eastAsia="宋体" w:hAnsi="宋体" w:cs="宋体"/>
                <w:szCs w:val="21"/>
                <w:lang w:eastAsia="en-US"/>
              </w:rPr>
            </w:pPr>
            <w:proofErr w:type="spellStart"/>
            <w:r w:rsidRPr="00AC6649">
              <w:rPr>
                <w:rFonts w:ascii="宋体" w:eastAsia="宋体" w:hAnsi="宋体" w:cs="宋体" w:hint="eastAsia"/>
                <w:spacing w:val="-2"/>
                <w:szCs w:val="21"/>
                <w:lang w:eastAsia="en-US"/>
              </w:rPr>
              <w:t>序号</w:t>
            </w:r>
            <w:proofErr w:type="spellEnd"/>
          </w:p>
        </w:tc>
        <w:tc>
          <w:tcPr>
            <w:tcW w:w="2415" w:type="dxa"/>
            <w:vAlign w:val="center"/>
          </w:tcPr>
          <w:p w:rsidR="00AC6649" w:rsidRPr="00AC6649" w:rsidRDefault="00AC6649" w:rsidP="00AC6649">
            <w:pPr>
              <w:spacing w:after="160"/>
              <w:jc w:val="center"/>
              <w:rPr>
                <w:rFonts w:ascii="宋体" w:eastAsia="宋体" w:hAnsi="宋体" w:cs="宋体"/>
                <w:szCs w:val="21"/>
                <w:lang w:eastAsia="en-US"/>
              </w:rPr>
            </w:pPr>
            <w:proofErr w:type="spellStart"/>
            <w:r w:rsidRPr="00AC6649">
              <w:rPr>
                <w:rFonts w:ascii="宋体" w:eastAsia="宋体" w:hAnsi="宋体" w:cs="宋体" w:hint="eastAsia"/>
                <w:spacing w:val="-2"/>
                <w:szCs w:val="21"/>
                <w:lang w:eastAsia="en-US"/>
              </w:rPr>
              <w:t>物业类型</w:t>
            </w:r>
            <w:proofErr w:type="spellEnd"/>
          </w:p>
        </w:tc>
        <w:tc>
          <w:tcPr>
            <w:tcW w:w="2460" w:type="dxa"/>
            <w:vAlign w:val="center"/>
          </w:tcPr>
          <w:p w:rsidR="00AC6649" w:rsidRPr="00AC6649" w:rsidRDefault="00AC6649" w:rsidP="00AC6649">
            <w:pPr>
              <w:spacing w:after="160"/>
              <w:jc w:val="center"/>
              <w:rPr>
                <w:rFonts w:ascii="宋体" w:eastAsia="宋体" w:hAnsi="宋体" w:cs="宋体"/>
                <w:szCs w:val="21"/>
                <w:lang w:eastAsia="en-US"/>
              </w:rPr>
            </w:pPr>
            <w:proofErr w:type="spellStart"/>
            <w:r w:rsidRPr="00AC6649">
              <w:rPr>
                <w:rFonts w:ascii="宋体" w:eastAsia="宋体" w:hAnsi="宋体" w:cs="宋体" w:hint="eastAsia"/>
                <w:spacing w:val="-4"/>
                <w:szCs w:val="21"/>
                <w:lang w:eastAsia="en-US"/>
              </w:rPr>
              <w:t>建筑面积</w:t>
            </w:r>
            <w:proofErr w:type="spellEnd"/>
            <w:r w:rsidRPr="00AC6649">
              <w:rPr>
                <w:rFonts w:ascii="宋体" w:eastAsia="宋体" w:hAnsi="宋体" w:cs="宋体" w:hint="eastAsia"/>
                <w:spacing w:val="-4"/>
                <w:szCs w:val="21"/>
                <w:lang w:eastAsia="en-US"/>
              </w:rPr>
              <w:t>（㎡）</w:t>
            </w:r>
          </w:p>
        </w:tc>
        <w:tc>
          <w:tcPr>
            <w:tcW w:w="3033" w:type="dxa"/>
            <w:vAlign w:val="center"/>
          </w:tcPr>
          <w:p w:rsidR="00AC6649" w:rsidRPr="00AC6649" w:rsidRDefault="00AC6649" w:rsidP="00AC6649">
            <w:pPr>
              <w:spacing w:after="160"/>
              <w:jc w:val="center"/>
              <w:rPr>
                <w:rFonts w:ascii="宋体" w:eastAsia="宋体" w:hAnsi="宋体" w:cs="宋体"/>
                <w:szCs w:val="21"/>
                <w:lang w:eastAsia="en-US"/>
              </w:rPr>
            </w:pPr>
            <w:proofErr w:type="spellStart"/>
            <w:r w:rsidRPr="00AC6649">
              <w:rPr>
                <w:rFonts w:ascii="宋体" w:eastAsia="宋体" w:hAnsi="宋体" w:cs="宋体" w:hint="eastAsia"/>
                <w:spacing w:val="-11"/>
                <w:szCs w:val="21"/>
                <w:lang w:eastAsia="en-US"/>
              </w:rPr>
              <w:t>占比</w:t>
            </w:r>
            <w:proofErr w:type="spellEnd"/>
          </w:p>
        </w:tc>
      </w:tr>
      <w:tr w:rsidR="00AC6649" w:rsidRPr="00AC6649" w:rsidTr="00BD4A0B">
        <w:trPr>
          <w:trHeight w:val="310"/>
          <w:jc w:val="center"/>
        </w:trPr>
        <w:tc>
          <w:tcPr>
            <w:tcW w:w="691" w:type="dxa"/>
            <w:vAlign w:val="center"/>
          </w:tcPr>
          <w:p w:rsidR="00AC6649" w:rsidRPr="00AC6649" w:rsidRDefault="00AC6649" w:rsidP="00AC6649">
            <w:pPr>
              <w:spacing w:after="160"/>
              <w:jc w:val="center"/>
              <w:rPr>
                <w:rFonts w:ascii="宋体" w:eastAsia="宋体" w:hAnsi="宋体" w:cs="宋体"/>
                <w:szCs w:val="21"/>
                <w:lang w:eastAsia="en-US"/>
              </w:rPr>
            </w:pPr>
            <w:r w:rsidRPr="00AC6649">
              <w:rPr>
                <w:rFonts w:ascii="宋体" w:eastAsia="宋体" w:hAnsi="宋体" w:cs="宋体" w:hint="eastAsia"/>
                <w:szCs w:val="21"/>
                <w:lang w:eastAsia="en-US"/>
              </w:rPr>
              <w:t>1</w:t>
            </w:r>
          </w:p>
        </w:tc>
        <w:tc>
          <w:tcPr>
            <w:tcW w:w="2415" w:type="dxa"/>
            <w:vAlign w:val="center"/>
          </w:tcPr>
          <w:p w:rsidR="00AC6649" w:rsidRPr="00AC6649" w:rsidRDefault="00AC6649" w:rsidP="00AC6649">
            <w:pPr>
              <w:spacing w:after="160"/>
              <w:jc w:val="center"/>
              <w:rPr>
                <w:rFonts w:ascii="宋体" w:eastAsia="宋体" w:hAnsi="宋体" w:cs="宋体"/>
                <w:szCs w:val="21"/>
                <w:lang w:eastAsia="en-US"/>
              </w:rPr>
            </w:pPr>
            <w:proofErr w:type="spellStart"/>
            <w:r w:rsidRPr="00AC6649">
              <w:rPr>
                <w:rFonts w:ascii="宋体" w:eastAsia="宋体" w:hAnsi="宋体" w:cs="宋体" w:hint="eastAsia"/>
                <w:spacing w:val="-2"/>
                <w:szCs w:val="21"/>
                <w:lang w:eastAsia="en-US"/>
              </w:rPr>
              <w:t>住宅</w:t>
            </w:r>
            <w:proofErr w:type="spellEnd"/>
          </w:p>
        </w:tc>
        <w:tc>
          <w:tcPr>
            <w:tcW w:w="2460"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49536.5</w:t>
            </w:r>
          </w:p>
        </w:tc>
        <w:tc>
          <w:tcPr>
            <w:tcW w:w="3033"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88.99%</w:t>
            </w:r>
          </w:p>
        </w:tc>
      </w:tr>
      <w:tr w:rsidR="00AC6649" w:rsidRPr="00AC6649" w:rsidTr="00BD4A0B">
        <w:trPr>
          <w:trHeight w:val="381"/>
          <w:jc w:val="center"/>
        </w:trPr>
        <w:tc>
          <w:tcPr>
            <w:tcW w:w="691" w:type="dxa"/>
            <w:vAlign w:val="center"/>
          </w:tcPr>
          <w:p w:rsidR="00AC6649" w:rsidRPr="00AC6649" w:rsidRDefault="00AC6649" w:rsidP="00AC6649">
            <w:pPr>
              <w:spacing w:after="160"/>
              <w:jc w:val="center"/>
              <w:rPr>
                <w:rFonts w:ascii="宋体" w:eastAsia="宋体" w:hAnsi="宋体" w:cs="宋体"/>
                <w:szCs w:val="21"/>
              </w:rPr>
            </w:pPr>
            <w:r w:rsidRPr="00AC6649">
              <w:rPr>
                <w:rFonts w:ascii="宋体" w:eastAsia="宋体" w:hAnsi="宋体" w:cs="宋体" w:hint="eastAsia"/>
                <w:szCs w:val="21"/>
              </w:rPr>
              <w:t>2</w:t>
            </w:r>
          </w:p>
        </w:tc>
        <w:tc>
          <w:tcPr>
            <w:tcW w:w="2415" w:type="dxa"/>
            <w:vAlign w:val="center"/>
          </w:tcPr>
          <w:p w:rsidR="00AC6649" w:rsidRPr="00AC6649" w:rsidRDefault="00AC6649" w:rsidP="00AC6649">
            <w:pPr>
              <w:spacing w:after="160"/>
              <w:jc w:val="center"/>
              <w:rPr>
                <w:rFonts w:ascii="宋体" w:eastAsia="宋体" w:hAnsi="宋体" w:cs="宋体"/>
                <w:snapToGrid w:val="0"/>
                <w:color w:val="000000"/>
                <w:kern w:val="0"/>
                <w:szCs w:val="21"/>
              </w:rPr>
            </w:pPr>
            <w:r w:rsidRPr="00AC6649">
              <w:rPr>
                <w:rFonts w:ascii="宋体" w:eastAsia="宋体" w:hAnsi="宋体" w:cs="宋体" w:hint="eastAsia"/>
                <w:snapToGrid w:val="0"/>
                <w:color w:val="000000"/>
                <w:kern w:val="0"/>
                <w:szCs w:val="21"/>
              </w:rPr>
              <w:t>工业</w:t>
            </w:r>
          </w:p>
        </w:tc>
        <w:tc>
          <w:tcPr>
            <w:tcW w:w="2460"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5897.11</w:t>
            </w:r>
          </w:p>
        </w:tc>
        <w:tc>
          <w:tcPr>
            <w:tcW w:w="3033"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10.59%</w:t>
            </w:r>
          </w:p>
        </w:tc>
      </w:tr>
      <w:tr w:rsidR="00AC6649" w:rsidRPr="00AC6649" w:rsidTr="00BD4A0B">
        <w:trPr>
          <w:trHeight w:val="359"/>
          <w:jc w:val="center"/>
        </w:trPr>
        <w:tc>
          <w:tcPr>
            <w:tcW w:w="691" w:type="dxa"/>
            <w:vAlign w:val="center"/>
          </w:tcPr>
          <w:p w:rsidR="00AC6649" w:rsidRPr="00AC6649" w:rsidRDefault="00AC6649" w:rsidP="00AC6649">
            <w:pPr>
              <w:spacing w:after="160"/>
              <w:jc w:val="center"/>
              <w:rPr>
                <w:rFonts w:ascii="宋体" w:eastAsia="宋体" w:hAnsi="宋体" w:cs="宋体"/>
                <w:snapToGrid w:val="0"/>
                <w:color w:val="000000"/>
                <w:kern w:val="0"/>
                <w:szCs w:val="21"/>
                <w:lang w:eastAsia="en-US"/>
              </w:rPr>
            </w:pPr>
            <w:r w:rsidRPr="00AC6649">
              <w:rPr>
                <w:rFonts w:ascii="宋体" w:eastAsia="宋体" w:hAnsi="宋体" w:cs="宋体" w:hint="eastAsia"/>
                <w:szCs w:val="21"/>
              </w:rPr>
              <w:t>3</w:t>
            </w:r>
          </w:p>
        </w:tc>
        <w:tc>
          <w:tcPr>
            <w:tcW w:w="2415" w:type="dxa"/>
            <w:vAlign w:val="center"/>
          </w:tcPr>
          <w:p w:rsidR="00AC6649" w:rsidRPr="00AC6649" w:rsidRDefault="00AC6649" w:rsidP="00AC6649">
            <w:pPr>
              <w:spacing w:after="160"/>
              <w:jc w:val="center"/>
              <w:rPr>
                <w:rFonts w:ascii="宋体" w:eastAsia="宋体" w:hAnsi="宋体" w:cs="宋体"/>
                <w:snapToGrid w:val="0"/>
                <w:color w:val="000000"/>
                <w:spacing w:val="-2"/>
                <w:kern w:val="0"/>
                <w:szCs w:val="21"/>
              </w:rPr>
            </w:pPr>
            <w:r w:rsidRPr="00AC6649">
              <w:rPr>
                <w:rFonts w:ascii="宋体" w:eastAsia="宋体" w:hAnsi="宋体" w:cs="宋体" w:hint="eastAsia"/>
                <w:spacing w:val="-2"/>
                <w:szCs w:val="21"/>
              </w:rPr>
              <w:t>其他</w:t>
            </w:r>
          </w:p>
        </w:tc>
        <w:tc>
          <w:tcPr>
            <w:tcW w:w="2460"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233.18</w:t>
            </w:r>
          </w:p>
        </w:tc>
        <w:tc>
          <w:tcPr>
            <w:tcW w:w="3033"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0.42%</w:t>
            </w:r>
          </w:p>
        </w:tc>
      </w:tr>
      <w:tr w:rsidR="00AC6649" w:rsidRPr="00AC6649" w:rsidTr="00BD4A0B">
        <w:trPr>
          <w:trHeight w:val="460"/>
          <w:jc w:val="center"/>
        </w:trPr>
        <w:tc>
          <w:tcPr>
            <w:tcW w:w="3106" w:type="dxa"/>
            <w:gridSpan w:val="2"/>
            <w:vAlign w:val="center"/>
          </w:tcPr>
          <w:p w:rsidR="00AC6649" w:rsidRPr="00AC6649" w:rsidRDefault="00AC6649" w:rsidP="00AC6649">
            <w:pPr>
              <w:spacing w:after="160"/>
              <w:jc w:val="center"/>
              <w:rPr>
                <w:rFonts w:ascii="宋体" w:eastAsia="宋体" w:hAnsi="宋体" w:cs="宋体"/>
                <w:snapToGrid w:val="0"/>
                <w:color w:val="000000"/>
                <w:kern w:val="0"/>
                <w:szCs w:val="21"/>
              </w:rPr>
            </w:pPr>
            <w:r w:rsidRPr="00AC6649">
              <w:rPr>
                <w:rFonts w:ascii="宋体" w:eastAsia="宋体" w:hAnsi="宋体" w:cs="宋体" w:hint="eastAsia"/>
                <w:snapToGrid w:val="0"/>
                <w:color w:val="000000"/>
                <w:kern w:val="0"/>
                <w:szCs w:val="21"/>
              </w:rPr>
              <w:t>合计</w:t>
            </w:r>
          </w:p>
        </w:tc>
        <w:tc>
          <w:tcPr>
            <w:tcW w:w="2460" w:type="dxa"/>
            <w:vAlign w:val="center"/>
          </w:tcPr>
          <w:p w:rsidR="00AC6649" w:rsidRPr="00AC6649" w:rsidRDefault="00AC6649" w:rsidP="00AC6649">
            <w:pPr>
              <w:widowControl/>
              <w:spacing w:after="160" w:line="278" w:lineRule="auto"/>
              <w:jc w:val="center"/>
              <w:textAlignment w:val="center"/>
              <w:rPr>
                <w:rFonts w:ascii="宋体" w:eastAsia="宋体" w:hAnsi="宋体" w:cs="宋体"/>
                <w:snapToGrid w:val="0"/>
                <w:color w:val="000000"/>
                <w:kern w:val="0"/>
                <w:szCs w:val="21"/>
                <w:lang w:eastAsia="en-US"/>
              </w:rPr>
            </w:pPr>
            <w:r w:rsidRPr="00AC6649">
              <w:rPr>
                <w:rFonts w:ascii="宋体" w:eastAsia="宋体" w:hAnsi="宋体" w:cs="宋体" w:hint="eastAsia"/>
                <w:snapToGrid w:val="0"/>
                <w:color w:val="000000"/>
                <w:kern w:val="0"/>
                <w:szCs w:val="21"/>
              </w:rPr>
              <w:t>55666.79</w:t>
            </w:r>
          </w:p>
        </w:tc>
        <w:tc>
          <w:tcPr>
            <w:tcW w:w="3033" w:type="dxa"/>
            <w:vAlign w:val="center"/>
          </w:tcPr>
          <w:p w:rsidR="00AC6649" w:rsidRPr="00AC6649" w:rsidRDefault="00AC6649" w:rsidP="00AC6649">
            <w:pPr>
              <w:spacing w:after="160"/>
              <w:jc w:val="center"/>
              <w:rPr>
                <w:rFonts w:ascii="宋体" w:eastAsia="宋体" w:hAnsi="宋体" w:cs="宋体"/>
                <w:szCs w:val="21"/>
                <w:lang w:eastAsia="en-US"/>
              </w:rPr>
            </w:pPr>
            <w:r w:rsidRPr="00AC6649">
              <w:rPr>
                <w:rFonts w:ascii="宋体" w:eastAsia="宋体" w:hAnsi="宋体" w:cs="宋体" w:hint="eastAsia"/>
                <w:szCs w:val="21"/>
                <w:lang w:eastAsia="en-US"/>
              </w:rPr>
              <w:t>100%</w:t>
            </w:r>
          </w:p>
        </w:tc>
      </w:tr>
    </w:tbl>
    <w:p w:rsidR="00AC6649" w:rsidRPr="00AC6649" w:rsidRDefault="00AC6649" w:rsidP="00AC6649">
      <w:pPr>
        <w:spacing w:line="360" w:lineRule="auto"/>
        <w:ind w:firstLineChars="202" w:firstLine="485"/>
        <w:rPr>
          <w:rFonts w:ascii="宋体" w:eastAsia="宋体" w:hAnsi="宋体" w:cs="Times New Roman"/>
          <w:sz w:val="24"/>
          <w:szCs w:val="24"/>
        </w:rPr>
      </w:pPr>
      <w:r w:rsidRPr="00AC6649">
        <w:rPr>
          <w:rFonts w:ascii="宋体" w:eastAsia="宋体" w:hAnsi="宋体" w:cs="Times New Roman" w:hint="eastAsia"/>
          <w:sz w:val="24"/>
          <w:szCs w:val="24"/>
        </w:rPr>
        <w:t>此次采购的测绘单位是为上述住宅、工业等提供测绘服务。</w:t>
      </w:r>
    </w:p>
    <w:p w:rsidR="00AC6649" w:rsidRPr="00AC6649" w:rsidRDefault="00AC6649" w:rsidP="00AC6649">
      <w:pPr>
        <w:spacing w:line="360" w:lineRule="auto"/>
        <w:ind w:firstLineChars="202" w:firstLine="485"/>
        <w:rPr>
          <w:rFonts w:ascii="宋体" w:eastAsia="宋体" w:hAnsi="宋体" w:cs="Times New Roman" w:hint="eastAsia"/>
          <w:sz w:val="24"/>
          <w:szCs w:val="24"/>
        </w:rPr>
      </w:pPr>
    </w:p>
    <w:p w:rsidR="00AC6649" w:rsidRPr="00AC6649" w:rsidRDefault="00AC6649" w:rsidP="00AC6649">
      <w:pPr>
        <w:spacing w:line="360" w:lineRule="auto"/>
        <w:outlineLvl w:val="1"/>
        <w:rPr>
          <w:rFonts w:ascii="宋体" w:eastAsia="宋体" w:hAnsi="宋体" w:cs="Times New Roman" w:hint="eastAsia"/>
          <w:b/>
          <w:bCs/>
          <w:kern w:val="0"/>
          <w:sz w:val="28"/>
          <w:szCs w:val="28"/>
        </w:rPr>
      </w:pPr>
      <w:bookmarkStart w:id="4" w:name="_Toc27589"/>
      <w:r w:rsidRPr="00AC6649">
        <w:rPr>
          <w:rFonts w:ascii="宋体" w:eastAsia="宋体" w:hAnsi="宋体" w:cs="Times New Roman" w:hint="eastAsia"/>
          <w:b/>
          <w:bCs/>
          <w:kern w:val="0"/>
          <w:sz w:val="28"/>
          <w:szCs w:val="28"/>
        </w:rPr>
        <w:t>二、服务内容及要求</w:t>
      </w:r>
      <w:bookmarkEnd w:id="4"/>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项目目标</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对项目范围内红线点进行放样；建筑物（永久、临时）及附属物（构筑物、附着物）面积测量；构筑物表面积测量；建筑物（永久、临时）、附属物（构筑物、附着物）位置测点等工作，并出具测绘报告。</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工作依据</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1、《房产测量规范》，GB/T17986.1-2000；</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2、《1：500  1：1000  1：2000地形图图式》，GB/T 20257.1-2017；</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3、《测绘成果质量检查与验收》，GB/T 24356-2023；</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4、《城市测量规范》，CJJ/T 8-2011；</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5、《卫星定位城市测量技术标准》，CJJ/T 73-2019；</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6、《关于房屋建筑面积计算与房屋权属登记有关问题的通知》（建住房〔2002〕</w:t>
      </w:r>
      <w:r w:rsidRPr="00AC6649">
        <w:rPr>
          <w:rFonts w:ascii="宋体" w:eastAsia="宋体" w:hAnsi="宋体" w:cs="Times New Roman" w:hint="eastAsia"/>
          <w:bCs/>
          <w:sz w:val="24"/>
          <w:szCs w:val="24"/>
        </w:rPr>
        <w:lastRenderedPageBreak/>
        <w:t>74号）；</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7、《房屋建筑面积测绘技术规范》，深圳市市场监督管理局，SZJG 22-2015；</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8、《深圳市基础测绘技术规程》，深圳市规划与国土资源局，2000年10月。</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注：若涉及相关国家最新行业标准，以最新标准为准；</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工作内容</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1、测绘报告内容</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测绘报告以独立建筑、院落等测绘范围为单元编制，可同时包含多栋建筑物、附属物或地类图斑的测绘数据。</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测绘报告内容包括建（构）筑物及地面附着物的位置、形状、边长、高度、面积等，并附相应照片和测绘说明。</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2、测绘项目位置分布图</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测绘项目位置分布图，彩色打印。位置分布</w:t>
      </w:r>
      <w:proofErr w:type="gramStart"/>
      <w:r w:rsidRPr="00AC6649">
        <w:rPr>
          <w:rFonts w:ascii="宋体" w:eastAsia="宋体" w:hAnsi="宋体" w:cs="Times New Roman" w:hint="eastAsia"/>
          <w:bCs/>
          <w:sz w:val="24"/>
          <w:szCs w:val="24"/>
        </w:rPr>
        <w:t>图内容</w:t>
      </w:r>
      <w:proofErr w:type="gramEnd"/>
      <w:r w:rsidRPr="00AC6649">
        <w:rPr>
          <w:rFonts w:ascii="宋体" w:eastAsia="宋体" w:hAnsi="宋体" w:cs="Times New Roman" w:hint="eastAsia"/>
          <w:bCs/>
          <w:sz w:val="24"/>
          <w:szCs w:val="24"/>
        </w:rPr>
        <w:t>包括：</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（1）本次测绘范围边界及坐标。</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（2）本次测绘对象（建筑物、附属物、地类）轮廓及测绘编号。</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（3）地形数据，要求白色（打印为黑色）细线，</w:t>
      </w:r>
      <w:proofErr w:type="gramStart"/>
      <w:r w:rsidRPr="00AC6649">
        <w:rPr>
          <w:rFonts w:ascii="宋体" w:eastAsia="宋体" w:hAnsi="宋体" w:cs="Times New Roman" w:hint="eastAsia"/>
          <w:bCs/>
          <w:sz w:val="24"/>
          <w:szCs w:val="24"/>
        </w:rPr>
        <w:t>起背景</w:t>
      </w:r>
      <w:proofErr w:type="gramEnd"/>
      <w:r w:rsidRPr="00AC6649">
        <w:rPr>
          <w:rFonts w:ascii="宋体" w:eastAsia="宋体" w:hAnsi="宋体" w:cs="Times New Roman" w:hint="eastAsia"/>
          <w:bCs/>
          <w:sz w:val="24"/>
          <w:szCs w:val="24"/>
        </w:rPr>
        <w:t>衬托效果。</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（4）图例，解释或说明。</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3、建筑面积计算</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（1）分层绘制平面图，通过几何图形，由计算机专用软件计算建筑面积。不同结构或用途的建筑空间，在分层平面图上分别绘制几何图形，并计算建筑面积。</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（2）主体建筑面积，严格按照第2条所列技术规范的有关规定计算。</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（3）外走廊一律按测绘规范计算面积，并按有柱走廊（柱廊）、无柱走廊（檐廊）分别统计；内走廊按主体处理。有柱走廊绘制实线图斑，无柱走廊绘制虚线图斑。</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（4）阳台一律按测绘规范计算面积，封闭阳台实线绘制，不封闭阳台虚线绘制。</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（5）分层汇总建筑面积，层内有多种结构、用途的，应备注说明。</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（6）按栋汇总建筑面积，有多种结构、用途的，应备注说明。</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（7）一栋多户的建筑，按共有权处理，不允许虚拟线分割成多栋出具测绘</w:t>
      </w:r>
      <w:r w:rsidRPr="00AC6649">
        <w:rPr>
          <w:rFonts w:ascii="宋体" w:eastAsia="宋体" w:hAnsi="宋体" w:cs="Times New Roman" w:hint="eastAsia"/>
          <w:bCs/>
          <w:sz w:val="24"/>
          <w:szCs w:val="24"/>
        </w:rPr>
        <w:lastRenderedPageBreak/>
        <w:t>报告。</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4、投影面积计算</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（1）按规定不计建筑面积的有顶盖的建筑空间，包括两层高阳台，与室内不相通的平台、挑廊、檐廊等，仍以封闭图形绘制在建筑面积计算的分层平面图上，标注尺寸和投影面积。</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（2）按栋汇总投影面积，有多种结构、用途的，应备注说明。</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（3）已经计算建筑面积（包括半面积）的建筑空间，不得重复计算投影面积。</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（4）临时结构房屋、简易棚等，有外墙、柱的按外墙、柱外沿量取尺寸分层计算投影面积，无外墙、柱的按顶盖外沿量取尺寸并计算投影面积，</w:t>
      </w:r>
      <w:proofErr w:type="gramStart"/>
      <w:r w:rsidRPr="00AC6649">
        <w:rPr>
          <w:rFonts w:ascii="宋体" w:eastAsia="宋体" w:hAnsi="宋体" w:cs="Times New Roman" w:hint="eastAsia"/>
          <w:bCs/>
          <w:sz w:val="24"/>
          <w:szCs w:val="24"/>
        </w:rPr>
        <w:t>并测注</w:t>
      </w:r>
      <w:proofErr w:type="gramEnd"/>
      <w:r w:rsidRPr="00AC6649">
        <w:rPr>
          <w:rFonts w:ascii="宋体" w:eastAsia="宋体" w:hAnsi="宋体" w:cs="Times New Roman" w:hint="eastAsia"/>
          <w:bCs/>
          <w:sz w:val="24"/>
          <w:szCs w:val="24"/>
        </w:rPr>
        <w:t>高度；面状附属物，按边界计算投影面积。</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5、附属物测绘数据</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（1）附属物分构筑物、地上附着物，测绘数据分别汇总。</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（2）构筑物包括围墙、门楼、台阶、花池、水池、水泥地等，测绘数据由测绘编号、名称、结构、数量、规格及特征、现状照片组成。</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（3）地上附着物主要为各种植物，测绘数据由测绘编号、名称、数量、规格及特征、现状照片组成。</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6、实际用地范围简图</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实际用地范围简图，参考测绘技术报告数据制作，不作为测绘报告的组成部分。</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工作要求</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1.中标人应严格参照行业相关技术标准、符合相关规定，且应主动、及时了解相关技术标准的更新情况。如</w:t>
      </w:r>
      <w:proofErr w:type="gramStart"/>
      <w:r w:rsidRPr="00AC6649">
        <w:rPr>
          <w:rFonts w:ascii="宋体" w:eastAsia="宋体" w:hAnsi="宋体" w:cs="Times New Roman" w:hint="eastAsia"/>
          <w:bCs/>
          <w:sz w:val="24"/>
          <w:szCs w:val="24"/>
        </w:rPr>
        <w:t>遇相关</w:t>
      </w:r>
      <w:proofErr w:type="gramEnd"/>
      <w:r w:rsidRPr="00AC6649">
        <w:rPr>
          <w:rFonts w:ascii="宋体" w:eastAsia="宋体" w:hAnsi="宋体" w:cs="Times New Roman" w:hint="eastAsia"/>
          <w:bCs/>
          <w:sz w:val="24"/>
          <w:szCs w:val="24"/>
        </w:rPr>
        <w:t>技术标准国家或者业界已经废止不用，应将相关情况及时告知采购人，并征得采购人同意后，更新以上技术标准。</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2.中标人在合同的执行过程中应自觉接受由采购人组织的全过程监督检查。</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成果</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1、本项目主要成果包括：</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①建筑物、构筑物及附属物测绘报告;</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②测绘项目位置分布图;</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lastRenderedPageBreak/>
        <w:t>③分类面积汇总表；</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④项目范围正射影像图；</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2、成果形式：</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①文档：电子稿和纸质稿（PDF格式）；</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②数据：CAD、DOM数据（TIF格式）。</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（三）项目管理要求</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1.项目组织实施要求</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（1）中标人必须向采购人提供技术方案，并严格按照审查后的技术方案执行。</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（2）中标人要按部、省和市有关法规、技术规范，以及约定的工作内容、技术标准、工作进度和成果要求进行工作，并在规定时间内提交成果，对所提交成果的质量负责。</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（3）在项目实施全过程中，由采购人组织方案审定和项目验收工作。中标人在合同的执行过程中应自觉接受由采购人组织的全过程监督检查。</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2.项目人员要求</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（1）中标人需安排至少8名技术人员参与本项目。有固定的项目负责人和联系人。</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（2）项目组成员需有多年不动产测绘项目管理经验，熟悉相关法律法规和深圳市测绘、地理信息规程。</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（3）项目负责人在实施中不能更换，如需更换，必须向采购人提交书面申请，得到采购人的同意。</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（4）本项目服务要求质量高，因本项目为市重点项目，要求中标人需派驻专业能力强、业务素质高的专业团队成员。</w:t>
      </w:r>
    </w:p>
    <w:p w:rsidR="00AC6649" w:rsidRPr="00AC6649" w:rsidRDefault="00AC6649" w:rsidP="00AC6649">
      <w:pPr>
        <w:spacing w:line="360" w:lineRule="auto"/>
        <w:ind w:firstLineChars="200" w:firstLine="482"/>
        <w:rPr>
          <w:rFonts w:ascii="宋体" w:eastAsia="宋体" w:hAnsi="宋体" w:cs="Times New Roman"/>
          <w:bCs/>
          <w:sz w:val="24"/>
          <w:szCs w:val="24"/>
        </w:rPr>
      </w:pPr>
      <w:r w:rsidRPr="00AC6649">
        <w:rPr>
          <w:rFonts w:ascii="宋体" w:eastAsia="宋体" w:hAnsi="宋体" w:cs="Times New Roman" w:hint="eastAsia"/>
          <w:b/>
          <w:bCs/>
          <w:sz w:val="24"/>
          <w:szCs w:val="24"/>
        </w:rPr>
        <w:t>3.项目管理其他要求</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（1）本项目研发成果的所有权、使用权归采购人所有。未经采购人同意，中标人不得向第三方转让相关研发成果，一经发现，采购人有权追究其法律责任，并可立即终止与中标人签订的合同。</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（2）中标人必须确保文件中的人员信息真实、有效；</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（3）中标人必须保守国家机密，不得泄漏采购人所提供的属国家秘密的信</w:t>
      </w:r>
      <w:r w:rsidRPr="00AC6649">
        <w:rPr>
          <w:rFonts w:ascii="宋体" w:eastAsia="宋体" w:hAnsi="宋体" w:cs="Times New Roman" w:hint="eastAsia"/>
          <w:bCs/>
          <w:sz w:val="24"/>
          <w:szCs w:val="24"/>
        </w:rPr>
        <w:lastRenderedPageBreak/>
        <w:t>息和数据；未经采购人允许，不得使用或者以其它方式给任何第三方提供本项目的相关信息或数据；</w:t>
      </w:r>
    </w:p>
    <w:p w:rsidR="00AC6649" w:rsidRPr="00AC6649" w:rsidRDefault="00AC6649" w:rsidP="00AC6649">
      <w:pPr>
        <w:spacing w:line="360" w:lineRule="auto"/>
        <w:ind w:firstLineChars="200" w:firstLine="480"/>
        <w:rPr>
          <w:rFonts w:ascii="宋体" w:eastAsia="宋体" w:hAnsi="宋体" w:cs="Times New Roman"/>
          <w:bCs/>
          <w:sz w:val="24"/>
          <w:szCs w:val="24"/>
        </w:rPr>
      </w:pPr>
      <w:r w:rsidRPr="00AC6649">
        <w:rPr>
          <w:rFonts w:ascii="宋体" w:eastAsia="宋体" w:hAnsi="宋体" w:cs="Times New Roman" w:hint="eastAsia"/>
          <w:bCs/>
          <w:sz w:val="24"/>
          <w:szCs w:val="24"/>
        </w:rPr>
        <w:t>（4）中标人不得将项目非法分包或转包给任何单位和个人，否则采购人有权即刻终止合同，并要求中标人赔偿相应损失。</w:t>
      </w:r>
    </w:p>
    <w:p w:rsidR="00AC6649" w:rsidRPr="00AC6649" w:rsidRDefault="00AC6649" w:rsidP="00AC6649">
      <w:pPr>
        <w:spacing w:line="360" w:lineRule="auto"/>
        <w:ind w:firstLineChars="200" w:firstLine="482"/>
        <w:rPr>
          <w:rFonts w:ascii="宋体" w:eastAsia="宋体" w:hAnsi="宋体" w:cs="Times New Roman"/>
          <w:b/>
          <w:bCs/>
          <w:sz w:val="24"/>
          <w:szCs w:val="24"/>
        </w:rPr>
      </w:pPr>
      <w:r w:rsidRPr="00AC6649">
        <w:rPr>
          <w:rFonts w:ascii="宋体" w:eastAsia="宋体" w:hAnsi="宋体" w:cs="Times New Roman" w:hint="eastAsia"/>
          <w:b/>
          <w:bCs/>
          <w:sz w:val="24"/>
          <w:szCs w:val="24"/>
        </w:rPr>
        <w:t>（四）</w:t>
      </w:r>
      <w:r w:rsidRPr="00AC6649">
        <w:rPr>
          <w:rFonts w:ascii="宋体" w:eastAsia="宋体" w:hAnsi="宋体" w:cs="Times New Roman"/>
          <w:b/>
          <w:bCs/>
          <w:sz w:val="24"/>
          <w:szCs w:val="24"/>
        </w:rPr>
        <w:t>退出机制</w:t>
      </w:r>
    </w:p>
    <w:p w:rsidR="00AC6649" w:rsidRPr="00AC6649" w:rsidRDefault="00AC6649" w:rsidP="00AC6649">
      <w:pPr>
        <w:spacing w:line="360" w:lineRule="auto"/>
        <w:ind w:firstLineChars="200" w:firstLine="480"/>
        <w:rPr>
          <w:rFonts w:ascii="宋体" w:eastAsia="宋体" w:hAnsi="宋体" w:cs="Times New Roman" w:hint="eastAsia"/>
          <w:sz w:val="24"/>
          <w:szCs w:val="24"/>
        </w:rPr>
      </w:pPr>
      <w:r w:rsidRPr="00AC6649">
        <w:rPr>
          <w:rFonts w:ascii="宋体" w:eastAsia="宋体" w:hAnsi="宋体" w:cs="Times New Roman" w:hint="eastAsia"/>
          <w:bCs/>
          <w:sz w:val="24"/>
          <w:szCs w:val="24"/>
        </w:rPr>
        <w:t>由于不可抗力（如国家法律法规和政策变化、改造方式或模式变更）等非中标</w:t>
      </w:r>
      <w:proofErr w:type="gramStart"/>
      <w:r w:rsidRPr="00AC6649">
        <w:rPr>
          <w:rFonts w:ascii="宋体" w:eastAsia="宋体" w:hAnsi="宋体" w:cs="Times New Roman" w:hint="eastAsia"/>
          <w:bCs/>
          <w:sz w:val="24"/>
          <w:szCs w:val="24"/>
        </w:rPr>
        <w:t>人原因</w:t>
      </w:r>
      <w:proofErr w:type="gramEnd"/>
      <w:r w:rsidRPr="00AC6649">
        <w:rPr>
          <w:rFonts w:ascii="宋体" w:eastAsia="宋体" w:hAnsi="宋体" w:cs="Times New Roman" w:hint="eastAsia"/>
          <w:bCs/>
          <w:sz w:val="24"/>
          <w:szCs w:val="24"/>
        </w:rPr>
        <w:t>导致本项目无法继续实施的，中标人可向采购人申请退出，双方协商一致后终止服务。采购人应对中标人各项服务内容的工作进度予以确认，并根据工作进度核算已完的工作服务费，按照多退少补的原则，予以据实结算</w:t>
      </w:r>
      <w:r w:rsidRPr="00AC6649">
        <w:rPr>
          <w:rFonts w:ascii="宋体" w:eastAsia="宋体" w:hAnsi="宋体" w:cs="Times New Roman" w:hint="eastAsia"/>
          <w:sz w:val="24"/>
          <w:szCs w:val="24"/>
        </w:rPr>
        <w:t>。</w:t>
      </w:r>
    </w:p>
    <w:p w:rsidR="00AC6649" w:rsidRPr="00AC6649" w:rsidRDefault="00AC6649" w:rsidP="00AC6649">
      <w:pPr>
        <w:spacing w:line="360" w:lineRule="auto"/>
        <w:outlineLvl w:val="1"/>
        <w:rPr>
          <w:rFonts w:ascii="宋体" w:eastAsia="宋体" w:hAnsi="宋体" w:cs="Times New Roman" w:hint="eastAsia"/>
          <w:b/>
          <w:bCs/>
          <w:kern w:val="0"/>
          <w:sz w:val="28"/>
          <w:szCs w:val="28"/>
        </w:rPr>
      </w:pPr>
      <w:bookmarkStart w:id="5" w:name="_Toc15639"/>
      <w:r w:rsidRPr="00AC6649">
        <w:rPr>
          <w:rFonts w:ascii="宋体" w:eastAsia="宋体" w:hAnsi="宋体" w:cs="Times New Roman" w:hint="eastAsia"/>
          <w:b/>
          <w:bCs/>
          <w:kern w:val="0"/>
          <w:sz w:val="28"/>
          <w:szCs w:val="28"/>
        </w:rPr>
        <w:t>三、商务要求</w:t>
      </w:r>
      <w:bookmarkEnd w:id="5"/>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1.报价要求：本项目财政控制金额为378,000元，响应报价超过预算金额的视为无效响应。本项目服务费采用包干制，应包括服务成本、法定税费和企业的利润。由投标供应商根据采购文件所提供的资料自行测算投标报价；一经中标，报价总价作为中标供应商与采购人</w:t>
      </w:r>
      <w:proofErr w:type="gramStart"/>
      <w:r w:rsidRPr="00AC6649">
        <w:rPr>
          <w:rFonts w:ascii="宋体" w:eastAsia="宋体" w:hAnsi="宋体" w:cs="Times New Roman" w:hint="eastAsia"/>
          <w:sz w:val="24"/>
          <w:szCs w:val="24"/>
        </w:rPr>
        <w:t>签定</w:t>
      </w:r>
      <w:proofErr w:type="gramEnd"/>
      <w:r w:rsidRPr="00AC6649">
        <w:rPr>
          <w:rFonts w:ascii="宋体" w:eastAsia="宋体" w:hAnsi="宋体" w:cs="Times New Roman" w:hint="eastAsia"/>
          <w:sz w:val="24"/>
          <w:szCs w:val="24"/>
        </w:rPr>
        <w:t>的合同金额，合同期限内不做调整。</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2.付款方式：</w:t>
      </w:r>
    </w:p>
    <w:p w:rsidR="00AC6649" w:rsidRPr="00AC6649" w:rsidRDefault="00AC6649" w:rsidP="00AC6649">
      <w:pPr>
        <w:spacing w:line="360" w:lineRule="auto"/>
        <w:ind w:firstLineChars="236" w:firstLine="566"/>
        <w:rPr>
          <w:rFonts w:ascii="宋体" w:eastAsia="宋体" w:hAnsi="宋体" w:cs="Times New Roman" w:hint="eastAsia"/>
          <w:sz w:val="24"/>
          <w:szCs w:val="24"/>
        </w:rPr>
      </w:pPr>
      <w:r w:rsidRPr="00AC6649">
        <w:rPr>
          <w:rFonts w:ascii="宋体" w:eastAsia="宋体" w:hAnsi="宋体" w:cs="Times New Roman" w:hint="eastAsia"/>
          <w:sz w:val="24"/>
          <w:szCs w:val="24"/>
        </w:rPr>
        <w:t>（1）预付款。合同签订后的10个工作日内，招标单位向中标单位支付合同总价款的30%作为预付款。</w:t>
      </w:r>
    </w:p>
    <w:p w:rsidR="00AC6649" w:rsidRPr="00AC6649" w:rsidRDefault="00AC6649" w:rsidP="00AC6649">
      <w:pPr>
        <w:spacing w:line="360" w:lineRule="auto"/>
        <w:ind w:firstLineChars="236" w:firstLine="566"/>
        <w:rPr>
          <w:rFonts w:ascii="宋体" w:eastAsia="宋体" w:hAnsi="宋体" w:cs="Times New Roman" w:hint="eastAsia"/>
          <w:sz w:val="24"/>
          <w:szCs w:val="24"/>
        </w:rPr>
      </w:pPr>
      <w:r w:rsidRPr="00AC6649">
        <w:rPr>
          <w:rFonts w:ascii="宋体" w:eastAsia="宋体" w:hAnsi="宋体" w:cs="Times New Roman" w:hint="eastAsia"/>
          <w:sz w:val="24"/>
          <w:szCs w:val="24"/>
        </w:rPr>
        <w:t>（2）进度款。中标单位可根据实际工作情况，按项目已完成进度工作量的80%向招标单位申请支付进度款，并扣除前期已支付的款项。</w:t>
      </w:r>
    </w:p>
    <w:p w:rsidR="00AC6649" w:rsidRPr="00AC6649" w:rsidRDefault="00AC6649" w:rsidP="00AC6649">
      <w:pPr>
        <w:spacing w:line="360" w:lineRule="auto"/>
        <w:ind w:firstLineChars="236" w:firstLine="566"/>
        <w:rPr>
          <w:rFonts w:ascii="宋体" w:eastAsia="宋体" w:hAnsi="宋体" w:cs="Times New Roman" w:hint="eastAsia"/>
          <w:sz w:val="24"/>
          <w:szCs w:val="24"/>
        </w:rPr>
      </w:pPr>
      <w:r w:rsidRPr="00AC6649">
        <w:rPr>
          <w:rFonts w:ascii="宋体" w:eastAsia="宋体" w:hAnsi="宋体" w:cs="Times New Roman" w:hint="eastAsia"/>
          <w:sz w:val="24"/>
          <w:szCs w:val="24"/>
        </w:rPr>
        <w:t>（3）合同期满，由中标单位提交相关验收资料，招标人审核并验收合格后支付剩余款项。</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备注：采购人按财政支付程序支付，因国库支付系统原因延迟到账的，不计为违约责任。</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3.服务期限：自合同签订之日起至项目结束（具体以合同签订时间为准）。</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4.违约责任：</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若乙方违反有关法律法规和本合同约定，或不信守执业道德，或存在不恰当和腐败行为的，并造成严重后果的，甲方有权解除本合同。</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5.争议解决方法：</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如在服务履行过程中发生争议，双方本着友好合作原则协商解决，如不能</w:t>
      </w:r>
      <w:r w:rsidRPr="00AC6649">
        <w:rPr>
          <w:rFonts w:ascii="宋体" w:eastAsia="宋体" w:hAnsi="宋体" w:cs="Times New Roman" w:hint="eastAsia"/>
          <w:sz w:val="24"/>
          <w:szCs w:val="24"/>
        </w:rPr>
        <w:lastRenderedPageBreak/>
        <w:t>通过协商解决争议时，双方同意在人民法院诉讼解决。</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（1）合同所称不可抗力是指发生合同各方不能预见、不能避免并不能克服的客观情况，包括但不限于台风、地震、水灾、海啸等自然灾害，疫情、战争、国家政策变化等。</w:t>
      </w:r>
    </w:p>
    <w:p w:rsidR="00AC6649" w:rsidRPr="00AC6649" w:rsidRDefault="00AC6649" w:rsidP="00AC6649">
      <w:pPr>
        <w:spacing w:line="360" w:lineRule="auto"/>
        <w:ind w:firstLineChars="236" w:firstLine="566"/>
        <w:rPr>
          <w:rFonts w:ascii="宋体" w:eastAsia="宋体" w:hAnsi="宋体" w:cs="Times New Roman"/>
          <w:sz w:val="24"/>
          <w:szCs w:val="24"/>
        </w:rPr>
      </w:pPr>
      <w:r w:rsidRPr="00AC6649">
        <w:rPr>
          <w:rFonts w:ascii="宋体" w:eastAsia="宋体" w:hAnsi="宋体" w:cs="Times New Roman" w:hint="eastAsia"/>
          <w:sz w:val="24"/>
          <w:szCs w:val="24"/>
        </w:rPr>
        <w:t>（2）任何一方遭受不可抗力无法履行本合同时，须在不可抗力事件结束之日起5日内将不可抗力事件对履约造成的影响书面通知对方。</w:t>
      </w:r>
    </w:p>
    <w:p w:rsidR="00934667" w:rsidRPr="00AC6649" w:rsidRDefault="00AC6649" w:rsidP="00AC6649">
      <w:pPr>
        <w:spacing w:line="360" w:lineRule="auto"/>
        <w:ind w:firstLineChars="236" w:firstLine="566"/>
      </w:pPr>
      <w:r w:rsidRPr="00AC6649">
        <w:rPr>
          <w:rFonts w:ascii="宋体" w:eastAsia="宋体" w:hAnsi="宋体" w:cs="Times New Roman" w:hint="eastAsia"/>
          <w:sz w:val="24"/>
          <w:szCs w:val="24"/>
        </w:rPr>
        <w:t>（3）因不可抗力导致合同一方不能履行或不能完全履行本合同义务时，根据实际情况可部分或全部免除违约责任。但一方履行迟延后发生不可抗力的，不能免除其违约责任。</w:t>
      </w:r>
      <w:bookmarkEnd w:id="3"/>
    </w:p>
    <w:sectPr w:rsidR="00934667" w:rsidRPr="00AC6649"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649"/>
    <w:rsid w:val="0017797F"/>
    <w:rsid w:val="002D0F0E"/>
    <w:rsid w:val="0038276D"/>
    <w:rsid w:val="0094277F"/>
    <w:rsid w:val="00AC6649"/>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AC6649"/>
    <w:rPr>
      <w:rFonts w:ascii="宋体" w:eastAsia="宋体"/>
      <w:sz w:val="18"/>
      <w:szCs w:val="18"/>
    </w:rPr>
  </w:style>
  <w:style w:type="character" w:customStyle="1" w:styleId="Char">
    <w:name w:val="文档结构图 Char"/>
    <w:basedOn w:val="a0"/>
    <w:link w:val="a3"/>
    <w:uiPriority w:val="99"/>
    <w:semiHidden/>
    <w:rsid w:val="00AC664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3026</Characters>
  <Application>Microsoft Office Word</Application>
  <DocSecurity>0</DocSecurity>
  <Lines>25</Lines>
  <Paragraphs>7</Paragraphs>
  <ScaleCrop>false</ScaleCrop>
  <Company>Microsoft</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2025-05-09T08:03:00Z</dcterms:created>
  <dcterms:modified xsi:type="dcterms:W3CDTF">2025-05-09T08:03:00Z</dcterms:modified>
</cp:coreProperties>
</file>