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F6389">
      <w:pPr>
        <w:pStyle w:val="6"/>
        <w:spacing w:before="120" w:after="120"/>
        <w:rPr>
          <w:rStyle w:val="7"/>
          <w:b w:val="0"/>
          <w:bCs w:val="0"/>
        </w:rPr>
      </w:pPr>
      <w:r>
        <w:rPr>
          <w:rStyle w:val="7"/>
          <w:rFonts w:hint="eastAsia"/>
          <w:b w:val="0"/>
          <w:bCs w:val="0"/>
        </w:rPr>
        <w:t>服务需求书</w:t>
      </w:r>
    </w:p>
    <w:p w14:paraId="0E2A81AC">
      <w:pPr>
        <w:spacing w:after="60" w:line="360" w:lineRule="auto"/>
        <w:ind w:right="-63" w:rightChars="-30" w:firstLine="426"/>
        <w:rPr>
          <w:rFonts w:hint="eastAsia" w:ascii="宋体" w:hAnsi="宋体"/>
          <w:b/>
          <w:color w:val="FF0000"/>
        </w:rPr>
      </w:pPr>
      <w:r>
        <w:rPr>
          <w:rFonts w:hint="eastAsia" w:ascii="宋体" w:hAnsi="宋体"/>
          <w:b/>
          <w:color w:val="FF0000"/>
        </w:rPr>
        <w:t>1. 带“★”项为不可负偏离项，有一项负偏离即导致投标无效。是否响应第六章服务需求书，以《服务条款偏离表》“投标文件响应”栏填写为准。</w:t>
      </w:r>
    </w:p>
    <w:p w14:paraId="0FBD638D">
      <w:pPr>
        <w:spacing w:after="60" w:line="360" w:lineRule="auto"/>
        <w:ind w:right="-63" w:rightChars="-30" w:firstLine="426"/>
        <w:rPr>
          <w:rFonts w:hint="eastAsia" w:ascii="宋体" w:hAnsi="宋体"/>
          <w:b/>
          <w:color w:val="FF0000"/>
        </w:rPr>
      </w:pPr>
      <w:r>
        <w:rPr>
          <w:rFonts w:hint="eastAsia" w:ascii="宋体" w:hAnsi="宋体"/>
          <w:b/>
          <w:color w:val="FF0000"/>
        </w:rPr>
        <w:t>2.如投标人中标后被发现不能满足本章带★号条款要求的，采购单位有权拒绝签订合同，一切后果由投标人承担。</w:t>
      </w:r>
    </w:p>
    <w:p w14:paraId="6FA0D74F">
      <w:pPr>
        <w:pStyle w:val="2"/>
      </w:pPr>
    </w:p>
    <w:p w14:paraId="5EEBBBE8">
      <w:pPr>
        <w:spacing w:after="60" w:line="360" w:lineRule="auto"/>
        <w:ind w:firstLine="422" w:firstLineChars="200"/>
        <w:jc w:val="left"/>
        <w:rPr>
          <w:rFonts w:hint="eastAsia" w:ascii="宋体" w:hAnsi="宋体"/>
          <w:szCs w:val="21"/>
        </w:rPr>
      </w:pPr>
      <w:r>
        <w:rPr>
          <w:rFonts w:hint="eastAsia" w:ascii="宋体" w:hAnsi="宋体"/>
          <w:b/>
          <w:szCs w:val="21"/>
        </w:rPr>
        <w:t>（一）</w:t>
      </w:r>
      <w:r>
        <w:rPr>
          <w:rFonts w:hint="eastAsia" w:ascii="宋体" w:hAnsi="宋体"/>
          <w:b/>
          <w:bCs/>
          <w:szCs w:val="21"/>
        </w:rPr>
        <w:t>采购项目概况</w:t>
      </w:r>
      <w:r>
        <w:rPr>
          <w:rFonts w:hint="eastAsia" w:ascii="宋体" w:hAnsi="宋体"/>
          <w:szCs w:val="21"/>
        </w:rPr>
        <w:t>：</w:t>
      </w:r>
    </w:p>
    <w:p w14:paraId="149489AD">
      <w:pPr>
        <w:numPr>
          <w:ilvl w:val="0"/>
          <w:numId w:val="1"/>
        </w:numPr>
        <w:spacing w:after="60" w:afterLines="0" w:line="360" w:lineRule="auto"/>
        <w:ind w:firstLine="422" w:firstLineChars="200"/>
        <w:jc w:val="left"/>
        <w:rPr>
          <w:rFonts w:hint="eastAsia" w:ascii="宋体" w:hAnsi="宋体"/>
          <w:szCs w:val="21"/>
        </w:rPr>
      </w:pPr>
      <w:r>
        <w:rPr>
          <w:rFonts w:hint="eastAsia" w:ascii="宋体" w:hAnsi="宋体"/>
          <w:b/>
          <w:bCs/>
          <w:szCs w:val="21"/>
        </w:rPr>
        <w:t>项目名称；</w:t>
      </w:r>
      <w:r>
        <w:rPr>
          <w:rFonts w:hint="eastAsia" w:ascii="宋体" w:hAnsi="宋体" w:cs="宋体"/>
          <w:color w:val="000000"/>
          <w:kern w:val="0"/>
          <w:szCs w:val="21"/>
        </w:rPr>
        <w:t>深圳市宝安区土地整备事务中心食堂食材配送服务</w:t>
      </w:r>
    </w:p>
    <w:p w14:paraId="217275E2">
      <w:pPr>
        <w:numPr>
          <w:ilvl w:val="0"/>
          <w:numId w:val="1"/>
        </w:numPr>
        <w:spacing w:after="60" w:afterLines="0" w:line="360" w:lineRule="auto"/>
        <w:ind w:firstLine="422" w:firstLineChars="200"/>
        <w:jc w:val="left"/>
        <w:rPr>
          <w:rFonts w:hint="eastAsia" w:ascii="宋体" w:hAnsi="宋体"/>
          <w:szCs w:val="21"/>
        </w:rPr>
      </w:pPr>
      <w:r>
        <w:rPr>
          <w:rFonts w:hint="eastAsia" w:ascii="宋体" w:hAnsi="宋体"/>
          <w:b/>
          <w:bCs/>
          <w:szCs w:val="21"/>
        </w:rPr>
        <w:t>项目预算金额(支付上限)；</w:t>
      </w:r>
      <w:r>
        <w:rPr>
          <w:rFonts w:hint="eastAsia" w:ascii="宋体" w:hAnsi="宋体"/>
          <w:szCs w:val="21"/>
        </w:rPr>
        <w:t>891,000.00元/年</w:t>
      </w:r>
    </w:p>
    <w:p w14:paraId="3F21363E">
      <w:pPr>
        <w:spacing w:after="60" w:line="360" w:lineRule="auto"/>
        <w:ind w:left="562"/>
        <w:jc w:val="left"/>
        <w:rPr>
          <w:rFonts w:hint="eastAsia" w:ascii="宋体" w:hAnsi="宋体"/>
          <w:b/>
          <w:bCs/>
          <w:szCs w:val="21"/>
        </w:rPr>
      </w:pPr>
      <w:r>
        <w:rPr>
          <w:rFonts w:hint="eastAsia" w:ascii="宋体" w:hAnsi="宋体"/>
          <w:b/>
          <w:bCs/>
          <w:szCs w:val="21"/>
        </w:rPr>
        <w:t>（二）项目管理和服务要求：</w:t>
      </w:r>
    </w:p>
    <w:p w14:paraId="782ACBE0">
      <w:pPr>
        <w:numPr>
          <w:ilvl w:val="0"/>
          <w:numId w:val="2"/>
        </w:numPr>
        <w:spacing w:after="60" w:afterLines="0" w:line="360" w:lineRule="auto"/>
        <w:ind w:firstLine="422" w:firstLineChars="200"/>
        <w:jc w:val="left"/>
        <w:rPr>
          <w:rFonts w:hint="eastAsia" w:ascii="宋体" w:hAnsi="宋体"/>
          <w:b/>
          <w:bCs/>
          <w:szCs w:val="21"/>
        </w:rPr>
      </w:pPr>
      <w:r>
        <w:rPr>
          <w:rFonts w:hint="eastAsia" w:ascii="宋体" w:hAnsi="宋体"/>
          <w:b/>
          <w:bCs/>
          <w:szCs w:val="21"/>
        </w:rPr>
        <w:t>采购项目概况；</w:t>
      </w:r>
    </w:p>
    <w:p w14:paraId="1CDC4B09">
      <w:pPr>
        <w:numPr>
          <w:ilvl w:val="0"/>
          <w:numId w:val="3"/>
        </w:numPr>
        <w:spacing w:after="60" w:afterLines="0" w:line="360" w:lineRule="auto"/>
        <w:ind w:left="0" w:firstLine="426"/>
        <w:jc w:val="left"/>
        <w:rPr>
          <w:rFonts w:hint="eastAsia" w:ascii="宋体" w:hAnsi="宋体"/>
          <w:szCs w:val="21"/>
        </w:rPr>
      </w:pPr>
      <w:r>
        <w:rPr>
          <w:rFonts w:hint="eastAsia" w:ascii="宋体" w:hAnsi="宋体"/>
          <w:szCs w:val="21"/>
        </w:rPr>
        <w:t>采购使用单位为宝安区土地整备事务中心；本项目以每月食品供应实际发生数量结算，年度支付上限金额不超过人民币891,000.00元/年,采购数量和品种以采购人当天15：00确定第二天所需食物的量为准。</w:t>
      </w:r>
    </w:p>
    <w:p w14:paraId="4A375915">
      <w:pPr>
        <w:numPr>
          <w:ilvl w:val="0"/>
          <w:numId w:val="3"/>
        </w:numPr>
        <w:spacing w:after="60" w:afterLines="0" w:line="360" w:lineRule="auto"/>
        <w:ind w:left="0" w:firstLine="426"/>
        <w:jc w:val="left"/>
        <w:rPr>
          <w:rFonts w:hint="eastAsia" w:ascii="宋体" w:hAnsi="宋体"/>
          <w:szCs w:val="21"/>
        </w:rPr>
      </w:pPr>
      <w:r>
        <w:rPr>
          <w:rFonts w:hint="eastAsia" w:ascii="宋体" w:hAnsi="宋体"/>
          <w:szCs w:val="21"/>
        </w:rPr>
        <w:t>采购范围：蔬菜瓜果类、肉类、牛奶、水果、禽蛋类、水产类、副食、干货、调配料、糕点、熟食等。</w:t>
      </w:r>
    </w:p>
    <w:p w14:paraId="4861590A">
      <w:pPr>
        <w:numPr>
          <w:ilvl w:val="0"/>
          <w:numId w:val="3"/>
        </w:numPr>
        <w:spacing w:after="60" w:afterLines="0" w:line="360" w:lineRule="auto"/>
        <w:ind w:left="0" w:firstLine="426"/>
        <w:jc w:val="left"/>
        <w:rPr>
          <w:rFonts w:hint="eastAsia" w:ascii="宋体" w:hAnsi="宋体"/>
          <w:b/>
          <w:bCs/>
          <w:szCs w:val="21"/>
        </w:rPr>
      </w:pPr>
      <w:r>
        <w:rPr>
          <w:rFonts w:hint="eastAsia" w:ascii="宋体" w:hAnsi="宋体"/>
          <w:szCs w:val="21"/>
        </w:rPr>
        <w:t>配送数量：工作日早、午餐（约75人）及晚餐（约30人）所需食材。</w:t>
      </w:r>
    </w:p>
    <w:p w14:paraId="59A1A960">
      <w:pPr>
        <w:numPr>
          <w:ilvl w:val="0"/>
          <w:numId w:val="2"/>
        </w:numPr>
        <w:spacing w:after="60" w:afterLines="0" w:line="360" w:lineRule="auto"/>
        <w:ind w:firstLine="422" w:firstLineChars="200"/>
        <w:jc w:val="left"/>
        <w:rPr>
          <w:rFonts w:hint="eastAsia" w:ascii="宋体" w:hAnsi="宋体"/>
          <w:b/>
          <w:bCs/>
          <w:szCs w:val="21"/>
        </w:rPr>
      </w:pPr>
      <w:r>
        <w:rPr>
          <w:rFonts w:hint="eastAsia" w:ascii="宋体" w:hAnsi="宋体"/>
          <w:b/>
          <w:bCs/>
          <w:szCs w:val="21"/>
        </w:rPr>
        <w:t>服务期限；</w:t>
      </w:r>
      <w:r>
        <w:rPr>
          <w:rFonts w:ascii="宋体" w:hAnsi="宋体"/>
          <w:szCs w:val="21"/>
        </w:rPr>
        <w:t>本项目为长期服务项目。本项目履约期限为一年。第一年为本次招标的中标服务期限，采购单位可根据项目需要和中标供应商的履约情况确定合同期限是否延长，但最长不超过</w:t>
      </w:r>
      <w:r>
        <w:rPr>
          <w:rFonts w:hint="eastAsia" w:ascii="宋体" w:hAnsi="宋体"/>
          <w:szCs w:val="21"/>
        </w:rPr>
        <w:t>36个月</w:t>
      </w:r>
      <w:r>
        <w:rPr>
          <w:rFonts w:ascii="宋体" w:hAnsi="宋体"/>
          <w:szCs w:val="21"/>
        </w:rPr>
        <w:t>，合同一年一签</w:t>
      </w:r>
      <w:r>
        <w:rPr>
          <w:rFonts w:hint="eastAsia" w:ascii="宋体" w:hAnsi="宋体"/>
          <w:szCs w:val="21"/>
        </w:rPr>
        <w:t>。</w:t>
      </w:r>
    </w:p>
    <w:p w14:paraId="29EBB26D">
      <w:pPr>
        <w:numPr>
          <w:ilvl w:val="0"/>
          <w:numId w:val="2"/>
        </w:numPr>
        <w:spacing w:after="60" w:afterLines="0" w:line="360" w:lineRule="auto"/>
        <w:ind w:firstLine="422" w:firstLineChars="200"/>
        <w:jc w:val="left"/>
        <w:rPr>
          <w:rFonts w:hint="eastAsia" w:ascii="宋体" w:hAnsi="宋体"/>
          <w:b/>
          <w:bCs/>
          <w:szCs w:val="21"/>
        </w:rPr>
      </w:pPr>
      <w:r>
        <w:rPr>
          <w:rFonts w:hint="eastAsia" w:ascii="宋体" w:hAnsi="宋体"/>
          <w:b/>
          <w:bCs/>
          <w:szCs w:val="21"/>
        </w:rPr>
        <w:t>服务内容、技术标准、工作质量要求；</w:t>
      </w:r>
    </w:p>
    <w:p w14:paraId="5228BE50">
      <w:pPr>
        <w:spacing w:after="60" w:line="360" w:lineRule="auto"/>
        <w:ind w:firstLine="426" w:firstLineChars="202"/>
        <w:textAlignment w:val="top"/>
        <w:rPr>
          <w:rFonts w:hint="eastAsia" w:ascii="宋体" w:hAnsi="宋体" w:cs="仿宋_GB2312"/>
          <w:b/>
          <w:bCs/>
          <w:szCs w:val="21"/>
        </w:rPr>
      </w:pPr>
      <w:r>
        <w:rPr>
          <w:rFonts w:hint="eastAsia" w:ascii="宋体" w:hAnsi="宋体" w:cs="仿宋_GB2312"/>
          <w:b/>
          <w:bCs/>
          <w:szCs w:val="21"/>
        </w:rPr>
        <w:t>（一）基本要求</w:t>
      </w:r>
    </w:p>
    <w:p w14:paraId="0019DE2E">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1、依据及标准</w:t>
      </w:r>
    </w:p>
    <w:p w14:paraId="7B6D3963">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《中华人民共和国食品安全法》、《餐饮业和集体用餐配送单位卫生规范》、产品国家标准等。</w:t>
      </w:r>
    </w:p>
    <w:p w14:paraId="283F9164">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2、服务要求</w:t>
      </w:r>
    </w:p>
    <w:p w14:paraId="29B96559">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2.1、配送食品全部经过国家规定的职能部门检验并有检测报告，安全可靠，从来未出现配送食品安全事故，中标后提供相关承诺书。</w:t>
      </w:r>
    </w:p>
    <w:p w14:paraId="4871CDC4">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2.2、所供食品的质量要求：所供食品均符合《国家食品卫生标准》、《食品卫生法》和《动物检疫法》等相关规定，保证卫生安全，应当无毒、无害，具有相应的色、香、味等感官性状。蔬菜水果类应保持较好的色泽和新鲜度，不得有黄叶、腐烂、泥沙等现象，或属于无公害蔬菜水果；冷冻类及干货应在保质期范围内，并保持较好的外观和等级；鲜肉类全部来源于国家认可的正规肉厂，为当日新鲜商品，并经政府相关检验合格；海鲜、河鲜产品必须鲜活；粮油、副食、调料等由大型正规厂供货，相关证件齐全；禽蛋类须是无公害禽蛋，中标后提供相关证明；干杂类须是正规厂家并具有合格证书且无任何添加剂的优质产品。配送的蔬菜肉类需具有追踪溯源体系，并可追踪溯源。严禁配送假冒、变质、过期的产品，不得弄虚作假或以次充好，对于不符合质量的品种采购人有权要求退货或换货。因供应的货物质量达不到国家有关食品安全标准而造成食物中毒或其它后果，经公安机关或卫生防疫部门鉴定属于中标供应商（配送单位）责任的，其产生的一切法律和经济责任全部由中标供应商承担。</w:t>
      </w:r>
    </w:p>
    <w:p w14:paraId="50EFA827">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2.3、数量及验收要求：中标供应商应保证所供货物品种和数量、重量的准确性，采购人和中标供应商应分别建立采购和供应台账，确定专人（不少于两人）负责验收和送货，以采购人的验货数量为准，中标供应商每次随货送上一式两份的送货清单，供采购人验货后签字确认，双方各持一份，作为送、收货的凭证。对于出现质量、数量不符合要求等现象，采购人有权要求供应商及时退换，并按合同约定作出相应罚款处罚，中标供应商必须无条件退换，并保证员工正常就餐。</w:t>
      </w:r>
    </w:p>
    <w:p w14:paraId="1512B2BE">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2.4、送货时间要求：根据采购人实际需要协商确定具体的送货时间。采购人应提前（在具体合同中约定）向中标供应商以传真或电子文件等方式提交购货计划，并说明购货品种、数量及其他需要说明的事项。中标供应商在接到购货订单通知后，应按采购人订购单的要求送货。极个别产品因质量太差或没有货源时应及时反馈到采购人并协商调整，保证所需货物准时到达。如若迟到，须承担相关违约责任，由双方签订具体送货合同时约定处罚条款。</w:t>
      </w:r>
    </w:p>
    <w:p w14:paraId="095FDCF2">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2.5、如配送的货物不符合要求，一次提出口头警告并要求供应商做出书面保证，二次扣当天货款10%，不符合要求达到三次的，采购人可解除供货合同，由备选供应商接替。</w:t>
      </w:r>
    </w:p>
    <w:p w14:paraId="3DABF30D">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2.6、临时加货处理：对于采购人临时有客餐任务或临时增加员工用餐时，中标供应商需在接到采购人口头或书面通知2小时内将货物送到采购人的指定地点，派专人负责跟踪服务，保证用餐正常。</w:t>
      </w:r>
    </w:p>
    <w:p w14:paraId="089809F9">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2.7、在供货过程中，采购人对所供货物有任何意见，可随时向中标供应商反映，中标供应商应及时改进，否则，采购人有权中断与中标供应商的合作，一方终止合同须提前十五天通知对方。</w:t>
      </w:r>
    </w:p>
    <w:p w14:paraId="4BC35D8A">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2.8、因配送运输中出现人身安全事故，中标供应商独立承担一切刑事、民事责任，与采购人无关。</w:t>
      </w:r>
    </w:p>
    <w:p w14:paraId="20E846EF">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2.9、中标供应商应随时按采购人要求提供各类货物清晰准确的原产地以及检测报告。</w:t>
      </w:r>
    </w:p>
    <w:p w14:paraId="09F60376">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2.10、中标供应商应该按照采购人的要求，建立完整的各类物品追踪溯源体系，应当建立专门台账，按深圳市《食品进货索证和台账登记本》模板，按格式如实记录配送给采购人的各类物品，留存相关检验合格证明、资质证明、营业执照等有效资料，并可追踪溯源，采购人有权定期检查。</w:t>
      </w:r>
    </w:p>
    <w:p w14:paraId="3DEF8808">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2.11、采购人有权对中标供应商配送的各类物品自行或者委托第三方检测机构进行检测，按国家有关标准，若检测不合格，采购人予以书面警告，并对该批货物予以没收销毁，不必退还中标供应商，防止二次流通至社会市场；书面警告后再出现同样情况，视情况严重性，采购人有权扣除中标供应商当天总货款的10％或直接单方解除服务合同，并不用对中标供应商做任何赔偿。</w:t>
      </w:r>
    </w:p>
    <w:p w14:paraId="29425D4B">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2.12中标供应商若因采购物资现场初加工的实际需要，采购人可提供初加工操作场地，但中标供应商应服从采购人的管理，严格遵守国家的有关法律法规。若有违反，首次发现采购人将予以书面警告；书面警告后再出现同类情况，采购人有权扣除供货商方当天总货款的10％；屡禁不止、情节严重的，采购人有权没收履约保证金，且采购人可直接解除服务合同。</w:t>
      </w:r>
    </w:p>
    <w:p w14:paraId="7201DD89">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2.13.中标供应商所有员工凭健康证上岗，同时应成立食堂配送项目专项服务小组，负责相关工作及提供各种服务。</w:t>
      </w:r>
    </w:p>
    <w:p w14:paraId="4C9CC210">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（二）具体要求</w:t>
      </w:r>
    </w:p>
    <w:p w14:paraId="34CDABDE">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1、瓜果蔬菜、辅料、佐料</w:t>
      </w:r>
    </w:p>
    <w:p w14:paraId="51472523">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1.1供应产品的质量要求：辅料、佐料类必须为正规厂家的产品，瓜、果、蔬菜必须是优质货品，不得含有残留农药或污染物，中标人必须保证所供应的蔬菜符合卫生质量标准，同时承担因所供蔬菜问题引起的一切事故后果。卫生质量指标，应符合我国无公害蔬菜上的卫生指标规定。如供应产品涉及有机蔬菜，产品来源需为正规的有机蔬菜供应商。</w:t>
      </w:r>
    </w:p>
    <w:tbl>
      <w:tblPr>
        <w:tblStyle w:val="4"/>
        <w:tblW w:w="833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4037"/>
        <w:gridCol w:w="4297"/>
      </w:tblGrid>
      <w:tr w14:paraId="6EC045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4037" w:type="dxa"/>
            <w:tcBorders>
              <w:top w:val="single" w:color="auto" w:sz="12" w:space="0"/>
              <w:left w:val="single" w:color="auto" w:sz="12" w:space="0"/>
              <w:bottom w:val="single" w:color="auto" w:sz="6" w:space="0"/>
              <w:right w:val="single" w:color="auto" w:sz="6" w:space="0"/>
            </w:tcBorders>
            <w:vAlign w:val="center"/>
          </w:tcPr>
          <w:p w14:paraId="3168801D">
            <w:pPr>
              <w:spacing w:after="60" w:line="360" w:lineRule="auto"/>
              <w:ind w:leftChars="-193" w:hanging="405" w:hangingChars="192"/>
              <w:jc w:val="center"/>
              <w:rPr>
                <w:rFonts w:hint="eastAsia" w:ascii="宋体" w:hAnsi="宋体" w:cs="宋体"/>
                <w:b/>
                <w:color w:val="000000"/>
                <w:szCs w:val="21"/>
              </w:rPr>
            </w:pPr>
            <w:r>
              <w:rPr>
                <w:rFonts w:hint="eastAsia" w:ascii="宋体" w:hAnsi="宋体" w:cs="宋体"/>
                <w:b/>
                <w:color w:val="000000"/>
                <w:szCs w:val="21"/>
              </w:rPr>
              <w:t>项目</w:t>
            </w:r>
          </w:p>
        </w:tc>
        <w:tc>
          <w:tcPr>
            <w:tcW w:w="4297" w:type="dxa"/>
            <w:tcBorders>
              <w:top w:val="single" w:color="auto" w:sz="12" w:space="0"/>
              <w:left w:val="single" w:color="auto" w:sz="6" w:space="0"/>
              <w:bottom w:val="single" w:color="auto" w:sz="6" w:space="0"/>
              <w:right w:val="single" w:color="auto" w:sz="12" w:space="0"/>
            </w:tcBorders>
            <w:vAlign w:val="center"/>
          </w:tcPr>
          <w:p w14:paraId="1107AE8E">
            <w:pPr>
              <w:spacing w:after="60" w:line="360" w:lineRule="auto"/>
              <w:ind w:left="-193"/>
              <w:jc w:val="center"/>
              <w:rPr>
                <w:rFonts w:hint="eastAsia" w:ascii="宋体" w:hAnsi="宋体" w:cs="宋体"/>
                <w:b/>
                <w:color w:val="000000"/>
                <w:szCs w:val="21"/>
              </w:rPr>
            </w:pPr>
            <w:r>
              <w:rPr>
                <w:rFonts w:hint="eastAsia" w:ascii="宋体" w:hAnsi="宋体" w:cs="宋体"/>
                <w:b/>
                <w:color w:val="000000"/>
                <w:szCs w:val="21"/>
              </w:rPr>
              <w:t>指标（mg/kg）</w:t>
            </w:r>
          </w:p>
        </w:tc>
      </w:tr>
      <w:tr w14:paraId="4A5C66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4037" w:type="dxa"/>
            <w:tcBorders>
              <w:top w:val="single" w:color="auto" w:sz="6" w:space="0"/>
              <w:left w:val="single" w:color="auto" w:sz="12" w:space="0"/>
              <w:bottom w:val="single" w:color="auto" w:sz="6" w:space="0"/>
              <w:right w:val="single" w:color="auto" w:sz="6" w:space="0"/>
            </w:tcBorders>
            <w:vAlign w:val="center"/>
          </w:tcPr>
          <w:p w14:paraId="612961D3">
            <w:pPr>
              <w:spacing w:after="60" w:line="360" w:lineRule="auto"/>
              <w:ind w:left="-193"/>
              <w:jc w:val="center"/>
              <w:rPr>
                <w:rFonts w:hint="eastAsia" w:ascii="宋体" w:hAnsi="宋体" w:cs="宋体"/>
                <w:color w:val="000000"/>
                <w:szCs w:val="21"/>
              </w:rPr>
            </w:pPr>
            <w:r>
              <w:rPr>
                <w:rFonts w:hint="eastAsia" w:ascii="宋体" w:hAnsi="宋体" w:cs="宋体"/>
                <w:color w:val="000000"/>
                <w:szCs w:val="21"/>
              </w:rPr>
              <w:t>甲拌磷</w:t>
            </w:r>
          </w:p>
        </w:tc>
        <w:tc>
          <w:tcPr>
            <w:tcW w:w="4297" w:type="dxa"/>
            <w:tcBorders>
              <w:top w:val="single" w:color="auto" w:sz="6" w:space="0"/>
              <w:left w:val="single" w:color="auto" w:sz="6" w:space="0"/>
              <w:bottom w:val="single" w:color="auto" w:sz="6" w:space="0"/>
              <w:right w:val="single" w:color="auto" w:sz="12" w:space="0"/>
            </w:tcBorders>
            <w:vAlign w:val="center"/>
          </w:tcPr>
          <w:p w14:paraId="0B9ABD4A">
            <w:pPr>
              <w:spacing w:after="60" w:line="360" w:lineRule="auto"/>
              <w:ind w:left="-193"/>
              <w:jc w:val="center"/>
              <w:rPr>
                <w:rFonts w:hint="eastAsia" w:ascii="宋体" w:hAnsi="宋体" w:cs="宋体"/>
                <w:color w:val="000000"/>
                <w:szCs w:val="21"/>
              </w:rPr>
            </w:pPr>
            <w:r>
              <w:rPr>
                <w:rFonts w:hint="eastAsia" w:ascii="宋体" w:hAnsi="宋体" w:cs="宋体"/>
                <w:color w:val="000000"/>
                <w:szCs w:val="21"/>
              </w:rPr>
              <w:t>不得检出</w:t>
            </w:r>
          </w:p>
        </w:tc>
      </w:tr>
      <w:tr w14:paraId="48BFAA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4037" w:type="dxa"/>
            <w:tcBorders>
              <w:top w:val="single" w:color="auto" w:sz="6" w:space="0"/>
              <w:left w:val="single" w:color="auto" w:sz="12" w:space="0"/>
              <w:bottom w:val="single" w:color="auto" w:sz="6" w:space="0"/>
              <w:right w:val="single" w:color="auto" w:sz="6" w:space="0"/>
            </w:tcBorders>
            <w:vAlign w:val="center"/>
          </w:tcPr>
          <w:p w14:paraId="55E8176E">
            <w:pPr>
              <w:spacing w:after="60" w:line="360" w:lineRule="auto"/>
              <w:ind w:left="-193"/>
              <w:jc w:val="center"/>
              <w:rPr>
                <w:rFonts w:hint="eastAsia" w:ascii="宋体" w:hAnsi="宋体" w:cs="宋体"/>
                <w:color w:val="000000"/>
                <w:szCs w:val="21"/>
              </w:rPr>
            </w:pPr>
            <w:r>
              <w:rPr>
                <w:rFonts w:hint="eastAsia" w:ascii="宋体" w:hAnsi="宋体" w:cs="宋体"/>
                <w:color w:val="000000"/>
                <w:szCs w:val="21"/>
              </w:rPr>
              <w:t>氧化乐果</w:t>
            </w:r>
          </w:p>
        </w:tc>
        <w:tc>
          <w:tcPr>
            <w:tcW w:w="4297" w:type="dxa"/>
            <w:tcBorders>
              <w:top w:val="single" w:color="auto" w:sz="6" w:space="0"/>
              <w:left w:val="single" w:color="auto" w:sz="6" w:space="0"/>
              <w:bottom w:val="single" w:color="auto" w:sz="6" w:space="0"/>
              <w:right w:val="single" w:color="auto" w:sz="12" w:space="0"/>
            </w:tcBorders>
            <w:vAlign w:val="center"/>
          </w:tcPr>
          <w:p w14:paraId="43D7CC26">
            <w:pPr>
              <w:spacing w:after="60" w:line="360" w:lineRule="auto"/>
              <w:ind w:left="-193"/>
              <w:jc w:val="center"/>
              <w:rPr>
                <w:rFonts w:hint="eastAsia" w:ascii="宋体" w:hAnsi="宋体" w:cs="宋体"/>
                <w:color w:val="000000"/>
                <w:szCs w:val="21"/>
              </w:rPr>
            </w:pPr>
            <w:r>
              <w:rPr>
                <w:rFonts w:hint="eastAsia" w:ascii="宋体" w:hAnsi="宋体" w:cs="宋体"/>
                <w:color w:val="000000"/>
                <w:szCs w:val="21"/>
              </w:rPr>
              <w:t>不得检出</w:t>
            </w:r>
          </w:p>
        </w:tc>
      </w:tr>
      <w:tr w14:paraId="770132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4037" w:type="dxa"/>
            <w:tcBorders>
              <w:top w:val="single" w:color="auto" w:sz="6" w:space="0"/>
              <w:left w:val="single" w:color="auto" w:sz="12" w:space="0"/>
              <w:bottom w:val="single" w:color="auto" w:sz="6" w:space="0"/>
              <w:right w:val="single" w:color="auto" w:sz="6" w:space="0"/>
            </w:tcBorders>
            <w:vAlign w:val="center"/>
          </w:tcPr>
          <w:p w14:paraId="7C0DB0EB">
            <w:pPr>
              <w:spacing w:after="60" w:line="360" w:lineRule="auto"/>
              <w:ind w:left="-193"/>
              <w:jc w:val="center"/>
              <w:rPr>
                <w:rFonts w:hint="eastAsia" w:ascii="宋体" w:hAnsi="宋体" w:cs="宋体"/>
                <w:color w:val="000000"/>
                <w:szCs w:val="21"/>
              </w:rPr>
            </w:pPr>
            <w:r>
              <w:rPr>
                <w:rFonts w:hint="eastAsia" w:ascii="宋体" w:hAnsi="宋体" w:cs="宋体"/>
                <w:color w:val="000000"/>
                <w:szCs w:val="21"/>
              </w:rPr>
              <w:t>甲基对硫磷</w:t>
            </w:r>
          </w:p>
        </w:tc>
        <w:tc>
          <w:tcPr>
            <w:tcW w:w="4297" w:type="dxa"/>
            <w:tcBorders>
              <w:top w:val="single" w:color="auto" w:sz="6" w:space="0"/>
              <w:left w:val="single" w:color="auto" w:sz="6" w:space="0"/>
              <w:bottom w:val="single" w:color="auto" w:sz="6" w:space="0"/>
              <w:right w:val="single" w:color="auto" w:sz="12" w:space="0"/>
            </w:tcBorders>
            <w:vAlign w:val="center"/>
          </w:tcPr>
          <w:p w14:paraId="3449319D">
            <w:pPr>
              <w:spacing w:after="60" w:line="360" w:lineRule="auto"/>
              <w:ind w:left="-193"/>
              <w:jc w:val="center"/>
              <w:rPr>
                <w:rFonts w:hint="eastAsia" w:ascii="宋体" w:hAnsi="宋体" w:cs="宋体"/>
                <w:color w:val="000000"/>
                <w:szCs w:val="21"/>
              </w:rPr>
            </w:pPr>
            <w:r>
              <w:rPr>
                <w:rFonts w:hint="eastAsia" w:ascii="宋体" w:hAnsi="宋体" w:cs="宋体"/>
                <w:color w:val="000000"/>
                <w:szCs w:val="21"/>
              </w:rPr>
              <w:t>不得检出</w:t>
            </w:r>
          </w:p>
        </w:tc>
      </w:tr>
      <w:tr w14:paraId="3E56CE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4037" w:type="dxa"/>
            <w:tcBorders>
              <w:top w:val="single" w:color="auto" w:sz="6" w:space="0"/>
              <w:left w:val="single" w:color="auto" w:sz="12" w:space="0"/>
              <w:bottom w:val="single" w:color="auto" w:sz="6" w:space="0"/>
              <w:right w:val="single" w:color="auto" w:sz="6" w:space="0"/>
            </w:tcBorders>
            <w:vAlign w:val="center"/>
          </w:tcPr>
          <w:p w14:paraId="04077384">
            <w:pPr>
              <w:spacing w:after="60" w:line="360" w:lineRule="auto"/>
              <w:ind w:left="-193"/>
              <w:jc w:val="center"/>
              <w:rPr>
                <w:rFonts w:hint="eastAsia" w:ascii="宋体" w:hAnsi="宋体" w:cs="宋体"/>
                <w:color w:val="000000"/>
                <w:szCs w:val="21"/>
              </w:rPr>
            </w:pPr>
            <w:r>
              <w:rPr>
                <w:rFonts w:hint="eastAsia" w:ascii="宋体" w:hAnsi="宋体" w:cs="宋体"/>
                <w:color w:val="000000"/>
                <w:szCs w:val="21"/>
              </w:rPr>
              <w:t>呋喃丹</w:t>
            </w:r>
          </w:p>
        </w:tc>
        <w:tc>
          <w:tcPr>
            <w:tcW w:w="4297" w:type="dxa"/>
            <w:tcBorders>
              <w:top w:val="single" w:color="auto" w:sz="6" w:space="0"/>
              <w:left w:val="single" w:color="auto" w:sz="6" w:space="0"/>
              <w:bottom w:val="single" w:color="auto" w:sz="6" w:space="0"/>
              <w:right w:val="single" w:color="auto" w:sz="12" w:space="0"/>
            </w:tcBorders>
            <w:vAlign w:val="center"/>
          </w:tcPr>
          <w:p w14:paraId="2CE73E89">
            <w:pPr>
              <w:spacing w:after="60" w:line="360" w:lineRule="auto"/>
              <w:ind w:left="-193"/>
              <w:jc w:val="center"/>
              <w:rPr>
                <w:rFonts w:hint="eastAsia" w:ascii="宋体" w:hAnsi="宋体" w:cs="宋体"/>
                <w:color w:val="000000"/>
                <w:szCs w:val="21"/>
              </w:rPr>
            </w:pPr>
            <w:r>
              <w:rPr>
                <w:rFonts w:hint="eastAsia" w:ascii="宋体" w:hAnsi="宋体" w:cs="宋体"/>
                <w:color w:val="000000"/>
                <w:szCs w:val="21"/>
              </w:rPr>
              <w:t>不得检出</w:t>
            </w:r>
          </w:p>
        </w:tc>
      </w:tr>
      <w:tr w14:paraId="50F00D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4037" w:type="dxa"/>
            <w:tcBorders>
              <w:top w:val="single" w:color="auto" w:sz="6" w:space="0"/>
              <w:left w:val="single" w:color="auto" w:sz="12" w:space="0"/>
              <w:bottom w:val="single" w:color="auto" w:sz="6" w:space="0"/>
              <w:right w:val="single" w:color="auto" w:sz="6" w:space="0"/>
            </w:tcBorders>
            <w:vAlign w:val="center"/>
          </w:tcPr>
          <w:p w14:paraId="233768EE">
            <w:pPr>
              <w:spacing w:after="60" w:line="360" w:lineRule="auto"/>
              <w:ind w:left="-193"/>
              <w:jc w:val="center"/>
              <w:rPr>
                <w:rFonts w:hint="eastAsia" w:ascii="宋体" w:hAnsi="宋体" w:cs="宋体"/>
                <w:color w:val="000000"/>
                <w:szCs w:val="21"/>
              </w:rPr>
            </w:pPr>
            <w:r>
              <w:rPr>
                <w:rFonts w:hint="eastAsia" w:ascii="宋体" w:hAnsi="宋体" w:cs="宋体"/>
                <w:color w:val="000000"/>
                <w:szCs w:val="21"/>
              </w:rPr>
              <w:t>百菌清</w:t>
            </w:r>
          </w:p>
        </w:tc>
        <w:tc>
          <w:tcPr>
            <w:tcW w:w="4297" w:type="dxa"/>
            <w:tcBorders>
              <w:top w:val="single" w:color="auto" w:sz="6" w:space="0"/>
              <w:left w:val="single" w:color="auto" w:sz="6" w:space="0"/>
              <w:bottom w:val="single" w:color="auto" w:sz="6" w:space="0"/>
              <w:right w:val="single" w:color="auto" w:sz="12" w:space="0"/>
            </w:tcBorders>
            <w:vAlign w:val="center"/>
          </w:tcPr>
          <w:p w14:paraId="1FC12D35">
            <w:pPr>
              <w:spacing w:after="60" w:line="360" w:lineRule="auto"/>
              <w:ind w:left="-193"/>
              <w:jc w:val="center"/>
              <w:rPr>
                <w:rFonts w:hint="eastAsia" w:ascii="宋体" w:hAnsi="宋体" w:cs="宋体"/>
                <w:color w:val="000000"/>
                <w:szCs w:val="21"/>
              </w:rPr>
            </w:pPr>
            <w:r>
              <w:rPr>
                <w:rFonts w:hint="eastAsia" w:ascii="宋体" w:hAnsi="宋体" w:cs="宋体"/>
                <w:color w:val="000000"/>
                <w:szCs w:val="21"/>
              </w:rPr>
              <w:t>≤1.0</w:t>
            </w:r>
          </w:p>
        </w:tc>
      </w:tr>
      <w:tr w14:paraId="7C3972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4037" w:type="dxa"/>
            <w:tcBorders>
              <w:top w:val="single" w:color="auto" w:sz="6" w:space="0"/>
              <w:left w:val="single" w:color="auto" w:sz="12" w:space="0"/>
              <w:bottom w:val="single" w:color="auto" w:sz="6" w:space="0"/>
              <w:right w:val="single" w:color="auto" w:sz="6" w:space="0"/>
            </w:tcBorders>
            <w:vAlign w:val="center"/>
          </w:tcPr>
          <w:p w14:paraId="243BA5B5">
            <w:pPr>
              <w:spacing w:after="60" w:line="360" w:lineRule="auto"/>
              <w:ind w:left="-193"/>
              <w:jc w:val="center"/>
              <w:rPr>
                <w:rFonts w:hint="eastAsia" w:ascii="宋体" w:hAnsi="宋体" w:cs="宋体"/>
                <w:color w:val="000000"/>
                <w:szCs w:val="21"/>
              </w:rPr>
            </w:pPr>
            <w:r>
              <w:rPr>
                <w:rFonts w:hint="eastAsia" w:ascii="宋体" w:hAnsi="宋体" w:cs="宋体"/>
                <w:color w:val="000000"/>
                <w:szCs w:val="21"/>
              </w:rPr>
              <w:t>多菌灵</w:t>
            </w:r>
          </w:p>
        </w:tc>
        <w:tc>
          <w:tcPr>
            <w:tcW w:w="4297" w:type="dxa"/>
            <w:tcBorders>
              <w:top w:val="single" w:color="auto" w:sz="6" w:space="0"/>
              <w:left w:val="single" w:color="auto" w:sz="6" w:space="0"/>
              <w:bottom w:val="single" w:color="auto" w:sz="6" w:space="0"/>
              <w:right w:val="single" w:color="auto" w:sz="12" w:space="0"/>
            </w:tcBorders>
            <w:vAlign w:val="center"/>
          </w:tcPr>
          <w:p w14:paraId="1F50DCF5">
            <w:pPr>
              <w:spacing w:after="60" w:line="360" w:lineRule="auto"/>
              <w:ind w:left="-193"/>
              <w:jc w:val="center"/>
              <w:rPr>
                <w:rFonts w:hint="eastAsia" w:ascii="宋体" w:hAnsi="宋体" w:cs="宋体"/>
                <w:color w:val="000000"/>
                <w:szCs w:val="21"/>
              </w:rPr>
            </w:pPr>
            <w:r>
              <w:rPr>
                <w:rFonts w:hint="eastAsia" w:ascii="宋体" w:hAnsi="宋体" w:cs="宋体"/>
                <w:color w:val="000000"/>
                <w:szCs w:val="21"/>
              </w:rPr>
              <w:t>≤0.5</w:t>
            </w:r>
          </w:p>
        </w:tc>
      </w:tr>
      <w:tr w14:paraId="6870BF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4037" w:type="dxa"/>
            <w:tcBorders>
              <w:top w:val="single" w:color="auto" w:sz="6" w:space="0"/>
              <w:left w:val="single" w:color="auto" w:sz="12" w:space="0"/>
              <w:bottom w:val="single" w:color="auto" w:sz="6" w:space="0"/>
              <w:right w:val="single" w:color="auto" w:sz="6" w:space="0"/>
            </w:tcBorders>
            <w:vAlign w:val="center"/>
          </w:tcPr>
          <w:p w14:paraId="42E7AE1E">
            <w:pPr>
              <w:spacing w:after="60" w:line="360" w:lineRule="auto"/>
              <w:ind w:left="-193"/>
              <w:jc w:val="center"/>
              <w:rPr>
                <w:rFonts w:hint="eastAsia" w:ascii="宋体" w:hAnsi="宋体" w:cs="宋体"/>
                <w:color w:val="000000"/>
                <w:szCs w:val="21"/>
              </w:rPr>
            </w:pPr>
            <w:r>
              <w:rPr>
                <w:rFonts w:hint="eastAsia" w:ascii="宋体" w:hAnsi="宋体" w:cs="宋体"/>
                <w:color w:val="000000"/>
                <w:szCs w:val="21"/>
              </w:rPr>
              <w:t>汞（以Hg计）</w:t>
            </w:r>
          </w:p>
        </w:tc>
        <w:tc>
          <w:tcPr>
            <w:tcW w:w="4297" w:type="dxa"/>
            <w:tcBorders>
              <w:top w:val="single" w:color="auto" w:sz="6" w:space="0"/>
              <w:left w:val="single" w:color="auto" w:sz="6" w:space="0"/>
              <w:bottom w:val="single" w:color="auto" w:sz="6" w:space="0"/>
              <w:right w:val="single" w:color="auto" w:sz="12" w:space="0"/>
            </w:tcBorders>
            <w:vAlign w:val="center"/>
          </w:tcPr>
          <w:p w14:paraId="4D0F8BBD">
            <w:pPr>
              <w:spacing w:after="60" w:line="360" w:lineRule="auto"/>
              <w:ind w:left="-193"/>
              <w:jc w:val="center"/>
              <w:rPr>
                <w:rFonts w:hint="eastAsia" w:ascii="宋体" w:hAnsi="宋体" w:cs="宋体"/>
                <w:color w:val="000000"/>
                <w:szCs w:val="21"/>
              </w:rPr>
            </w:pPr>
            <w:r>
              <w:rPr>
                <w:rFonts w:hint="eastAsia" w:ascii="宋体" w:hAnsi="宋体" w:cs="宋体"/>
                <w:color w:val="000000"/>
                <w:szCs w:val="21"/>
              </w:rPr>
              <w:t>≤0.01</w:t>
            </w:r>
          </w:p>
        </w:tc>
      </w:tr>
      <w:tr w14:paraId="31743B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4037" w:type="dxa"/>
            <w:tcBorders>
              <w:top w:val="single" w:color="auto" w:sz="6" w:space="0"/>
              <w:left w:val="single" w:color="auto" w:sz="12" w:space="0"/>
              <w:bottom w:val="single" w:color="auto" w:sz="6" w:space="0"/>
              <w:right w:val="single" w:color="auto" w:sz="6" w:space="0"/>
            </w:tcBorders>
            <w:vAlign w:val="center"/>
          </w:tcPr>
          <w:p w14:paraId="486F9CA4">
            <w:pPr>
              <w:spacing w:after="60" w:line="360" w:lineRule="auto"/>
              <w:ind w:left="-193"/>
              <w:jc w:val="center"/>
              <w:rPr>
                <w:rFonts w:hint="eastAsia" w:ascii="宋体" w:hAnsi="宋体" w:cs="宋体"/>
                <w:color w:val="000000"/>
                <w:szCs w:val="21"/>
              </w:rPr>
            </w:pPr>
            <w:r>
              <w:rPr>
                <w:rFonts w:hint="eastAsia" w:ascii="宋体" w:hAnsi="宋体" w:cs="宋体"/>
                <w:color w:val="000000"/>
                <w:szCs w:val="21"/>
              </w:rPr>
              <w:t>铅（以Pb计）</w:t>
            </w:r>
          </w:p>
        </w:tc>
        <w:tc>
          <w:tcPr>
            <w:tcW w:w="4297" w:type="dxa"/>
            <w:tcBorders>
              <w:top w:val="single" w:color="auto" w:sz="6" w:space="0"/>
              <w:left w:val="single" w:color="auto" w:sz="6" w:space="0"/>
              <w:bottom w:val="single" w:color="auto" w:sz="6" w:space="0"/>
              <w:right w:val="single" w:color="auto" w:sz="12" w:space="0"/>
            </w:tcBorders>
            <w:vAlign w:val="center"/>
          </w:tcPr>
          <w:p w14:paraId="7CD9252D">
            <w:pPr>
              <w:spacing w:after="60" w:line="360" w:lineRule="auto"/>
              <w:ind w:left="-193"/>
              <w:jc w:val="center"/>
              <w:rPr>
                <w:rFonts w:hint="eastAsia" w:ascii="宋体" w:hAnsi="宋体" w:cs="宋体"/>
                <w:color w:val="000000"/>
                <w:szCs w:val="21"/>
              </w:rPr>
            </w:pPr>
            <w:r>
              <w:rPr>
                <w:rFonts w:hint="eastAsia" w:ascii="宋体" w:hAnsi="宋体" w:cs="宋体"/>
                <w:color w:val="000000"/>
                <w:szCs w:val="21"/>
              </w:rPr>
              <w:t>≤0.2</w:t>
            </w:r>
          </w:p>
        </w:tc>
      </w:tr>
      <w:tr w14:paraId="50969A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4037" w:type="dxa"/>
            <w:tcBorders>
              <w:top w:val="single" w:color="auto" w:sz="6" w:space="0"/>
              <w:left w:val="single" w:color="auto" w:sz="12" w:space="0"/>
              <w:bottom w:val="single" w:color="auto" w:sz="6" w:space="0"/>
              <w:right w:val="single" w:color="auto" w:sz="6" w:space="0"/>
            </w:tcBorders>
            <w:vAlign w:val="center"/>
          </w:tcPr>
          <w:p w14:paraId="531171CB">
            <w:pPr>
              <w:spacing w:after="60" w:line="360" w:lineRule="auto"/>
              <w:ind w:left="-193"/>
              <w:jc w:val="center"/>
              <w:rPr>
                <w:rFonts w:hint="eastAsia" w:ascii="宋体" w:hAnsi="宋体" w:cs="宋体"/>
                <w:color w:val="000000"/>
                <w:szCs w:val="21"/>
              </w:rPr>
            </w:pPr>
            <w:r>
              <w:rPr>
                <w:rFonts w:hint="eastAsia" w:ascii="宋体" w:hAnsi="宋体" w:cs="宋体"/>
                <w:color w:val="000000"/>
                <w:szCs w:val="21"/>
              </w:rPr>
              <w:t>砷（以As计）</w:t>
            </w:r>
          </w:p>
        </w:tc>
        <w:tc>
          <w:tcPr>
            <w:tcW w:w="4297" w:type="dxa"/>
            <w:tcBorders>
              <w:top w:val="single" w:color="auto" w:sz="6" w:space="0"/>
              <w:left w:val="single" w:color="auto" w:sz="6" w:space="0"/>
              <w:bottom w:val="single" w:color="auto" w:sz="6" w:space="0"/>
              <w:right w:val="single" w:color="auto" w:sz="12" w:space="0"/>
            </w:tcBorders>
            <w:vAlign w:val="center"/>
          </w:tcPr>
          <w:p w14:paraId="5F476265">
            <w:pPr>
              <w:spacing w:after="60" w:line="360" w:lineRule="auto"/>
              <w:ind w:left="-193"/>
              <w:jc w:val="center"/>
              <w:rPr>
                <w:rFonts w:hint="eastAsia" w:ascii="宋体" w:hAnsi="宋体" w:cs="宋体"/>
                <w:color w:val="000000"/>
                <w:szCs w:val="21"/>
              </w:rPr>
            </w:pPr>
            <w:r>
              <w:rPr>
                <w:rFonts w:hint="eastAsia" w:ascii="宋体" w:hAnsi="宋体" w:cs="宋体"/>
                <w:color w:val="000000"/>
                <w:szCs w:val="21"/>
              </w:rPr>
              <w:t>≤0.5</w:t>
            </w:r>
          </w:p>
        </w:tc>
      </w:tr>
      <w:tr w14:paraId="401A98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4037" w:type="dxa"/>
            <w:tcBorders>
              <w:top w:val="single" w:color="auto" w:sz="6" w:space="0"/>
              <w:left w:val="single" w:color="auto" w:sz="12" w:space="0"/>
              <w:bottom w:val="single" w:color="auto" w:sz="6" w:space="0"/>
              <w:right w:val="single" w:color="auto" w:sz="6" w:space="0"/>
            </w:tcBorders>
            <w:vAlign w:val="center"/>
          </w:tcPr>
          <w:p w14:paraId="3CC06994">
            <w:pPr>
              <w:spacing w:after="60" w:line="360" w:lineRule="auto"/>
              <w:ind w:left="-193"/>
              <w:jc w:val="center"/>
              <w:rPr>
                <w:rFonts w:hint="eastAsia" w:ascii="宋体" w:hAnsi="宋体" w:cs="宋体"/>
                <w:color w:val="000000"/>
                <w:szCs w:val="21"/>
              </w:rPr>
            </w:pPr>
            <w:r>
              <w:rPr>
                <w:rFonts w:hint="eastAsia" w:ascii="宋体" w:hAnsi="宋体" w:cs="宋体"/>
                <w:color w:val="000000"/>
                <w:szCs w:val="21"/>
              </w:rPr>
              <w:t>氟（以F计）</w:t>
            </w:r>
          </w:p>
        </w:tc>
        <w:tc>
          <w:tcPr>
            <w:tcW w:w="4297" w:type="dxa"/>
            <w:tcBorders>
              <w:top w:val="single" w:color="auto" w:sz="6" w:space="0"/>
              <w:left w:val="single" w:color="auto" w:sz="6" w:space="0"/>
              <w:bottom w:val="single" w:color="auto" w:sz="6" w:space="0"/>
              <w:right w:val="single" w:color="auto" w:sz="12" w:space="0"/>
            </w:tcBorders>
            <w:vAlign w:val="center"/>
          </w:tcPr>
          <w:p w14:paraId="3C9F2350">
            <w:pPr>
              <w:spacing w:after="60" w:line="360" w:lineRule="auto"/>
              <w:ind w:left="-193"/>
              <w:jc w:val="center"/>
              <w:rPr>
                <w:rFonts w:hint="eastAsia" w:ascii="宋体" w:hAnsi="宋体" w:cs="宋体"/>
                <w:color w:val="000000"/>
                <w:szCs w:val="21"/>
              </w:rPr>
            </w:pPr>
            <w:r>
              <w:rPr>
                <w:rFonts w:hint="eastAsia" w:ascii="宋体" w:hAnsi="宋体" w:cs="宋体"/>
                <w:color w:val="000000"/>
                <w:szCs w:val="21"/>
              </w:rPr>
              <w:t>≤0.5</w:t>
            </w:r>
          </w:p>
        </w:tc>
      </w:tr>
      <w:tr w14:paraId="5C31C4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4037" w:type="dxa"/>
            <w:tcBorders>
              <w:top w:val="single" w:color="auto" w:sz="6" w:space="0"/>
              <w:left w:val="single" w:color="auto" w:sz="12" w:space="0"/>
              <w:bottom w:val="single" w:color="auto" w:sz="6" w:space="0"/>
              <w:right w:val="single" w:color="auto" w:sz="6" w:space="0"/>
            </w:tcBorders>
            <w:vAlign w:val="center"/>
          </w:tcPr>
          <w:p w14:paraId="5746B721">
            <w:pPr>
              <w:spacing w:after="60" w:line="360" w:lineRule="auto"/>
              <w:ind w:left="-193"/>
              <w:jc w:val="center"/>
              <w:rPr>
                <w:rFonts w:hint="eastAsia" w:ascii="宋体" w:hAnsi="宋体" w:cs="宋体"/>
                <w:color w:val="000000"/>
                <w:szCs w:val="21"/>
              </w:rPr>
            </w:pPr>
            <w:r>
              <w:rPr>
                <w:rFonts w:hint="eastAsia" w:ascii="宋体" w:hAnsi="宋体" w:cs="宋体"/>
                <w:color w:val="000000"/>
                <w:szCs w:val="21"/>
              </w:rPr>
              <w:t>硝酸盐（以NaNO3计）</w:t>
            </w:r>
          </w:p>
        </w:tc>
        <w:tc>
          <w:tcPr>
            <w:tcW w:w="4297" w:type="dxa"/>
            <w:tcBorders>
              <w:top w:val="single" w:color="auto" w:sz="6" w:space="0"/>
              <w:left w:val="single" w:color="auto" w:sz="6" w:space="0"/>
              <w:bottom w:val="single" w:color="auto" w:sz="6" w:space="0"/>
              <w:right w:val="single" w:color="auto" w:sz="12" w:space="0"/>
            </w:tcBorders>
            <w:vAlign w:val="center"/>
          </w:tcPr>
          <w:p w14:paraId="4EEC597C">
            <w:pPr>
              <w:spacing w:after="60" w:line="360" w:lineRule="auto"/>
              <w:ind w:left="-193"/>
              <w:jc w:val="center"/>
              <w:rPr>
                <w:rFonts w:hint="eastAsia" w:ascii="宋体" w:hAnsi="宋体" w:cs="宋体"/>
                <w:color w:val="000000"/>
                <w:szCs w:val="21"/>
              </w:rPr>
            </w:pPr>
            <w:r>
              <w:rPr>
                <w:rFonts w:hint="eastAsia" w:ascii="宋体" w:hAnsi="宋体" w:cs="宋体"/>
                <w:color w:val="000000"/>
                <w:szCs w:val="21"/>
              </w:rPr>
              <w:t>瓜果类≤600；叶菜根茎类≤1200</w:t>
            </w:r>
          </w:p>
        </w:tc>
      </w:tr>
      <w:tr w14:paraId="36AAE8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4037" w:type="dxa"/>
            <w:tcBorders>
              <w:top w:val="single" w:color="auto" w:sz="6" w:space="0"/>
              <w:left w:val="single" w:color="auto" w:sz="12" w:space="0"/>
              <w:bottom w:val="single" w:color="auto" w:sz="12" w:space="0"/>
              <w:right w:val="single" w:color="auto" w:sz="6" w:space="0"/>
            </w:tcBorders>
            <w:vAlign w:val="center"/>
          </w:tcPr>
          <w:p w14:paraId="7C4BAC19">
            <w:pPr>
              <w:spacing w:after="60" w:line="360" w:lineRule="auto"/>
              <w:ind w:left="-193"/>
              <w:jc w:val="center"/>
              <w:rPr>
                <w:rFonts w:hint="eastAsia" w:ascii="宋体" w:hAnsi="宋体" w:cs="宋体"/>
                <w:color w:val="000000"/>
                <w:szCs w:val="21"/>
              </w:rPr>
            </w:pPr>
            <w:r>
              <w:rPr>
                <w:rFonts w:hint="eastAsia" w:ascii="宋体" w:hAnsi="宋体" w:cs="宋体"/>
                <w:color w:val="000000"/>
                <w:szCs w:val="21"/>
              </w:rPr>
              <w:t>亚硝酸盐（以NaNO2计）</w:t>
            </w:r>
          </w:p>
        </w:tc>
        <w:tc>
          <w:tcPr>
            <w:tcW w:w="4297" w:type="dxa"/>
            <w:tcBorders>
              <w:top w:val="single" w:color="auto" w:sz="6" w:space="0"/>
              <w:left w:val="single" w:color="auto" w:sz="6" w:space="0"/>
              <w:bottom w:val="single" w:color="auto" w:sz="12" w:space="0"/>
              <w:right w:val="single" w:color="auto" w:sz="12" w:space="0"/>
            </w:tcBorders>
            <w:vAlign w:val="center"/>
          </w:tcPr>
          <w:p w14:paraId="7E16403A">
            <w:pPr>
              <w:spacing w:after="60" w:line="360" w:lineRule="auto"/>
              <w:ind w:left="-193"/>
              <w:jc w:val="center"/>
              <w:rPr>
                <w:rFonts w:hint="eastAsia" w:ascii="宋体" w:hAnsi="宋体" w:cs="宋体"/>
                <w:color w:val="000000"/>
                <w:szCs w:val="21"/>
              </w:rPr>
            </w:pPr>
            <w:r>
              <w:rPr>
                <w:rFonts w:hint="eastAsia" w:ascii="宋体" w:hAnsi="宋体" w:cs="宋体"/>
                <w:color w:val="000000"/>
                <w:szCs w:val="21"/>
              </w:rPr>
              <w:t>≤4</w:t>
            </w:r>
          </w:p>
        </w:tc>
      </w:tr>
    </w:tbl>
    <w:p w14:paraId="55AF2AEB">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1.2从蔬菜色泽看，各种蔬菜都应具有本品种固有的颜色，大多数有发亮的光泽，以此显示蔬菜的成熟度及鲜嫩程度；</w:t>
      </w:r>
    </w:p>
    <w:p w14:paraId="3C0E632C">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1.3从蔬菜气味看，多数蔬菜具有清馨、甘辛香、甜酸香等气味，可凭嗅觉识别不同品种的质量，不允许有腐烂变质的亚硝酸盐味和其他异常气味；</w:t>
      </w:r>
    </w:p>
    <w:p w14:paraId="0EFF54BF">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1.4从蔬菜滋味看，因品种不同而各异，多数蔬菜滋味甘淡、甜酸、清爽鲜美，少数具有辛酸、苦涩等特殊风味以刺激食欲，如失去本品种原有的滋即为异常；</w:t>
      </w:r>
    </w:p>
    <w:p w14:paraId="7462DAFB">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1.5从蔬菜形态看，应尽量避免由于客观因素而造成的各种非正常、不新鲜的蔬菜，例如萎蔫、枯塌、损伤、病变、虫害侵蚀等引起的形态异常等。</w:t>
      </w:r>
    </w:p>
    <w:p w14:paraId="0F77C6D9">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叶菜类：大白菜、小白菜、菠菜、甘蓝、荠菜、空心菜、茼蒿、苋菜、芹菜等绿叶菜类。</w:t>
      </w:r>
    </w:p>
    <w:p w14:paraId="01142975">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属同一品种规格，肉质鲜嫩形态好，色泽正常，茎基部削平，无枯黄叶、病叶、泥土、明显机械伤和病虫害伤，无烧心焦边、腐烂等现象，无抽苔（菜心除外），无畸形、异味，结球叶菜要结球适度，花椰菜应新鲜洁白，不带叶麸，无畸形花。</w:t>
      </w:r>
    </w:p>
    <w:p w14:paraId="7D8730F0">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茄果类：番茄、茄子、甜椒、辣椒等。</w:t>
      </w:r>
    </w:p>
    <w:p w14:paraId="466D534F">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属同一品种规格，果实整洁，成熟度适中，番茄花蒂不明显，无裂果及空洞现象，茄果不能有裂蒂及果皮变硬现象，无腐烂、畸形、异味，无明显机械伤。</w:t>
      </w:r>
    </w:p>
    <w:p w14:paraId="6B21E745">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瓜果类：黄瓜、冬瓜、丝瓜、苦瓜、南瓜、毛节瓜等。</w:t>
      </w:r>
    </w:p>
    <w:p w14:paraId="0EB23FA6">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属同一品种规格，形状、色泽一致，瓜条均匀，无疤点，无断裂，无腐烂、畸形、异味、明显机械伤，不带泥土。</w:t>
      </w:r>
    </w:p>
    <w:p w14:paraId="67408743">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根菜类：萝卜、胡萝卜等。</w:t>
      </w:r>
    </w:p>
    <w:p w14:paraId="31920BE1">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属同一品种规格，皮细光滑，大小均匀，肉质脆嫩致密新鲜，无腐烂、畸形、裂痕、糠心、异味，不带泥沙，不带茎叶和须根。</w:t>
      </w:r>
    </w:p>
    <w:p w14:paraId="4ADE77DA">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薯芋类：马铃薯、芋、姜等。</w:t>
      </w:r>
    </w:p>
    <w:p w14:paraId="53A8BA1D">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属同一品种规格，色泽一致，不带泥沙，不带须根、茎叶，不干瘪，无腐烂、畸形、异味、明显机械伤、病虫害斑，马铃薯无发芽，皮不变绿。</w:t>
      </w:r>
    </w:p>
    <w:p w14:paraId="0AF8D529">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葱蒜类：葱、蒜、韭菜、洋葱等。</w:t>
      </w:r>
    </w:p>
    <w:p w14:paraId="07164B95">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属同一品种规格，允许葱、青蒜类保留干净须根，葱、蒜、韭菜不带老叶，蒜头、洋葱去根去枯叶，可食部分新鲜幼嫩，无腐烂、畸形、异味。</w:t>
      </w:r>
    </w:p>
    <w:p w14:paraId="7D5E43C1">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豆类：扁豆、豌豆、毛豆等。</w:t>
      </w:r>
    </w:p>
    <w:p w14:paraId="245A3EE6">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属同一品种规格，形态完整，成熟度适中，无腐烂、畸形、异味，豆荚类新鲜、幼嫩、均匀，豆仁类籽粒饱满，较均匀，无发芽，不带泥土杂质。</w:t>
      </w:r>
    </w:p>
    <w:p w14:paraId="352BB3BB">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水生菜类：藕、慈菇、茭白、马蹄、菱等。</w:t>
      </w:r>
    </w:p>
    <w:p w14:paraId="689ACCEC">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属同一品种规格，肉质嫩，成熟度适中，无腐烂、畸形、异味，无明显机械伤，不带泥土和杂质，不干瘪，茭白不黑心。</w:t>
      </w:r>
    </w:p>
    <w:p w14:paraId="15B45839">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食用菌类：蘑菇、草菇、香菇、木耳等。</w:t>
      </w:r>
    </w:p>
    <w:p w14:paraId="42A9380E">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属同一品种规格，蘑菇、草菇菌盖圆整略展开，柄粗壮，菌膜紧，菇柄切削平整，不浸泡水（蘑菇允许浸盐水保鲜），新鲜，无杂质，无畸形菇，无腐烂、异味。</w:t>
      </w:r>
    </w:p>
    <w:p w14:paraId="70D85783">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芽苗类：绿豆芽、黄豆芽、香樁苗等。</w:t>
      </w:r>
    </w:p>
    <w:p w14:paraId="36A2220B">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芽苗幼嫩，不带豆壳杂质，新鲜，不浸水，无腐烂、异味。</w:t>
      </w:r>
    </w:p>
    <w:p w14:paraId="0500D7BE">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1.6蔬菜供应链要求：所有食品的来源必须清晰。蔬菜来源应当于受到地方政府部门监管的自有基地、商品菜基地或蔬菜专业流通市场，严禁收购散户农民的蔬菜供应。</w:t>
      </w:r>
    </w:p>
    <w:p w14:paraId="0C613C0A">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2、肉类</w:t>
      </w:r>
    </w:p>
    <w:p w14:paraId="0948FEF6">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2.1鲜肉</w:t>
      </w:r>
    </w:p>
    <w:p w14:paraId="5069E71A">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所供产品应保持较好的外观和质量等级，符合国家卫生和计划生育委员会、国家食品药品监督管理总局发布的肉和肉制品经营卫生规范的要求，保证无异味、无霉烂变质，肉类保证来源于正规肉联厂，供货时须提交肉联厂的验收单及当批次有效的动物检疫合格证复印件（原件备查）。鲜肉确保每日新鲜、无异味。</w:t>
      </w:r>
    </w:p>
    <w:p w14:paraId="09D3B215">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2.2其他肉类</w:t>
      </w:r>
    </w:p>
    <w:p w14:paraId="196376BF">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所供产品应保持较好的外观和质量等级，符合国家食品部门的有关标准，保证无异味、无霉烂变质，肉类保证来源于正规肉联厂，供货时须提交肉联厂的验收单及当批次有效的动物检疫合格证复印件（分割的猪肉每次送货时要有深圳市分割肉销售凭据），鲜肉确保每日新鲜，冷冻肉要求肉体冻实而坚硬，无化冻现象，肉质紧密而有弹性，色泽均匀，不粘手，交货时干净、新鲜、无异味，冷冻鱼类要求鱼眼睛清亮，角膜透明，鳞片上覆有冻结的透明黏液层，皮肤天然色泽明显。</w:t>
      </w:r>
    </w:p>
    <w:p w14:paraId="17CF29D2">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所有产品规格符合采购人提交的日采购计划或月采购计划中明确的具体需求。</w:t>
      </w:r>
    </w:p>
    <w:p w14:paraId="01842C1E">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冷冻禽类食品解冻后净重量不少于92％，冷冻肉类食品解冻后净重量不少于95%，冷冻水产类食品（带外包装）解冻后净重量不少于85%，解冻时间为4小时以内（室温20℃）。</w:t>
      </w:r>
    </w:p>
    <w:p w14:paraId="469D31AC">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2.3禽类</w:t>
      </w:r>
    </w:p>
    <w:p w14:paraId="178764DC">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家禽三鸟类来自政府认定合格的屠宰场，具有《动物检疫合格证明》。必须是送货前12小时内屠宰好的新鲜鸡、鸭。</w:t>
      </w:r>
    </w:p>
    <w:p w14:paraId="403514E7">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2.4水产品类</w:t>
      </w:r>
    </w:p>
    <w:p w14:paraId="4F6FB89C">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淡水鱼验收前必须是活的，海鱼必须是冰鲜新鲜、无味、肉感好。如海鲜类要求送货是活的必须要配有冲气装备及海鲜车配送服务。</w:t>
      </w:r>
    </w:p>
    <w:p w14:paraId="0C0A1895">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2.5副食、干货、调味品</w:t>
      </w:r>
    </w:p>
    <w:p w14:paraId="7A5DD2C8">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干货制品的质量基本标准要求符合国家相关行业标准，干爽，不霉烂、整齐、均匀、完整，无虫蛀、无杂质，保持应有的色泽。确保产品质量稳定，保证营养丰富、绿色安全、海味浓郁、易存放、食用方便，保质期长。从加工、包装、运输、贮存到销售全部符合国家规定标准。尤其是二氧化硫残留量、总砷含量不超过国家卫生标准；副食、调味品由正规厂家生产，杜绝假冒伪劣商品，所提供的必须是正规厂家生产的名牌信得过产品。并提供贴有生产许可验收和商标及地址、电话、保质期内食用产品。</w:t>
      </w:r>
    </w:p>
    <w:p w14:paraId="7C6C4DDF">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2.6水果</w:t>
      </w:r>
    </w:p>
    <w:p w14:paraId="61F450BB">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采购范围：主要采购当季时令水果，产品来源必须是正规渠道，提供的产品品质要确保新鲜，中标人必须保证所供应的产品符合卫生质量标准，同时承担因所供水果问题引起的一切事故后果。</w:t>
      </w:r>
    </w:p>
    <w:p w14:paraId="74CA0559">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包装要求：容器(框、箱、袋)要求清洁、干燥、牢固、透气，无污染、无异味、无霉变现象。</w:t>
      </w:r>
    </w:p>
    <w:p w14:paraId="053C2B5C">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投标人拟投产品必须符合国家相关标准、行业标准、地方标准或者其他标准、规范；所供的物品必须符合《中华人民共和国食品安全法》要求。</w:t>
      </w:r>
    </w:p>
    <w:p w14:paraId="70581DFE">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2.7牛奶</w:t>
      </w:r>
    </w:p>
    <w:p w14:paraId="7F83949A">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2.7.1早餐奶</w:t>
      </w:r>
    </w:p>
    <w:p w14:paraId="75E8D78C">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按照深圳市各品牌牛奶的销售情况看，能获得消费者认可并且生产量比较大的品牌有以下几种：1：晨光；2：卡士；3：光明；4：蒙牛;5伊利等，投标人可以自行选择所投产品，但提供的牛奶必须是原始生产厂家生产的合格产品，如提供假冒伪劣产品，采购人将根据《中华人民共和国消费者权益保护法》的规定要求赔偿；</w:t>
      </w:r>
    </w:p>
    <w:p w14:paraId="00A1FC97">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3、产品配送要求</w:t>
      </w:r>
    </w:p>
    <w:p w14:paraId="6163E187">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3.1送货方式：每次根据采购人的电话或其它方式通知订购品种、数量后，按时运送物品到指定地点，中标人随货提供注明货物名称、单位、数量、售价及总金额的商品送货清单，作为采购人入库验收之凭证。</w:t>
      </w:r>
    </w:p>
    <w:p w14:paraId="4FCFEC7B">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3.2包装要求：容器(框、箱、袋)要求清洁、干燥、牢固、透气，无污染、无异味、无霉变现象。</w:t>
      </w:r>
    </w:p>
    <w:p w14:paraId="76B01A53">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3.3运输要求：运输工具应清洁卫生无污染：食品运输必须采用符合卫生标准的外包装和运载工具，并且要保持清洁和定期消毒。运输车厢的内仓，包括地面、墙面和顶，应使用抗腐蚀、防潮，易清洁消毒的材料。车厢内无不良气味、异味；运输途中严防日晒、雨淋，注意通风散热；蔬菜应小心轻卸，严防机械损伤。食品堆放科学合理，避免造成食品的交叉污染；如对温度有要求的食品应确定食品的温度，记录送货车辆温度，并记录存档。如奶制品运输需用冷链车防止变质。</w:t>
      </w:r>
    </w:p>
    <w:p w14:paraId="5CEED4B7">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3.4数量方面要求：保证配送品种斤两的准确性，以采购人的验货数量为准，中标人每次随货送上一式两份的送货清单，供双方验货后签字确认，双方各持一份，作为送、收货的凭证。</w:t>
      </w:r>
    </w:p>
    <w:p w14:paraId="51636658">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3.5每次根据采购用户的通知订购品种和数量后，24小时内送货，具体送货时间由采购用户通知时约定，由采购人指定负责人验收过秤记录。对于不符合质量的品种采购人可退货或换货（由于产品质量而造成员工或宾客发生安全事故时，中标人须承担全部责任）。</w:t>
      </w:r>
    </w:p>
    <w:p w14:paraId="6D5A0D17">
      <w:pPr>
        <w:spacing w:after="60" w:line="360" w:lineRule="auto"/>
        <w:ind w:firstLine="424" w:firstLineChars="202"/>
        <w:textAlignment w:val="top"/>
        <w:rPr>
          <w:rFonts w:hint="eastAsia" w:ascii="宋体" w:hAnsi="宋体" w:cs="仿宋_GB2312"/>
          <w:szCs w:val="21"/>
        </w:rPr>
      </w:pPr>
      <w:r>
        <w:rPr>
          <w:rFonts w:hint="eastAsia" w:ascii="宋体" w:hAnsi="宋体" w:cs="仿宋_GB2312"/>
          <w:szCs w:val="21"/>
        </w:rPr>
        <w:t>3.6对采购人临时的供货要求，需随订随送，至少在2个小时内响应。</w:t>
      </w:r>
    </w:p>
    <w:p w14:paraId="32B5245E">
      <w:pPr>
        <w:numPr>
          <w:ilvl w:val="0"/>
          <w:numId w:val="2"/>
        </w:numPr>
        <w:spacing w:after="60" w:afterLines="0" w:line="360" w:lineRule="auto"/>
        <w:ind w:firstLine="422" w:firstLineChars="200"/>
        <w:jc w:val="left"/>
        <w:rPr>
          <w:rFonts w:hint="eastAsia" w:ascii="宋体" w:hAnsi="宋体"/>
          <w:b/>
          <w:bCs/>
          <w:szCs w:val="21"/>
        </w:rPr>
      </w:pPr>
      <w:r>
        <w:rPr>
          <w:rFonts w:hint="eastAsia" w:ascii="宋体" w:hAnsi="宋体"/>
          <w:b/>
          <w:bCs/>
          <w:szCs w:val="21"/>
        </w:rPr>
        <w:t>人员要求（岗位要求、数量）；</w:t>
      </w:r>
    </w:p>
    <w:p w14:paraId="6A40EB1C">
      <w:pPr>
        <w:spacing w:after="60" w:line="360" w:lineRule="auto"/>
        <w:ind w:firstLine="424" w:firstLineChars="202"/>
        <w:jc w:val="left"/>
        <w:rPr>
          <w:rFonts w:hint="eastAsia" w:ascii="宋体" w:hAnsi="宋体" w:cs="仿宋_GB2312"/>
          <w:szCs w:val="21"/>
        </w:rPr>
      </w:pPr>
      <w:r>
        <w:rPr>
          <w:rFonts w:hint="eastAsia" w:ascii="宋体" w:hAnsi="宋体" w:cs="仿宋_GB2312"/>
          <w:szCs w:val="21"/>
        </w:rPr>
        <w:t>1）中标人为采购人须配备至少1名项目负责人，1名专职配送人员和2名粗加工人员。另中标人在配送当天须至少安排1名人员在采购单位食堂协助分拣食材等工作。</w:t>
      </w:r>
    </w:p>
    <w:p w14:paraId="57887D84">
      <w:pPr>
        <w:spacing w:after="60" w:line="360" w:lineRule="auto"/>
        <w:ind w:firstLine="424" w:firstLineChars="202"/>
        <w:jc w:val="left"/>
        <w:rPr>
          <w:rFonts w:hint="eastAsia" w:ascii="宋体" w:hAnsi="宋体" w:cs="仿宋_GB2312"/>
          <w:szCs w:val="21"/>
        </w:rPr>
      </w:pPr>
      <w:r>
        <w:rPr>
          <w:rFonts w:hint="eastAsia" w:ascii="宋体" w:hAnsi="宋体" w:cs="仿宋_GB2312"/>
          <w:szCs w:val="21"/>
        </w:rPr>
        <w:t>2）以上人员的职责包括但不限于进行配送、粗加工、食品检验、确保售后质量。</w:t>
      </w:r>
    </w:p>
    <w:p w14:paraId="2A4423D2">
      <w:pPr>
        <w:numPr>
          <w:ilvl w:val="0"/>
          <w:numId w:val="2"/>
        </w:numPr>
        <w:spacing w:after="60" w:afterLines="0" w:line="360" w:lineRule="auto"/>
        <w:ind w:firstLine="422" w:firstLineChars="200"/>
        <w:jc w:val="left"/>
        <w:rPr>
          <w:rFonts w:hint="eastAsia" w:ascii="宋体" w:hAnsi="宋体" w:cs="仿宋_GB2312"/>
          <w:szCs w:val="21"/>
        </w:rPr>
      </w:pPr>
      <w:r>
        <w:rPr>
          <w:rFonts w:hint="eastAsia" w:ascii="宋体" w:hAnsi="宋体"/>
          <w:b/>
          <w:bCs/>
          <w:szCs w:val="21"/>
        </w:rPr>
        <w:t>设备要求（设备名称、数量）；</w:t>
      </w:r>
      <w:r>
        <w:rPr>
          <w:rFonts w:hint="eastAsia" w:ascii="宋体" w:hAnsi="宋体" w:cs="仿宋_GB2312"/>
          <w:szCs w:val="21"/>
        </w:rPr>
        <w:t>中标人需提供不低于1台在本地能正常运营的冷藏车辆，满足采购人订货和补货的配送要求。另外需配有1辆冷藏车和1辆货车作为日常配送应急用车。</w:t>
      </w:r>
    </w:p>
    <w:p w14:paraId="131EF43A">
      <w:pPr>
        <w:numPr>
          <w:ilvl w:val="0"/>
          <w:numId w:val="2"/>
        </w:numPr>
        <w:spacing w:after="60" w:afterLines="0" w:line="360" w:lineRule="auto"/>
        <w:ind w:firstLine="422" w:firstLineChars="200"/>
        <w:jc w:val="left"/>
        <w:rPr>
          <w:rFonts w:hint="eastAsia" w:ascii="宋体" w:hAnsi="宋体"/>
          <w:b/>
          <w:bCs/>
          <w:szCs w:val="21"/>
        </w:rPr>
      </w:pPr>
      <w:r>
        <w:rPr>
          <w:rFonts w:hint="eastAsia" w:ascii="宋体" w:hAnsi="宋体"/>
          <w:b/>
          <w:bCs/>
          <w:szCs w:val="21"/>
        </w:rPr>
        <w:t>价格确认及结算要求；</w:t>
      </w:r>
    </w:p>
    <w:p w14:paraId="258C0CBE">
      <w:pPr>
        <w:spacing w:after="60" w:line="360" w:lineRule="auto"/>
        <w:ind w:firstLine="424" w:firstLineChars="202"/>
        <w:jc w:val="left"/>
        <w:rPr>
          <w:rFonts w:hint="eastAsia" w:ascii="宋体" w:hAnsi="宋体"/>
          <w:szCs w:val="21"/>
        </w:rPr>
      </w:pPr>
      <w:r>
        <w:rPr>
          <w:rFonts w:hint="eastAsia" w:ascii="宋体" w:hAnsi="宋体"/>
          <w:szCs w:val="21"/>
        </w:rPr>
        <w:t>（1）蔬菜、鲜肉类以及水产类产品投标报价以深圳市中农数据有限公司(天天采配平台)（网址：http://www.chinaap.com）上月 5、15、25 号公布的价格（“含费价”前价格）取平均值确定为该项物资的基准价 （平均值精确到分，即小数点后两位），投标人结合企业自己的实力报出折扣率（0＜折扣率≤1），结算时价格=基准价*折扣率。</w:t>
      </w:r>
    </w:p>
    <w:p w14:paraId="08D1AD4B">
      <w:pPr>
        <w:spacing w:after="60" w:line="360" w:lineRule="auto"/>
        <w:ind w:firstLine="424" w:firstLineChars="202"/>
        <w:jc w:val="left"/>
        <w:rPr>
          <w:rFonts w:hint="eastAsia" w:ascii="宋体" w:hAnsi="宋体"/>
          <w:szCs w:val="21"/>
        </w:rPr>
      </w:pPr>
      <w:r>
        <w:rPr>
          <w:rFonts w:hint="eastAsia" w:ascii="宋体" w:hAnsi="宋体"/>
          <w:szCs w:val="21"/>
        </w:rPr>
        <w:t>（2）除蔬菜、鲜肉类以及水产类产品外，深圳市中农数据有限公司(天天采配平台)其他类别产品直接按采配平台上月 5、15、25 号价格（“含费价”前价格）的平均值结算。</w:t>
      </w:r>
    </w:p>
    <w:p w14:paraId="6EF1C8AC">
      <w:pPr>
        <w:spacing w:after="60" w:line="360" w:lineRule="auto"/>
        <w:ind w:firstLine="424" w:firstLineChars="202"/>
        <w:jc w:val="left"/>
        <w:rPr>
          <w:rFonts w:hint="eastAsia" w:ascii="宋体" w:hAnsi="宋体"/>
          <w:szCs w:val="21"/>
        </w:rPr>
      </w:pPr>
      <w:r>
        <w:rPr>
          <w:rFonts w:hint="eastAsia" w:ascii="宋体" w:hAnsi="宋体"/>
          <w:szCs w:val="21"/>
        </w:rPr>
        <w:t xml:space="preserve">（3）深圳市中农数据有限公司(天天采配平台)中无价格的产品，则结算时价格=折扣率*市场价。（市场价参考周边市场、大型商超、叮咚买菜、朴朴超市等价格作为该项物资的基准价）。 </w:t>
      </w:r>
    </w:p>
    <w:p w14:paraId="4CAC51B0">
      <w:pPr>
        <w:spacing w:after="60" w:line="360" w:lineRule="auto"/>
        <w:ind w:firstLine="424" w:firstLineChars="202"/>
        <w:jc w:val="left"/>
        <w:rPr>
          <w:rFonts w:hint="eastAsia" w:ascii="宋体" w:hAnsi="宋体"/>
          <w:szCs w:val="21"/>
        </w:rPr>
      </w:pPr>
      <w:r>
        <w:rPr>
          <w:rFonts w:hint="eastAsia" w:ascii="宋体" w:hAnsi="宋体"/>
          <w:szCs w:val="21"/>
        </w:rPr>
        <w:t>（4）</w:t>
      </w:r>
      <w:r>
        <w:rPr>
          <w:rFonts w:hint="eastAsia" w:ascii="宋体" w:hAnsi="宋体" w:cs="宋体"/>
          <w:szCs w:val="21"/>
        </w:rPr>
        <w:t>价格表每月确认一次，以深圳市中农数据有限公司(天天采配平台)上月5、15、25 号公布的价格（“含费价”前价格）取平均值确定为该项物资的基准价。</w:t>
      </w:r>
    </w:p>
    <w:p w14:paraId="09C6B9A9">
      <w:pPr>
        <w:spacing w:after="60" w:line="360" w:lineRule="auto"/>
        <w:ind w:firstLine="424" w:firstLineChars="202"/>
        <w:jc w:val="left"/>
        <w:rPr>
          <w:rFonts w:hint="eastAsia" w:ascii="宋体" w:hAnsi="宋体"/>
          <w:szCs w:val="21"/>
        </w:rPr>
      </w:pPr>
      <w:r>
        <w:rPr>
          <w:rFonts w:hint="eastAsia" w:ascii="宋体" w:hAnsi="宋体"/>
          <w:szCs w:val="21"/>
        </w:rPr>
        <w:t>（5）中标人能够为采购单位提供相关软件支持服务，保证与深圳市中农数据有限公司食堂采购平台( 天天采购) 及采购单位的信息化对接。同时协助采购人做好市场调查，承担市场调查相关费用。</w:t>
      </w:r>
    </w:p>
    <w:p w14:paraId="27CD5160">
      <w:pPr>
        <w:spacing w:after="60" w:line="360" w:lineRule="auto"/>
        <w:ind w:firstLine="424" w:firstLineChars="202"/>
        <w:jc w:val="left"/>
        <w:rPr>
          <w:rFonts w:hint="eastAsia" w:ascii="宋体" w:hAnsi="宋体"/>
          <w:szCs w:val="21"/>
        </w:rPr>
      </w:pPr>
      <w:r>
        <w:rPr>
          <w:rFonts w:hint="eastAsia" w:ascii="宋体" w:hAnsi="宋体"/>
          <w:szCs w:val="21"/>
        </w:rPr>
        <w:t>（6）中标人须中标后在签订合同前提供将近三个月的供货产品价格交由采购人审核，并作为签订合同的价格参考依据。</w:t>
      </w:r>
    </w:p>
    <w:p w14:paraId="0AB7A692">
      <w:pPr>
        <w:numPr>
          <w:ilvl w:val="0"/>
          <w:numId w:val="2"/>
        </w:numPr>
        <w:spacing w:after="60" w:afterLines="0" w:line="360" w:lineRule="auto"/>
        <w:ind w:firstLine="422" w:firstLineChars="200"/>
        <w:jc w:val="left"/>
        <w:rPr>
          <w:rFonts w:hint="eastAsia" w:ascii="宋体" w:hAnsi="宋体"/>
          <w:b/>
          <w:bCs/>
          <w:szCs w:val="21"/>
        </w:rPr>
      </w:pPr>
      <w:r>
        <w:rPr>
          <w:rFonts w:hint="eastAsia" w:ascii="宋体" w:hAnsi="宋体"/>
          <w:b/>
          <w:bCs/>
          <w:szCs w:val="21"/>
        </w:rPr>
        <w:t>报价要求；</w:t>
      </w:r>
    </w:p>
    <w:p w14:paraId="427DE896">
      <w:pPr>
        <w:widowControl/>
        <w:spacing w:after="60" w:line="360" w:lineRule="auto"/>
        <w:ind w:firstLine="420" w:firstLineChars="200"/>
        <w:jc w:val="left"/>
        <w:rPr>
          <w:rFonts w:hint="eastAsia" w:ascii="宋体" w:hAnsi="宋体"/>
          <w:szCs w:val="21"/>
        </w:rPr>
      </w:pPr>
      <w:r>
        <w:rPr>
          <w:rFonts w:hint="eastAsia" w:ascii="宋体" w:hAnsi="宋体"/>
          <w:szCs w:val="21"/>
        </w:rPr>
        <w:t>所有物资的报价包括但不限于供应产品和产品运输到使用单位的服务费、市场调查、检测费、人工费、管理费、税金等一切将可发生的费用。以上报价以人民币为报价和结算单位，须开具国家正规发票。</w:t>
      </w:r>
    </w:p>
    <w:p w14:paraId="73508926">
      <w:pPr>
        <w:widowControl/>
        <w:adjustRightInd w:val="0"/>
        <w:snapToGrid w:val="0"/>
        <w:spacing w:after="60" w:line="360" w:lineRule="auto"/>
        <w:ind w:firstLine="420" w:firstLineChars="200"/>
        <w:jc w:val="left"/>
        <w:rPr>
          <w:rFonts w:hint="eastAsia" w:ascii="宋体" w:hAnsi="宋体"/>
          <w:kern w:val="0"/>
          <w:szCs w:val="21"/>
        </w:rPr>
      </w:pPr>
      <w:r>
        <w:rPr>
          <w:rFonts w:ascii="宋体" w:hAnsi="宋体"/>
          <w:kern w:val="0"/>
          <w:szCs w:val="21"/>
        </w:rPr>
        <w:t>投标人在投标报价时必须充分考虑到工资标准调整、物价上涨</w:t>
      </w:r>
      <w:r>
        <w:rPr>
          <w:rFonts w:hint="eastAsia" w:ascii="宋体" w:hAnsi="宋体"/>
          <w:kern w:val="0"/>
          <w:szCs w:val="21"/>
        </w:rPr>
        <w:t>以及各种管理因素和环境条件等影响本项目服务价格的因素，并承担相应的风险；一旦中标不再调整折扣，且不再为此增加任何费用。</w:t>
      </w:r>
    </w:p>
    <w:p w14:paraId="73AA5BA8">
      <w:pPr>
        <w:widowControl/>
        <w:adjustRightInd w:val="0"/>
        <w:snapToGrid w:val="0"/>
        <w:spacing w:after="60" w:line="360" w:lineRule="auto"/>
        <w:ind w:firstLine="420" w:firstLineChars="200"/>
        <w:jc w:val="left"/>
        <w:rPr>
          <w:rFonts w:hint="eastAsia" w:ascii="宋体" w:hAnsi="宋体"/>
          <w:szCs w:val="21"/>
        </w:rPr>
      </w:pPr>
      <w:r>
        <w:rPr>
          <w:rFonts w:hint="eastAsia" w:ascii="宋体" w:hAnsi="宋体" w:cs="宋体"/>
          <w:szCs w:val="21"/>
        </w:rPr>
        <w:t>蔬菜、鲜肉类及水产类产品投标报价以深圳市中农数据有限公司(天天采配平台)上月 5、15 、25号公布的价格（“含费价”前价格）取平均值确定为该项物资的基准价（平均值精确到分，即小数点后两位），投标人结合企业自己的实力报出折扣率（0＜折扣率≤1），折扣率应为小数，（如：0.90、0.87、0.80 等，小数点后位数不超过 2 位，结算时价格=基准价*折扣率</w:t>
      </w:r>
      <w:r>
        <w:rPr>
          <w:rFonts w:hint="eastAsia" w:ascii="宋体" w:hAnsi="宋体"/>
          <w:szCs w:val="21"/>
        </w:rPr>
        <w:t>。</w:t>
      </w:r>
    </w:p>
    <w:p w14:paraId="698B28C0">
      <w:pPr>
        <w:spacing w:after="60" w:line="360" w:lineRule="auto"/>
        <w:ind w:firstLine="424" w:firstLineChars="202"/>
        <w:jc w:val="left"/>
        <w:rPr>
          <w:rFonts w:hint="eastAsia" w:ascii="宋体" w:hAnsi="宋体"/>
          <w:szCs w:val="21"/>
        </w:rPr>
      </w:pPr>
      <w:r>
        <w:rPr>
          <w:rFonts w:hint="eastAsia" w:ascii="宋体" w:hAnsi="宋体"/>
          <w:szCs w:val="21"/>
        </w:rPr>
        <w:t>除蔬菜、鲜肉类以及水产类产品外，深圳市中农数据有限公司(天天采配平台)其他类别产品直接按采配平台上月 5、15、25 号价格（“含费价”前价格）的平均值结算。</w:t>
      </w:r>
    </w:p>
    <w:p w14:paraId="1AA73D2C">
      <w:pPr>
        <w:spacing w:after="60" w:line="360" w:lineRule="auto"/>
        <w:ind w:firstLine="424" w:firstLineChars="202"/>
        <w:jc w:val="left"/>
        <w:rPr>
          <w:rFonts w:hint="eastAsia" w:ascii="宋体" w:hAnsi="宋体"/>
          <w:szCs w:val="21"/>
        </w:rPr>
      </w:pPr>
      <w:r>
        <w:rPr>
          <w:rFonts w:hint="eastAsia" w:ascii="宋体" w:hAnsi="宋体"/>
          <w:szCs w:val="21"/>
        </w:rPr>
        <w:t xml:space="preserve">深圳市中农数据有限公司(天天采配平台)中无价格的产品，则结算时价格=折扣率*市场价。（市场价参考周边市场、大型商超、叮咚买菜、朴朴超市等价格作为该项物资的基准价）。 </w:t>
      </w:r>
    </w:p>
    <w:p w14:paraId="1CE27849">
      <w:pPr>
        <w:numPr>
          <w:ilvl w:val="0"/>
          <w:numId w:val="2"/>
        </w:numPr>
        <w:spacing w:after="60" w:afterLines="0" w:line="360" w:lineRule="auto"/>
        <w:ind w:firstLine="422" w:firstLineChars="200"/>
        <w:jc w:val="left"/>
        <w:rPr>
          <w:rFonts w:hint="eastAsia" w:ascii="宋体" w:hAnsi="宋体"/>
          <w:szCs w:val="21"/>
        </w:rPr>
      </w:pPr>
      <w:r>
        <w:rPr>
          <w:rFonts w:hint="eastAsia" w:ascii="宋体" w:hAnsi="宋体"/>
          <w:b/>
          <w:bCs/>
          <w:szCs w:val="21"/>
        </w:rPr>
        <w:t>付款方式；</w:t>
      </w:r>
      <w:r>
        <w:rPr>
          <w:rFonts w:hint="eastAsia" w:ascii="宋体" w:hAnsi="宋体"/>
          <w:szCs w:val="21"/>
        </w:rPr>
        <w:t>按月支付，每月10日前提供上月食材配送服务费对账单【结算费用实报实销、每年总金额不能超过预算金额（支付上限金额）】，采购人付款前，中标人应当提供等额正规发票和经采购人确认的合同履行的相关文件资料向采购人申请付款；采购人收齐资料核对无误后，按规定程序向财政部门申请办理核拨，具体到账时间以实际到账时间为准；如未能及时拨付到账，中标人不得以此为由而不履行本合同约定的义务，也不得因此追究采购人迟延付款的违约责任，每年总金额不能超过预算金额（支付上限金额）。</w:t>
      </w:r>
    </w:p>
    <w:p w14:paraId="372D3DF2">
      <w:pPr>
        <w:numPr>
          <w:ilvl w:val="0"/>
          <w:numId w:val="2"/>
        </w:numPr>
        <w:spacing w:after="60" w:afterLines="0" w:line="360" w:lineRule="auto"/>
        <w:ind w:firstLine="422" w:firstLineChars="200"/>
        <w:jc w:val="left"/>
        <w:rPr>
          <w:rFonts w:hint="eastAsia" w:ascii="宋体" w:hAnsi="宋体"/>
          <w:b/>
          <w:bCs/>
          <w:szCs w:val="21"/>
        </w:rPr>
      </w:pPr>
      <w:r>
        <w:rPr>
          <w:rFonts w:hint="eastAsia" w:ascii="宋体" w:hAnsi="宋体" w:cs="宋体"/>
          <w:b/>
          <w:color w:val="000000"/>
          <w:szCs w:val="21"/>
        </w:rPr>
        <w:t>监督管理</w:t>
      </w:r>
      <w:r>
        <w:rPr>
          <w:rFonts w:hint="eastAsia" w:ascii="宋体" w:hAnsi="宋体"/>
          <w:b/>
          <w:bCs/>
          <w:szCs w:val="21"/>
        </w:rPr>
        <w:t>；</w:t>
      </w:r>
    </w:p>
    <w:p w14:paraId="5DAE33F2">
      <w:pPr>
        <w:tabs>
          <w:tab w:val="left" w:pos="540"/>
        </w:tabs>
        <w:adjustRightInd w:val="0"/>
        <w:snapToGrid w:val="0"/>
        <w:spacing w:after="60" w:line="360" w:lineRule="auto"/>
        <w:ind w:firstLine="420"/>
        <w:rPr>
          <w:rFonts w:hint="eastAsia" w:ascii="宋体" w:hAnsi="宋体" w:cs="宋体"/>
          <w:color w:val="000000"/>
          <w:szCs w:val="21"/>
        </w:rPr>
      </w:pPr>
      <w:r>
        <w:rPr>
          <w:rFonts w:hint="eastAsia" w:ascii="宋体" w:hAnsi="宋体" w:cs="宋体"/>
          <w:color w:val="000000"/>
          <w:szCs w:val="21"/>
        </w:rPr>
        <w:t>为加强供应商的管理，提高供应商质量，鼓励优秀供应商，淘汰不良供应商，对供应商的价格水平、服务质量和履约情况进行管理。</w:t>
      </w:r>
    </w:p>
    <w:p w14:paraId="7F0BAC3E">
      <w:pPr>
        <w:tabs>
          <w:tab w:val="left" w:pos="540"/>
        </w:tabs>
        <w:adjustRightInd w:val="0"/>
        <w:snapToGrid w:val="0"/>
        <w:spacing w:after="60" w:line="360" w:lineRule="auto"/>
        <w:ind w:firstLine="420"/>
        <w:rPr>
          <w:rFonts w:hint="eastAsia" w:ascii="宋体" w:hAnsi="宋体" w:cs="宋体"/>
          <w:b/>
          <w:color w:val="000000"/>
          <w:szCs w:val="21"/>
        </w:rPr>
      </w:pPr>
      <w:r>
        <w:rPr>
          <w:rFonts w:hint="eastAsia" w:ascii="宋体" w:hAnsi="宋体" w:cs="宋体"/>
          <w:b/>
          <w:color w:val="000000"/>
          <w:szCs w:val="21"/>
        </w:rPr>
        <w:t>（一）供应商有下列行为之一的，经查实，取消其供应商资格：</w:t>
      </w:r>
    </w:p>
    <w:p w14:paraId="7DDBC4D9">
      <w:pPr>
        <w:tabs>
          <w:tab w:val="left" w:pos="540"/>
        </w:tabs>
        <w:adjustRightInd w:val="0"/>
        <w:snapToGrid w:val="0"/>
        <w:spacing w:after="60" w:line="360" w:lineRule="auto"/>
        <w:ind w:firstLine="420" w:firstLineChars="200"/>
        <w:rPr>
          <w:rFonts w:hint="eastAsia" w:ascii="宋体" w:hAnsi="宋体" w:cs="宋体"/>
          <w:color w:val="000000"/>
          <w:szCs w:val="21"/>
        </w:rPr>
      </w:pPr>
      <w:r>
        <w:rPr>
          <w:rFonts w:hint="eastAsia" w:ascii="宋体" w:hAnsi="宋体" w:cs="宋体"/>
          <w:color w:val="000000"/>
          <w:szCs w:val="21"/>
        </w:rPr>
        <w:t>1、弄虚作假、隐瞒真实情况骗取供应商资格的；</w:t>
      </w:r>
    </w:p>
    <w:p w14:paraId="731BC29F">
      <w:pPr>
        <w:tabs>
          <w:tab w:val="left" w:pos="540"/>
        </w:tabs>
        <w:adjustRightInd w:val="0"/>
        <w:snapToGrid w:val="0"/>
        <w:spacing w:after="60" w:line="360" w:lineRule="auto"/>
        <w:ind w:firstLine="420" w:firstLineChars="200"/>
        <w:rPr>
          <w:rFonts w:hint="eastAsia" w:ascii="宋体" w:hAnsi="宋体" w:cs="宋体"/>
          <w:color w:val="000000"/>
          <w:szCs w:val="21"/>
        </w:rPr>
      </w:pPr>
      <w:r>
        <w:rPr>
          <w:rFonts w:hint="eastAsia" w:ascii="宋体" w:hAnsi="宋体" w:cs="宋体"/>
          <w:color w:val="000000"/>
          <w:szCs w:val="21"/>
        </w:rPr>
        <w:t>2、因行贿、受贿、串通投标、转包、挂靠受到有关政府部门处罚的；</w:t>
      </w:r>
    </w:p>
    <w:p w14:paraId="0B064F77">
      <w:pPr>
        <w:tabs>
          <w:tab w:val="left" w:pos="540"/>
        </w:tabs>
        <w:adjustRightInd w:val="0"/>
        <w:snapToGrid w:val="0"/>
        <w:spacing w:after="60" w:line="360" w:lineRule="auto"/>
        <w:ind w:firstLine="420" w:firstLineChars="200"/>
        <w:rPr>
          <w:rFonts w:hint="eastAsia" w:ascii="宋体" w:hAnsi="宋体" w:cs="宋体"/>
          <w:color w:val="000000"/>
          <w:szCs w:val="21"/>
        </w:rPr>
      </w:pPr>
      <w:r>
        <w:rPr>
          <w:rFonts w:hint="eastAsia" w:ascii="宋体" w:hAnsi="宋体" w:cs="宋体"/>
          <w:color w:val="000000"/>
          <w:szCs w:val="21"/>
        </w:rPr>
        <w:t>3、恶意质疑投诉的；</w:t>
      </w:r>
    </w:p>
    <w:p w14:paraId="0C234BE5">
      <w:pPr>
        <w:tabs>
          <w:tab w:val="left" w:pos="540"/>
        </w:tabs>
        <w:adjustRightInd w:val="0"/>
        <w:snapToGrid w:val="0"/>
        <w:spacing w:after="60" w:line="360" w:lineRule="auto"/>
        <w:ind w:firstLine="420" w:firstLineChars="200"/>
        <w:rPr>
          <w:rFonts w:hint="eastAsia" w:ascii="宋体" w:hAnsi="宋体" w:cs="宋体"/>
          <w:color w:val="000000"/>
          <w:szCs w:val="21"/>
        </w:rPr>
      </w:pPr>
      <w:r>
        <w:rPr>
          <w:rFonts w:hint="eastAsia" w:ascii="宋体" w:hAnsi="宋体" w:cs="宋体"/>
          <w:color w:val="000000"/>
          <w:szCs w:val="21"/>
        </w:rPr>
        <w:t>4、因其公司资质降低达不到供应商资质条件的，或被行业主管部门责令停业或取消资质的；</w:t>
      </w:r>
    </w:p>
    <w:p w14:paraId="4123447E">
      <w:pPr>
        <w:tabs>
          <w:tab w:val="left" w:pos="540"/>
        </w:tabs>
        <w:adjustRightInd w:val="0"/>
        <w:snapToGrid w:val="0"/>
        <w:spacing w:after="60" w:line="360" w:lineRule="auto"/>
        <w:ind w:firstLine="420" w:firstLineChars="200"/>
        <w:rPr>
          <w:rFonts w:hint="eastAsia" w:ascii="宋体" w:hAnsi="宋体" w:cs="宋体"/>
          <w:color w:val="000000"/>
          <w:szCs w:val="21"/>
        </w:rPr>
      </w:pPr>
      <w:r>
        <w:rPr>
          <w:rFonts w:hint="eastAsia" w:ascii="宋体" w:hAnsi="宋体" w:cs="宋体"/>
          <w:color w:val="000000"/>
          <w:szCs w:val="21"/>
        </w:rPr>
        <w:t>5、造成严重后果或恶劣影响的行为；</w:t>
      </w:r>
    </w:p>
    <w:p w14:paraId="01076760">
      <w:pPr>
        <w:tabs>
          <w:tab w:val="left" w:pos="540"/>
        </w:tabs>
        <w:adjustRightInd w:val="0"/>
        <w:snapToGrid w:val="0"/>
        <w:spacing w:after="60" w:line="360" w:lineRule="auto"/>
        <w:ind w:firstLine="420" w:firstLineChars="200"/>
        <w:rPr>
          <w:rFonts w:hint="eastAsia" w:ascii="宋体" w:hAnsi="宋体" w:cs="宋体"/>
          <w:color w:val="000000"/>
          <w:szCs w:val="21"/>
        </w:rPr>
      </w:pPr>
      <w:r>
        <w:rPr>
          <w:rFonts w:hint="eastAsia" w:ascii="宋体" w:hAnsi="宋体" w:cs="宋体"/>
          <w:color w:val="000000"/>
          <w:szCs w:val="21"/>
        </w:rPr>
        <w:t>6、有商业贿赂行为的；</w:t>
      </w:r>
    </w:p>
    <w:p w14:paraId="141579F0">
      <w:pPr>
        <w:tabs>
          <w:tab w:val="left" w:pos="540"/>
        </w:tabs>
        <w:adjustRightInd w:val="0"/>
        <w:snapToGrid w:val="0"/>
        <w:spacing w:after="60" w:line="360" w:lineRule="auto"/>
        <w:ind w:firstLine="420" w:firstLineChars="200"/>
        <w:rPr>
          <w:rFonts w:hint="eastAsia" w:ascii="宋体" w:hAnsi="宋体" w:cs="宋体"/>
          <w:color w:val="000000"/>
          <w:szCs w:val="21"/>
        </w:rPr>
      </w:pPr>
      <w:r>
        <w:rPr>
          <w:rFonts w:hint="eastAsia" w:ascii="宋体" w:hAnsi="宋体" w:cs="宋体"/>
          <w:color w:val="000000"/>
          <w:szCs w:val="21"/>
        </w:rPr>
        <w:t>7、其他违反法律、法规和协议规定的行为。</w:t>
      </w:r>
    </w:p>
    <w:p w14:paraId="16F3982D">
      <w:pPr>
        <w:tabs>
          <w:tab w:val="left" w:pos="540"/>
        </w:tabs>
        <w:adjustRightInd w:val="0"/>
        <w:snapToGrid w:val="0"/>
        <w:spacing w:after="60" w:line="360" w:lineRule="auto"/>
        <w:ind w:firstLine="420" w:firstLineChars="200"/>
        <w:rPr>
          <w:rFonts w:hint="eastAsia" w:ascii="宋体" w:hAnsi="宋体" w:cs="宋体"/>
          <w:color w:val="000000"/>
          <w:szCs w:val="21"/>
        </w:rPr>
      </w:pPr>
      <w:r>
        <w:rPr>
          <w:rFonts w:hint="eastAsia" w:ascii="宋体" w:hAnsi="宋体" w:cs="宋体"/>
          <w:color w:val="000000"/>
          <w:szCs w:val="21"/>
        </w:rPr>
        <w:t>8、以上行为因不可抗力要素（供应商需出具不可抗力的情况说明函）造成的除外。</w:t>
      </w:r>
    </w:p>
    <w:p w14:paraId="1A21A6DE">
      <w:pPr>
        <w:tabs>
          <w:tab w:val="left" w:pos="540"/>
        </w:tabs>
        <w:adjustRightInd w:val="0"/>
        <w:snapToGrid w:val="0"/>
        <w:spacing w:after="60" w:line="360" w:lineRule="auto"/>
        <w:ind w:firstLine="422" w:firstLineChars="200"/>
        <w:rPr>
          <w:rFonts w:hint="eastAsia" w:ascii="宋体" w:hAnsi="宋体" w:cs="宋体"/>
          <w:b/>
          <w:color w:val="000000"/>
          <w:szCs w:val="21"/>
        </w:rPr>
      </w:pPr>
      <w:r>
        <w:rPr>
          <w:rFonts w:hint="eastAsia" w:ascii="宋体" w:hAnsi="宋体" w:cs="宋体"/>
          <w:b/>
          <w:color w:val="000000"/>
          <w:szCs w:val="21"/>
        </w:rPr>
        <w:t>（二）服务供应商在合同执行期间有下列行为之一的，采购人有权直接解除供货服务合同：</w:t>
      </w:r>
    </w:p>
    <w:p w14:paraId="180B4A6F">
      <w:pPr>
        <w:tabs>
          <w:tab w:val="left" w:pos="540"/>
        </w:tabs>
        <w:adjustRightInd w:val="0"/>
        <w:snapToGrid w:val="0"/>
        <w:spacing w:after="60" w:line="360" w:lineRule="auto"/>
        <w:ind w:firstLine="420" w:firstLineChars="200"/>
        <w:rPr>
          <w:rFonts w:hint="eastAsia" w:ascii="宋体" w:hAnsi="宋体" w:cs="宋体"/>
          <w:color w:val="000000"/>
          <w:szCs w:val="21"/>
        </w:rPr>
      </w:pPr>
      <w:r>
        <w:rPr>
          <w:rFonts w:hint="eastAsia" w:ascii="宋体" w:hAnsi="宋体" w:cs="宋体"/>
          <w:color w:val="000000"/>
          <w:szCs w:val="21"/>
        </w:rPr>
        <w:t>1、选定后无正当理由不与采购单位签订合同的；</w:t>
      </w:r>
    </w:p>
    <w:p w14:paraId="043353DD">
      <w:pPr>
        <w:tabs>
          <w:tab w:val="left" w:pos="540"/>
        </w:tabs>
        <w:adjustRightInd w:val="0"/>
        <w:snapToGrid w:val="0"/>
        <w:spacing w:after="60" w:line="360" w:lineRule="auto"/>
        <w:ind w:firstLine="420" w:firstLineChars="200"/>
        <w:rPr>
          <w:rFonts w:hint="eastAsia" w:ascii="宋体" w:hAnsi="宋体" w:cs="宋体"/>
          <w:color w:val="000000"/>
          <w:szCs w:val="21"/>
        </w:rPr>
      </w:pPr>
      <w:r>
        <w:rPr>
          <w:rFonts w:hint="eastAsia" w:ascii="宋体" w:hAnsi="宋体" w:cs="宋体"/>
          <w:color w:val="000000"/>
          <w:szCs w:val="21"/>
        </w:rPr>
        <w:t>2、擅自变更或者中止采购服务合同的；</w:t>
      </w:r>
    </w:p>
    <w:p w14:paraId="402504B6">
      <w:pPr>
        <w:tabs>
          <w:tab w:val="left" w:pos="540"/>
        </w:tabs>
        <w:adjustRightInd w:val="0"/>
        <w:snapToGrid w:val="0"/>
        <w:spacing w:after="60" w:line="360" w:lineRule="auto"/>
        <w:ind w:firstLine="420" w:firstLineChars="200"/>
        <w:rPr>
          <w:rFonts w:hint="eastAsia" w:ascii="宋体" w:hAnsi="宋体" w:cs="宋体"/>
          <w:color w:val="000000"/>
          <w:szCs w:val="21"/>
        </w:rPr>
      </w:pPr>
      <w:r>
        <w:rPr>
          <w:rFonts w:hint="eastAsia" w:ascii="宋体" w:hAnsi="宋体" w:cs="宋体"/>
          <w:color w:val="000000"/>
          <w:szCs w:val="21"/>
        </w:rPr>
        <w:t>3、不按采购需求、投标文件以及采购服务合同要求全面履约，履约情况评价不合格的；</w:t>
      </w:r>
    </w:p>
    <w:p w14:paraId="67329DE2">
      <w:pPr>
        <w:tabs>
          <w:tab w:val="left" w:pos="540"/>
        </w:tabs>
        <w:adjustRightInd w:val="0"/>
        <w:snapToGrid w:val="0"/>
        <w:spacing w:after="60" w:line="360" w:lineRule="auto"/>
        <w:ind w:firstLine="420" w:firstLineChars="200"/>
        <w:rPr>
          <w:rFonts w:hint="eastAsia" w:ascii="宋体" w:hAnsi="宋体" w:cs="宋体"/>
          <w:color w:val="000000"/>
          <w:szCs w:val="21"/>
        </w:rPr>
      </w:pPr>
      <w:r>
        <w:rPr>
          <w:rFonts w:hint="eastAsia" w:ascii="宋体" w:hAnsi="宋体" w:cs="宋体"/>
          <w:color w:val="000000"/>
          <w:szCs w:val="21"/>
        </w:rPr>
        <w:t>4、未按规定出具检测报告或相关承诺书等资料达到三次的；</w:t>
      </w:r>
    </w:p>
    <w:p w14:paraId="1BDFCE81">
      <w:pPr>
        <w:tabs>
          <w:tab w:val="left" w:pos="540"/>
        </w:tabs>
        <w:adjustRightInd w:val="0"/>
        <w:snapToGrid w:val="0"/>
        <w:spacing w:after="60" w:line="360" w:lineRule="auto"/>
        <w:ind w:firstLine="420" w:firstLineChars="200"/>
        <w:rPr>
          <w:rFonts w:hint="eastAsia" w:ascii="宋体" w:hAnsi="宋体" w:cs="宋体"/>
          <w:color w:val="000000"/>
          <w:szCs w:val="21"/>
        </w:rPr>
      </w:pPr>
      <w:r>
        <w:rPr>
          <w:rFonts w:hint="eastAsia" w:ascii="宋体" w:hAnsi="宋体" w:cs="宋体"/>
          <w:color w:val="000000"/>
          <w:szCs w:val="21"/>
        </w:rPr>
        <w:t>5、经核实配送物资不符合采购单位要求达到三次的；</w:t>
      </w:r>
    </w:p>
    <w:p w14:paraId="7401F7D0">
      <w:pPr>
        <w:tabs>
          <w:tab w:val="left" w:pos="540"/>
        </w:tabs>
        <w:adjustRightInd w:val="0"/>
        <w:snapToGrid w:val="0"/>
        <w:spacing w:after="60" w:line="360" w:lineRule="auto"/>
        <w:ind w:firstLine="420" w:firstLineChars="200"/>
        <w:rPr>
          <w:rFonts w:hint="eastAsia" w:ascii="宋体" w:hAnsi="宋体" w:cs="宋体"/>
          <w:color w:val="000000"/>
          <w:szCs w:val="21"/>
        </w:rPr>
      </w:pPr>
      <w:r>
        <w:rPr>
          <w:rFonts w:hint="eastAsia" w:ascii="宋体" w:hAnsi="宋体" w:cs="宋体"/>
          <w:color w:val="000000"/>
          <w:szCs w:val="21"/>
        </w:rPr>
        <w:t>6、不按要求提供报价三次的；</w:t>
      </w:r>
    </w:p>
    <w:p w14:paraId="0A8CD54F">
      <w:pPr>
        <w:tabs>
          <w:tab w:val="left" w:pos="540"/>
        </w:tabs>
        <w:adjustRightInd w:val="0"/>
        <w:snapToGrid w:val="0"/>
        <w:spacing w:after="60" w:line="360" w:lineRule="auto"/>
        <w:ind w:firstLine="420" w:firstLineChars="200"/>
        <w:rPr>
          <w:rFonts w:hint="eastAsia" w:ascii="宋体" w:hAnsi="宋体" w:cs="宋体"/>
          <w:color w:val="000000"/>
          <w:szCs w:val="21"/>
        </w:rPr>
      </w:pPr>
      <w:r>
        <w:rPr>
          <w:rFonts w:hint="eastAsia" w:ascii="宋体" w:hAnsi="宋体" w:cs="宋体"/>
          <w:color w:val="000000"/>
          <w:szCs w:val="21"/>
        </w:rPr>
        <w:t>7、虚高报价三次的；</w:t>
      </w:r>
    </w:p>
    <w:p w14:paraId="57DFFD28">
      <w:pPr>
        <w:tabs>
          <w:tab w:val="left" w:pos="540"/>
        </w:tabs>
        <w:adjustRightInd w:val="0"/>
        <w:snapToGrid w:val="0"/>
        <w:spacing w:after="60" w:line="360" w:lineRule="auto"/>
        <w:ind w:firstLine="420" w:firstLineChars="200"/>
        <w:rPr>
          <w:rFonts w:hint="eastAsia" w:ascii="宋体" w:hAnsi="宋体" w:cs="宋体"/>
          <w:color w:val="000000"/>
          <w:szCs w:val="21"/>
        </w:rPr>
      </w:pPr>
      <w:r>
        <w:rPr>
          <w:rFonts w:hint="eastAsia" w:ascii="宋体" w:hAnsi="宋体" w:cs="宋体"/>
          <w:color w:val="000000"/>
          <w:szCs w:val="21"/>
        </w:rPr>
        <w:t>8、物资或服务以次充好，存在严重质量问题的；</w:t>
      </w:r>
    </w:p>
    <w:p w14:paraId="46FFCFFB">
      <w:pPr>
        <w:tabs>
          <w:tab w:val="left" w:pos="540"/>
        </w:tabs>
        <w:adjustRightInd w:val="0"/>
        <w:snapToGrid w:val="0"/>
        <w:spacing w:after="60" w:line="360" w:lineRule="auto"/>
        <w:ind w:firstLine="420" w:firstLineChars="200"/>
        <w:rPr>
          <w:rFonts w:hint="eastAsia" w:ascii="宋体" w:hAnsi="宋体" w:cs="宋体"/>
          <w:color w:val="000000"/>
          <w:szCs w:val="21"/>
        </w:rPr>
      </w:pPr>
      <w:r>
        <w:rPr>
          <w:rFonts w:hint="eastAsia" w:ascii="宋体" w:hAnsi="宋体" w:cs="宋体"/>
          <w:color w:val="000000"/>
          <w:szCs w:val="21"/>
        </w:rPr>
        <w:t>9、因供应的货物质量达不到国家有关食品安全标准而造成食物中毒或其它后果，经公安机关或卫生防疫部门鉴定属于供货方（配送单位）责任的；</w:t>
      </w:r>
    </w:p>
    <w:p w14:paraId="5EDAB1F7">
      <w:pPr>
        <w:tabs>
          <w:tab w:val="left" w:pos="540"/>
        </w:tabs>
        <w:adjustRightInd w:val="0"/>
        <w:snapToGrid w:val="0"/>
        <w:spacing w:after="60" w:line="360" w:lineRule="auto"/>
        <w:ind w:firstLine="420" w:firstLineChars="200"/>
        <w:rPr>
          <w:rFonts w:hint="eastAsia" w:ascii="宋体" w:hAnsi="宋体" w:cs="宋体"/>
          <w:color w:val="000000"/>
          <w:szCs w:val="21"/>
        </w:rPr>
      </w:pPr>
      <w:r>
        <w:rPr>
          <w:rFonts w:hint="eastAsia" w:ascii="宋体" w:hAnsi="宋体" w:cs="宋体"/>
          <w:color w:val="000000"/>
          <w:szCs w:val="21"/>
        </w:rPr>
        <w:t>10、经三次以上（含三次）的有效投诉处理仍不纠正的，有效投诉指的是供应商被投诉内容经查实确定为违反服务合同或其他协议规定的事实；</w:t>
      </w:r>
    </w:p>
    <w:p w14:paraId="06EA2C26">
      <w:pPr>
        <w:tabs>
          <w:tab w:val="left" w:pos="540"/>
        </w:tabs>
        <w:adjustRightInd w:val="0"/>
        <w:snapToGrid w:val="0"/>
        <w:spacing w:after="60" w:line="360" w:lineRule="auto"/>
        <w:ind w:firstLine="420" w:firstLineChars="200"/>
        <w:rPr>
          <w:rFonts w:hint="eastAsia" w:ascii="宋体" w:hAnsi="宋体" w:cs="宋体"/>
          <w:color w:val="000000"/>
          <w:szCs w:val="21"/>
        </w:rPr>
      </w:pPr>
      <w:r>
        <w:rPr>
          <w:rFonts w:hint="eastAsia" w:ascii="宋体" w:hAnsi="宋体" w:cs="宋体"/>
          <w:color w:val="000000"/>
          <w:szCs w:val="21"/>
        </w:rPr>
        <w:t>11、造成严重后果或恶劣影响的行为。</w:t>
      </w:r>
    </w:p>
    <w:p w14:paraId="60AC51FE">
      <w:pPr>
        <w:tabs>
          <w:tab w:val="left" w:pos="540"/>
        </w:tabs>
        <w:adjustRightInd w:val="0"/>
        <w:snapToGrid w:val="0"/>
        <w:spacing w:after="60" w:line="360" w:lineRule="auto"/>
        <w:ind w:firstLine="420" w:firstLineChars="200"/>
        <w:rPr>
          <w:rFonts w:hint="eastAsia" w:ascii="宋体" w:hAnsi="宋体" w:cs="宋体"/>
          <w:color w:val="000000"/>
          <w:szCs w:val="21"/>
        </w:rPr>
      </w:pPr>
      <w:r>
        <w:rPr>
          <w:rFonts w:hint="eastAsia" w:ascii="宋体" w:hAnsi="宋体" w:cs="宋体"/>
          <w:color w:val="000000"/>
          <w:szCs w:val="21"/>
        </w:rPr>
        <w:t>12、以上行为因不可抗力要素（供应商需出具不可抗力的情况说明函）造成的除外。</w:t>
      </w:r>
    </w:p>
    <w:p w14:paraId="4DD27336">
      <w:pPr>
        <w:tabs>
          <w:tab w:val="left" w:pos="540"/>
        </w:tabs>
        <w:adjustRightInd w:val="0"/>
        <w:snapToGrid w:val="0"/>
        <w:spacing w:after="60" w:line="360" w:lineRule="auto"/>
        <w:ind w:firstLine="422" w:firstLineChars="200"/>
        <w:rPr>
          <w:rFonts w:hint="eastAsia" w:ascii="宋体" w:hAnsi="宋体" w:cs="宋体"/>
          <w:b/>
          <w:szCs w:val="21"/>
        </w:rPr>
      </w:pPr>
      <w:r>
        <w:rPr>
          <w:rFonts w:hint="eastAsia" w:ascii="宋体" w:hAnsi="宋体" w:cs="宋体"/>
          <w:b/>
          <w:szCs w:val="21"/>
        </w:rPr>
        <w:t>（三）因政策或食堂使用权变更等原因，采购人有权直接解除供货服务合同。</w:t>
      </w:r>
    </w:p>
    <w:p w14:paraId="14112A3B">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662B56"/>
    <w:multiLevelType w:val="multilevel"/>
    <w:tmpl w:val="15662B56"/>
    <w:lvl w:ilvl="0" w:tentative="0">
      <w:start w:val="1"/>
      <w:numFmt w:val="decimal"/>
      <w:lvlText w:val="%1)"/>
      <w:lvlJc w:val="left"/>
      <w:pPr>
        <w:ind w:left="440" w:hanging="440"/>
      </w:pPr>
      <w:rPr>
        <w:b w:val="0"/>
        <w:bCs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3DFA2C91"/>
    <w:multiLevelType w:val="singleLevel"/>
    <w:tmpl w:val="3DFA2C91"/>
    <w:lvl w:ilvl="0" w:tentative="0">
      <w:start w:val="1"/>
      <w:numFmt w:val="decimal"/>
      <w:lvlText w:val="%1."/>
      <w:lvlJc w:val="left"/>
      <w:pPr>
        <w:tabs>
          <w:tab w:val="left" w:pos="312"/>
        </w:tabs>
      </w:pPr>
    </w:lvl>
  </w:abstractNum>
  <w:abstractNum w:abstractNumId="2">
    <w:nsid w:val="541285ED"/>
    <w:multiLevelType w:val="singleLevel"/>
    <w:tmpl w:val="541285ED"/>
    <w:lvl w:ilvl="0" w:tentative="0">
      <w:start w:val="1"/>
      <w:numFmt w:val="decimal"/>
      <w:lvlText w:val="%1."/>
      <w:lvlJc w:val="left"/>
      <w:pPr>
        <w:tabs>
          <w:tab w:val="left" w:pos="312"/>
        </w:tabs>
      </w:pPr>
      <w:rPr>
        <w:b/>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800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3">
    <w:name w:val="heading 1"/>
    <w:basedOn w:val="1"/>
    <w:next w:val="1"/>
    <w:link w:val="7"/>
    <w:qFormat/>
    <w:uiPriority w:val="9"/>
    <w:pPr>
      <w:keepNext/>
      <w:keepLines/>
      <w:spacing w:before="34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文档正文"/>
    <w:basedOn w:val="1"/>
    <w:qFormat/>
    <w:uiPriority w:val="0"/>
    <w:pPr>
      <w:spacing w:afterLines="0" w:line="360" w:lineRule="auto"/>
    </w:pPr>
    <w:rPr>
      <w:rFonts w:cs="Arial"/>
      <w:bCs/>
    </w:rPr>
  </w:style>
  <w:style w:type="paragraph" w:customStyle="1" w:styleId="6">
    <w:name w:val="1册标题1"/>
    <w:basedOn w:val="1"/>
    <w:next w:val="1"/>
    <w:qFormat/>
    <w:uiPriority w:val="0"/>
    <w:pPr>
      <w:spacing w:beforeLines="50" w:afterLines="50"/>
      <w:jc w:val="center"/>
      <w:outlineLvl w:val="0"/>
    </w:pPr>
    <w:rPr>
      <w:rFonts w:eastAsia="黑体"/>
      <w:b/>
      <w:bCs/>
      <w:sz w:val="48"/>
      <w:szCs w:val="20"/>
    </w:rPr>
  </w:style>
  <w:style w:type="character" w:customStyle="1" w:styleId="7">
    <w:name w:val="标题 1 字符"/>
    <w:basedOn w:val="5"/>
    <w:link w:val="3"/>
    <w:qFormat/>
    <w:uiPriority w:val="9"/>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2025-05-15T09:24:39Z</dcterms:created>
  <dc:creator>Administrator</dc:creator>
  <cp:lastModifiedBy>Administrator</cp:lastModifiedBy>
  <dcterms:modified xsi:type="dcterms:W3CDTF">2025-05-15T09:24:42Z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eyJoZGlkIjoiOWUyODI3ZDg3NjU4NzQ3NjJjMDhkZGY2ODVkYzI0NTAiLCJ1c2VySWQiOiI1MDk5NTI0NTYifQ==</vt:lpwstr>
  </property>
  <property fmtid="{D5CDD505-2E9C-101B-9397-08002B2CF9AE}" pid="4" name="ICV">
    <vt:lpwstr>5D9068B40E7D4BB39EF691359B4E18D8_12</vt:lpwstr>
  </property>
</Properties>
</file>