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6835" w14:textId="77777777" w:rsidR="005A4120" w:rsidRPr="005A4120" w:rsidRDefault="005A4120" w:rsidP="005A4120">
      <w:pPr>
        <w:keepNext/>
        <w:keepLines/>
        <w:spacing w:after="0" w:line="360" w:lineRule="auto"/>
        <w:jc w:val="center"/>
        <w:outlineLvl w:val="0"/>
        <w:rPr>
          <w:rFonts w:ascii="黑体" w:eastAsia="黑体" w:hAnsi="黑体" w:cs="Times New Roman" w:hint="eastAsia"/>
          <w:b/>
          <w:kern w:val="44"/>
          <w:sz w:val="44"/>
          <w:szCs w:val="22"/>
          <w14:ligatures w14:val="none"/>
        </w:rPr>
      </w:pPr>
      <w:r w:rsidRPr="005A4120">
        <w:rPr>
          <w:rFonts w:ascii="黑体" w:eastAsia="黑体" w:hAnsi="黑体" w:cs="Times New Roman"/>
          <w:b/>
          <w:kern w:val="44"/>
          <w:sz w:val="44"/>
          <w:szCs w:val="22"/>
          <w14:ligatures w14:val="none"/>
        </w:rPr>
        <w:fldChar w:fldCharType="begin"/>
      </w:r>
      <w:r w:rsidRPr="005A4120">
        <w:rPr>
          <w:rFonts w:ascii="黑体" w:eastAsia="黑体" w:hAnsi="黑体" w:cs="Times New Roman"/>
          <w:b/>
          <w:kern w:val="44"/>
          <w:sz w:val="44"/>
          <w:szCs w:val="22"/>
          <w14:ligatures w14:val="none"/>
        </w:rPr>
        <w:instrText xml:space="preserve"> HYPERLINK \l "_Toc488762883" </w:instrText>
      </w:r>
      <w:r w:rsidRPr="005A4120">
        <w:rPr>
          <w:rFonts w:ascii="黑体" w:eastAsia="黑体" w:hAnsi="黑体" w:cs="Times New Roman"/>
          <w:b/>
          <w:kern w:val="44"/>
          <w:sz w:val="44"/>
          <w:szCs w:val="22"/>
          <w14:ligatures w14:val="none"/>
        </w:rPr>
        <w:fldChar w:fldCharType="separate"/>
      </w:r>
      <w:r w:rsidRPr="005A4120">
        <w:rPr>
          <w:rFonts w:ascii="黑体" w:eastAsia="黑体" w:hAnsi="黑体" w:cs="Times New Roman" w:hint="eastAsia"/>
          <w:b/>
          <w:kern w:val="44"/>
          <w:sz w:val="44"/>
          <w:szCs w:val="22"/>
          <w14:ligatures w14:val="none"/>
        </w:rPr>
        <w:t>招标项目需求</w:t>
      </w:r>
      <w:r w:rsidRPr="005A4120">
        <w:rPr>
          <w:rFonts w:ascii="黑体" w:eastAsia="黑体" w:hAnsi="黑体" w:cs="Times New Roman"/>
          <w:b/>
          <w:kern w:val="44"/>
          <w:sz w:val="44"/>
          <w:szCs w:val="22"/>
          <w14:ligatures w14:val="none"/>
        </w:rPr>
        <w:fldChar w:fldCharType="end"/>
      </w:r>
    </w:p>
    <w:p w14:paraId="72499902" w14:textId="77777777" w:rsidR="005A4120" w:rsidRPr="005A4120" w:rsidRDefault="005A4120" w:rsidP="005A4120">
      <w:pPr>
        <w:spacing w:after="0" w:line="360" w:lineRule="auto"/>
        <w:jc w:val="both"/>
        <w:rPr>
          <w:rFonts w:ascii="宋体" w:eastAsia="宋体" w:hAnsi="宋体" w:cs="Times New Roman"/>
          <w:b/>
          <w:sz w:val="21"/>
          <w:szCs w:val="21"/>
          <w14:ligatures w14:val="none"/>
        </w:rPr>
      </w:pPr>
      <w:r w:rsidRPr="005A4120">
        <w:rPr>
          <w:rFonts w:ascii="宋体" w:eastAsia="宋体" w:hAnsi="宋体" w:cs="Times New Roman" w:hint="eastAsia"/>
          <w:b/>
          <w:sz w:val="21"/>
          <w:szCs w:val="21"/>
          <w14:ligatures w14:val="none"/>
        </w:rPr>
        <w:t>一、项目概况</w:t>
      </w:r>
    </w:p>
    <w:tbl>
      <w:tblPr>
        <w:tblW w:w="5000" w:type="pct"/>
        <w:tblCellMar>
          <w:top w:w="15" w:type="dxa"/>
          <w:left w:w="15" w:type="dxa"/>
          <w:bottom w:w="15" w:type="dxa"/>
          <w:right w:w="15" w:type="dxa"/>
        </w:tblCellMar>
        <w:tblLook w:val="0000" w:firstRow="0" w:lastRow="0" w:firstColumn="0" w:lastColumn="0" w:noHBand="0" w:noVBand="0"/>
      </w:tblPr>
      <w:tblGrid>
        <w:gridCol w:w="892"/>
        <w:gridCol w:w="3014"/>
        <w:gridCol w:w="859"/>
        <w:gridCol w:w="813"/>
        <w:gridCol w:w="2718"/>
      </w:tblGrid>
      <w:tr w:rsidR="005A4120" w:rsidRPr="005A4120" w14:paraId="2A08E908" w14:textId="77777777" w:rsidTr="0078602A">
        <w:trPr>
          <w:trHeight w:val="284"/>
        </w:trPr>
        <w:tc>
          <w:tcPr>
            <w:tcW w:w="537" w:type="pct"/>
            <w:tcBorders>
              <w:top w:val="single" w:sz="4" w:space="0" w:color="000000"/>
              <w:left w:val="single" w:sz="4" w:space="0" w:color="000000"/>
              <w:right w:val="single" w:sz="4" w:space="0" w:color="000000"/>
            </w:tcBorders>
            <w:vAlign w:val="center"/>
          </w:tcPr>
          <w:p w14:paraId="0C7FE72D"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b/>
                <w:sz w:val="21"/>
                <w:szCs w:val="21"/>
                <w14:ligatures w14:val="none"/>
              </w:rPr>
            </w:pPr>
            <w:r w:rsidRPr="005A4120">
              <w:rPr>
                <w:rFonts w:ascii="宋体" w:eastAsia="宋体" w:hAnsi="宋体" w:cs="宋体" w:hint="eastAsia"/>
                <w:b/>
                <w:sz w:val="21"/>
                <w:szCs w:val="21"/>
                <w14:ligatures w14:val="none"/>
              </w:rPr>
              <w:t>序号</w:t>
            </w:r>
          </w:p>
        </w:tc>
        <w:tc>
          <w:tcPr>
            <w:tcW w:w="1815" w:type="pct"/>
            <w:tcBorders>
              <w:top w:val="single" w:sz="4" w:space="0" w:color="000000"/>
              <w:left w:val="single" w:sz="4" w:space="0" w:color="000000"/>
              <w:bottom w:val="single" w:sz="4" w:space="0" w:color="000000"/>
              <w:right w:val="single" w:sz="4" w:space="0" w:color="000000"/>
            </w:tcBorders>
            <w:vAlign w:val="center"/>
          </w:tcPr>
          <w:p w14:paraId="21D47028"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b/>
                <w:color w:val="FF0000"/>
                <w:sz w:val="21"/>
                <w:szCs w:val="21"/>
                <w14:ligatures w14:val="none"/>
              </w:rPr>
            </w:pPr>
            <w:r w:rsidRPr="005A4120">
              <w:rPr>
                <w:rFonts w:ascii="宋体" w:eastAsia="宋体" w:hAnsi="宋体" w:cs="宋体" w:hint="eastAsia"/>
                <w:b/>
                <w:color w:val="000000"/>
                <w:sz w:val="21"/>
                <w:szCs w:val="21"/>
                <w14:ligatures w14:val="none"/>
              </w:rPr>
              <w:t>项目名称</w:t>
            </w:r>
          </w:p>
        </w:tc>
        <w:tc>
          <w:tcPr>
            <w:tcW w:w="518" w:type="pct"/>
            <w:tcBorders>
              <w:top w:val="single" w:sz="4" w:space="0" w:color="000000"/>
              <w:left w:val="single" w:sz="4" w:space="0" w:color="000000"/>
              <w:bottom w:val="single" w:sz="4" w:space="0" w:color="000000"/>
              <w:right w:val="single" w:sz="4" w:space="0" w:color="000000"/>
            </w:tcBorders>
            <w:vAlign w:val="center"/>
          </w:tcPr>
          <w:p w14:paraId="6DDF7AF5"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b/>
                <w:sz w:val="21"/>
                <w:szCs w:val="21"/>
                <w14:ligatures w14:val="none"/>
              </w:rPr>
            </w:pPr>
            <w:r w:rsidRPr="005A4120">
              <w:rPr>
                <w:rFonts w:ascii="宋体" w:eastAsia="宋体" w:hAnsi="宋体" w:cs="宋体" w:hint="eastAsia"/>
                <w:b/>
                <w:sz w:val="21"/>
                <w:szCs w:val="21"/>
                <w14:ligatures w14:val="none"/>
              </w:rPr>
              <w:t>数量</w:t>
            </w:r>
          </w:p>
        </w:tc>
        <w:tc>
          <w:tcPr>
            <w:tcW w:w="490" w:type="pct"/>
            <w:tcBorders>
              <w:top w:val="single" w:sz="4" w:space="0" w:color="000000"/>
              <w:left w:val="single" w:sz="4" w:space="0" w:color="000000"/>
              <w:bottom w:val="single" w:sz="4" w:space="0" w:color="000000"/>
              <w:right w:val="single" w:sz="4" w:space="0" w:color="000000"/>
            </w:tcBorders>
            <w:vAlign w:val="center"/>
          </w:tcPr>
          <w:p w14:paraId="317CED56"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b/>
                <w:sz w:val="21"/>
                <w:szCs w:val="21"/>
                <w14:ligatures w14:val="none"/>
              </w:rPr>
            </w:pPr>
            <w:r w:rsidRPr="005A4120">
              <w:rPr>
                <w:rFonts w:ascii="宋体" w:eastAsia="宋体" w:hAnsi="宋体" w:cs="宋体" w:hint="eastAsia"/>
                <w:b/>
                <w:sz w:val="21"/>
                <w:szCs w:val="21"/>
                <w14:ligatures w14:val="none"/>
              </w:rPr>
              <w:t>单位</w:t>
            </w:r>
          </w:p>
        </w:tc>
        <w:tc>
          <w:tcPr>
            <w:tcW w:w="1637" w:type="pct"/>
            <w:tcBorders>
              <w:top w:val="single" w:sz="4" w:space="0" w:color="000000"/>
              <w:left w:val="single" w:sz="4" w:space="0" w:color="000000"/>
              <w:bottom w:val="single" w:sz="4" w:space="0" w:color="000000"/>
              <w:right w:val="single" w:sz="4" w:space="0" w:color="000000"/>
            </w:tcBorders>
            <w:vAlign w:val="center"/>
          </w:tcPr>
          <w:p w14:paraId="20A9B81D"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b/>
                <w:sz w:val="21"/>
                <w:szCs w:val="21"/>
                <w14:ligatures w14:val="none"/>
              </w:rPr>
            </w:pPr>
            <w:r w:rsidRPr="005A4120">
              <w:rPr>
                <w:rFonts w:ascii="宋体" w:eastAsia="宋体" w:hAnsi="宋体" w:cs="宋体" w:hint="eastAsia"/>
                <w:b/>
                <w:sz w:val="21"/>
                <w:szCs w:val="21"/>
                <w14:ligatures w14:val="none"/>
              </w:rPr>
              <w:t>采购预算金额（人民币元）</w:t>
            </w:r>
          </w:p>
        </w:tc>
      </w:tr>
      <w:tr w:rsidR="005A4120" w:rsidRPr="005A4120" w14:paraId="7E3770C6" w14:textId="77777777" w:rsidTr="0078602A">
        <w:trPr>
          <w:trHeight w:val="634"/>
        </w:trPr>
        <w:tc>
          <w:tcPr>
            <w:tcW w:w="537" w:type="pct"/>
            <w:tcBorders>
              <w:top w:val="single" w:sz="4" w:space="0" w:color="000000"/>
              <w:left w:val="single" w:sz="4" w:space="0" w:color="000000"/>
              <w:bottom w:val="single" w:sz="4" w:space="0" w:color="000000"/>
              <w:right w:val="single" w:sz="4" w:space="0" w:color="000000"/>
            </w:tcBorders>
            <w:vAlign w:val="center"/>
          </w:tcPr>
          <w:p w14:paraId="32E0B019"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sz w:val="21"/>
                <w:szCs w:val="21"/>
                <w14:ligatures w14:val="none"/>
              </w:rPr>
            </w:pPr>
            <w:r w:rsidRPr="005A4120">
              <w:rPr>
                <w:rFonts w:ascii="Calibri" w:eastAsia="宋体" w:hAnsi="Calibri" w:cs="Times New Roman" w:hint="eastAsia"/>
                <w:sz w:val="21"/>
                <w14:ligatures w14:val="none"/>
              </w:rPr>
              <w:t>1</w:t>
            </w:r>
          </w:p>
        </w:tc>
        <w:tc>
          <w:tcPr>
            <w:tcW w:w="1815" w:type="pct"/>
            <w:tcBorders>
              <w:top w:val="single" w:sz="4" w:space="0" w:color="000000"/>
              <w:left w:val="single" w:sz="4" w:space="0" w:color="000000"/>
              <w:bottom w:val="single" w:sz="4" w:space="0" w:color="000000"/>
              <w:right w:val="single" w:sz="4" w:space="0" w:color="000000"/>
            </w:tcBorders>
            <w:vAlign w:val="center"/>
          </w:tcPr>
          <w:p w14:paraId="70D080E7"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sz w:val="21"/>
                <w:szCs w:val="21"/>
                <w14:ligatures w14:val="none"/>
              </w:rPr>
            </w:pPr>
            <w:r w:rsidRPr="005A4120">
              <w:rPr>
                <w:rFonts w:ascii="宋体" w:eastAsia="宋体" w:hAnsi="宋体" w:cs="Times New Roman" w:hint="eastAsia"/>
                <w:snapToGrid w:val="0"/>
                <w:sz w:val="21"/>
                <w:szCs w:val="21"/>
                <w14:ligatures w14:val="none"/>
              </w:rPr>
              <w:t>临床脑疾病脑电数据库升级服务</w:t>
            </w:r>
          </w:p>
        </w:tc>
        <w:tc>
          <w:tcPr>
            <w:tcW w:w="518" w:type="pct"/>
            <w:tcBorders>
              <w:top w:val="single" w:sz="4" w:space="0" w:color="000000"/>
              <w:left w:val="single" w:sz="4" w:space="0" w:color="000000"/>
              <w:bottom w:val="single" w:sz="4" w:space="0" w:color="000000"/>
              <w:right w:val="single" w:sz="4" w:space="0" w:color="000000"/>
            </w:tcBorders>
            <w:vAlign w:val="center"/>
          </w:tcPr>
          <w:p w14:paraId="09EE053F"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sz w:val="21"/>
                <w:szCs w:val="21"/>
                <w14:ligatures w14:val="none"/>
              </w:rPr>
            </w:pPr>
            <w:r w:rsidRPr="005A4120">
              <w:rPr>
                <w:rFonts w:ascii="宋体" w:eastAsia="宋体" w:hAnsi="宋体" w:cs="宋体" w:hint="eastAsia"/>
                <w:sz w:val="21"/>
                <w:szCs w:val="21"/>
                <w14:ligatures w14:val="none"/>
              </w:rPr>
              <w:t>1</w:t>
            </w:r>
          </w:p>
        </w:tc>
        <w:tc>
          <w:tcPr>
            <w:tcW w:w="490" w:type="pct"/>
            <w:tcBorders>
              <w:top w:val="single" w:sz="4" w:space="0" w:color="000000"/>
              <w:left w:val="single" w:sz="4" w:space="0" w:color="000000"/>
              <w:bottom w:val="single" w:sz="4" w:space="0" w:color="000000"/>
              <w:right w:val="single" w:sz="4" w:space="0" w:color="000000"/>
            </w:tcBorders>
            <w:vAlign w:val="center"/>
          </w:tcPr>
          <w:p w14:paraId="0B4C07F3"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sz w:val="21"/>
                <w:szCs w:val="21"/>
                <w14:ligatures w14:val="none"/>
              </w:rPr>
            </w:pPr>
            <w:r w:rsidRPr="005A4120">
              <w:rPr>
                <w:rFonts w:ascii="宋体" w:eastAsia="宋体" w:hAnsi="宋体" w:cs="宋体" w:hint="eastAsia"/>
                <w:sz w:val="21"/>
                <w:szCs w:val="21"/>
                <w14:ligatures w14:val="none"/>
              </w:rPr>
              <w:t>项</w:t>
            </w:r>
          </w:p>
        </w:tc>
        <w:tc>
          <w:tcPr>
            <w:tcW w:w="1637" w:type="pct"/>
            <w:tcBorders>
              <w:top w:val="single" w:sz="4" w:space="0" w:color="000000"/>
              <w:left w:val="single" w:sz="4" w:space="0" w:color="000000"/>
              <w:bottom w:val="single" w:sz="4" w:space="0" w:color="000000"/>
              <w:right w:val="single" w:sz="4" w:space="0" w:color="000000"/>
            </w:tcBorders>
            <w:vAlign w:val="center"/>
          </w:tcPr>
          <w:p w14:paraId="7ED9A261" w14:textId="77777777" w:rsidR="005A4120" w:rsidRPr="005A4120" w:rsidRDefault="005A4120" w:rsidP="005A4120">
            <w:pPr>
              <w:widowControl/>
              <w:adjustRightInd w:val="0"/>
              <w:snapToGrid w:val="0"/>
              <w:spacing w:after="0" w:line="360" w:lineRule="auto"/>
              <w:jc w:val="center"/>
              <w:textAlignment w:val="center"/>
              <w:rPr>
                <w:rFonts w:ascii="宋体" w:eastAsia="宋体" w:hAnsi="宋体" w:cs="宋体" w:hint="eastAsia"/>
                <w:sz w:val="21"/>
                <w:szCs w:val="21"/>
                <w14:ligatures w14:val="none"/>
              </w:rPr>
            </w:pPr>
            <w:r w:rsidRPr="005A4120">
              <w:rPr>
                <w:rFonts w:ascii="宋体" w:eastAsia="宋体" w:hAnsi="宋体" w:cs="宋体" w:hint="eastAsia"/>
                <w:bCs/>
                <w:kern w:val="0"/>
                <w:sz w:val="21"/>
                <w:szCs w:val="21"/>
                <w14:ligatures w14:val="none"/>
              </w:rPr>
              <w:t>430,000.00</w:t>
            </w:r>
          </w:p>
        </w:tc>
      </w:tr>
    </w:tbl>
    <w:p w14:paraId="2FEE60C7" w14:textId="77777777" w:rsidR="005A4120" w:rsidRPr="005A4120" w:rsidRDefault="005A4120" w:rsidP="005A4120">
      <w:pPr>
        <w:spacing w:after="0" w:line="360" w:lineRule="auto"/>
        <w:ind w:firstLineChars="200" w:firstLine="420"/>
        <w:jc w:val="both"/>
        <w:rPr>
          <w:rFonts w:ascii="宋体" w:eastAsia="宋体" w:hAnsi="宋体" w:cs="Times New Roman" w:hint="eastAsia"/>
          <w:sz w:val="21"/>
          <w:szCs w:val="21"/>
          <w14:ligatures w14:val="none"/>
        </w:rPr>
      </w:pPr>
    </w:p>
    <w:p w14:paraId="67038E14" w14:textId="77777777" w:rsidR="005A4120" w:rsidRPr="005A4120" w:rsidRDefault="005A4120" w:rsidP="005A4120">
      <w:pPr>
        <w:spacing w:after="0" w:line="360" w:lineRule="auto"/>
        <w:jc w:val="both"/>
        <w:rPr>
          <w:rFonts w:ascii="宋体" w:eastAsia="宋体" w:hAnsi="宋体" w:cs="Times New Roman"/>
          <w:b/>
          <w:sz w:val="21"/>
          <w:szCs w:val="21"/>
          <w14:ligatures w14:val="none"/>
        </w:rPr>
      </w:pPr>
      <w:bookmarkStart w:id="0" w:name="_Toc279597459"/>
      <w:r w:rsidRPr="005A4120">
        <w:rPr>
          <w:rFonts w:ascii="宋体" w:eastAsia="宋体" w:hAnsi="宋体" w:cs="Times New Roman" w:hint="eastAsia"/>
          <w:b/>
          <w:sz w:val="21"/>
          <w:szCs w:val="21"/>
          <w14:ligatures w14:val="none"/>
        </w:rPr>
        <w:t>二、技术要求</w:t>
      </w:r>
      <w:bookmarkEnd w:id="0"/>
    </w:p>
    <w:tbl>
      <w:tblPr>
        <w:tblW w:w="5000" w:type="pct"/>
        <w:tblLook w:val="0000" w:firstRow="0" w:lastRow="0" w:firstColumn="0" w:lastColumn="0" w:noHBand="0" w:noVBand="0"/>
      </w:tblPr>
      <w:tblGrid>
        <w:gridCol w:w="638"/>
        <w:gridCol w:w="1476"/>
        <w:gridCol w:w="6182"/>
      </w:tblGrid>
      <w:tr w:rsidR="005A4120" w:rsidRPr="005A4120" w14:paraId="120C740D" w14:textId="77777777" w:rsidTr="0078602A">
        <w:trPr>
          <w:trHeight w:val="739"/>
          <w:tblHeader/>
        </w:trPr>
        <w:tc>
          <w:tcPr>
            <w:tcW w:w="357" w:type="pct"/>
            <w:tcBorders>
              <w:top w:val="single" w:sz="4" w:space="0" w:color="000000"/>
              <w:left w:val="single" w:sz="4" w:space="0" w:color="000000"/>
              <w:bottom w:val="single" w:sz="4" w:space="0" w:color="000000"/>
              <w:right w:val="single" w:sz="4" w:space="0" w:color="000000"/>
            </w:tcBorders>
            <w:noWrap/>
            <w:vAlign w:val="center"/>
          </w:tcPr>
          <w:p w14:paraId="0E6E82AA" w14:textId="77777777" w:rsidR="005A4120" w:rsidRPr="005A4120" w:rsidRDefault="005A4120" w:rsidP="005A4120">
            <w:pPr>
              <w:widowControl/>
              <w:spacing w:after="0" w:line="360" w:lineRule="auto"/>
              <w:jc w:val="center"/>
              <w:textAlignment w:val="center"/>
              <w:rPr>
                <w:rFonts w:ascii="宋体" w:eastAsia="宋体" w:hAnsi="宋体" w:cs="仿宋" w:hint="eastAsia"/>
                <w:b/>
                <w:bCs/>
                <w:sz w:val="21"/>
                <w:szCs w:val="21"/>
                <w14:ligatures w14:val="none"/>
              </w:rPr>
            </w:pPr>
            <w:r w:rsidRPr="005A4120">
              <w:rPr>
                <w:rFonts w:ascii="宋体" w:eastAsia="宋体" w:hAnsi="宋体" w:cs="仿宋" w:hint="eastAsia"/>
                <w:b/>
                <w:bCs/>
                <w:kern w:val="0"/>
                <w:sz w:val="21"/>
                <w:szCs w:val="21"/>
                <w14:ligatures w14:val="none"/>
              </w:rPr>
              <w:t>序号</w:t>
            </w:r>
          </w:p>
        </w:tc>
        <w:tc>
          <w:tcPr>
            <w:tcW w:w="828" w:type="pct"/>
            <w:tcBorders>
              <w:top w:val="single" w:sz="4" w:space="0" w:color="000000"/>
              <w:left w:val="single" w:sz="4" w:space="0" w:color="000000"/>
              <w:bottom w:val="single" w:sz="4" w:space="0" w:color="000000"/>
              <w:right w:val="single" w:sz="4" w:space="0" w:color="000000"/>
            </w:tcBorders>
            <w:noWrap/>
            <w:vAlign w:val="center"/>
          </w:tcPr>
          <w:p w14:paraId="40976EBA" w14:textId="77777777" w:rsidR="005A4120" w:rsidRPr="005A4120" w:rsidRDefault="005A4120" w:rsidP="005A4120">
            <w:pPr>
              <w:widowControl/>
              <w:spacing w:after="0" w:line="360" w:lineRule="auto"/>
              <w:jc w:val="center"/>
              <w:textAlignment w:val="center"/>
              <w:rPr>
                <w:rFonts w:ascii="宋体" w:eastAsia="宋体" w:hAnsi="宋体" w:cs="仿宋" w:hint="eastAsia"/>
                <w:b/>
                <w:bCs/>
                <w:sz w:val="21"/>
                <w:szCs w:val="21"/>
                <w14:ligatures w14:val="none"/>
              </w:rPr>
            </w:pPr>
            <w:r w:rsidRPr="005A4120">
              <w:rPr>
                <w:rFonts w:ascii="宋体" w:eastAsia="宋体" w:hAnsi="宋体" w:cs="仿宋" w:hint="eastAsia"/>
                <w:b/>
                <w:bCs/>
                <w:kern w:val="0"/>
                <w:sz w:val="21"/>
                <w:szCs w:val="21"/>
                <w14:ligatures w14:val="none"/>
              </w:rPr>
              <w:t>服务名称</w:t>
            </w:r>
          </w:p>
        </w:tc>
        <w:tc>
          <w:tcPr>
            <w:tcW w:w="3815" w:type="pct"/>
            <w:tcBorders>
              <w:top w:val="single" w:sz="4" w:space="0" w:color="000000"/>
              <w:left w:val="single" w:sz="4" w:space="0" w:color="000000"/>
              <w:bottom w:val="single" w:sz="4" w:space="0" w:color="000000"/>
              <w:right w:val="single" w:sz="4" w:space="0" w:color="000000"/>
            </w:tcBorders>
            <w:vAlign w:val="center"/>
          </w:tcPr>
          <w:p w14:paraId="0C7FAD8A" w14:textId="77777777" w:rsidR="005A4120" w:rsidRPr="005A4120" w:rsidRDefault="005A4120" w:rsidP="005A4120">
            <w:pPr>
              <w:widowControl/>
              <w:spacing w:after="0" w:line="360" w:lineRule="auto"/>
              <w:ind w:firstLineChars="300" w:firstLine="632"/>
              <w:jc w:val="center"/>
              <w:textAlignment w:val="center"/>
              <w:rPr>
                <w:rFonts w:ascii="Calibri" w:eastAsia="宋体" w:hAnsi="Calibri" w:cs="Times New Roman"/>
                <w:sz w:val="21"/>
                <w14:ligatures w14:val="none"/>
              </w:rPr>
            </w:pPr>
            <w:r w:rsidRPr="005A4120">
              <w:rPr>
                <w:rFonts w:ascii="宋体" w:eastAsia="宋体" w:hAnsi="宋体" w:cs="仿宋" w:hint="eastAsia"/>
                <w:b/>
                <w:bCs/>
                <w:kern w:val="0"/>
                <w:sz w:val="21"/>
                <w:szCs w:val="21"/>
                <w14:ligatures w14:val="none"/>
              </w:rPr>
              <w:t>技术要求</w:t>
            </w:r>
          </w:p>
          <w:p w14:paraId="1931440D" w14:textId="77777777" w:rsidR="005A4120" w:rsidRPr="005A4120" w:rsidRDefault="005A4120" w:rsidP="005A4120">
            <w:pPr>
              <w:widowControl/>
              <w:spacing w:after="0" w:line="360" w:lineRule="auto"/>
              <w:ind w:firstLineChars="300" w:firstLine="632"/>
              <w:jc w:val="center"/>
              <w:textAlignment w:val="center"/>
              <w:rPr>
                <w:rFonts w:ascii="Calibri" w:eastAsia="宋体" w:hAnsi="Calibri" w:cs="Times New Roman" w:hint="eastAsia"/>
                <w:sz w:val="21"/>
                <w14:ligatures w14:val="none"/>
              </w:rPr>
            </w:pPr>
            <w:r w:rsidRPr="005A4120">
              <w:rPr>
                <w:rFonts w:ascii="宋体" w:eastAsia="宋体" w:hAnsi="宋体" w:cs="仿宋" w:hint="eastAsia"/>
                <w:b/>
                <w:bCs/>
                <w:color w:val="000000"/>
                <w:kern w:val="0"/>
                <w:sz w:val="21"/>
                <w:szCs w:val="21"/>
                <w14:ligatures w14:val="none"/>
              </w:rPr>
              <w:t>（以下功能要求无需再外接设备或其他软件即可实现）</w:t>
            </w:r>
          </w:p>
        </w:tc>
      </w:tr>
      <w:tr w:rsidR="005A4120" w:rsidRPr="005A4120" w14:paraId="566CD6A2" w14:textId="77777777" w:rsidTr="0078602A">
        <w:trPr>
          <w:trHeight w:val="1445"/>
        </w:trPr>
        <w:tc>
          <w:tcPr>
            <w:tcW w:w="357" w:type="pct"/>
            <w:vMerge w:val="restart"/>
            <w:tcBorders>
              <w:top w:val="single" w:sz="4" w:space="0" w:color="000000"/>
              <w:left w:val="single" w:sz="4" w:space="0" w:color="000000"/>
              <w:bottom w:val="single" w:sz="4" w:space="0" w:color="000000"/>
              <w:right w:val="single" w:sz="4" w:space="0" w:color="000000"/>
            </w:tcBorders>
            <w:noWrap/>
            <w:vAlign w:val="center"/>
          </w:tcPr>
          <w:p w14:paraId="02CCDB96"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bookmarkStart w:id="1" w:name="OLE_LINK9" w:colFirst="2" w:colLast="2"/>
            <w:r w:rsidRPr="005A4120">
              <w:rPr>
                <w:rFonts w:ascii="宋体" w:eastAsia="宋体" w:hAnsi="宋体" w:cs="仿宋" w:hint="eastAsia"/>
                <w:kern w:val="0"/>
                <w:sz w:val="21"/>
                <w:szCs w:val="21"/>
                <w14:ligatures w14:val="none"/>
              </w:rPr>
              <w:t>1</w:t>
            </w:r>
          </w:p>
        </w:tc>
        <w:tc>
          <w:tcPr>
            <w:tcW w:w="828" w:type="pct"/>
            <w:vMerge w:val="restart"/>
            <w:tcBorders>
              <w:top w:val="single" w:sz="4" w:space="0" w:color="000000"/>
              <w:left w:val="single" w:sz="4" w:space="0" w:color="000000"/>
              <w:bottom w:val="single" w:sz="4" w:space="0" w:color="000000"/>
              <w:right w:val="single" w:sz="4" w:space="0" w:color="000000"/>
            </w:tcBorders>
            <w:noWrap/>
            <w:vAlign w:val="center"/>
          </w:tcPr>
          <w:p w14:paraId="0810BA33"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sz w:val="21"/>
                <w:szCs w:val="21"/>
                <w14:ligatures w14:val="none"/>
              </w:rPr>
              <w:t>大屏</w:t>
            </w:r>
          </w:p>
        </w:tc>
        <w:tc>
          <w:tcPr>
            <w:tcW w:w="3815" w:type="pct"/>
            <w:tcBorders>
              <w:top w:val="single" w:sz="4" w:space="0" w:color="000000"/>
              <w:left w:val="single" w:sz="4" w:space="0" w:color="000000"/>
              <w:bottom w:val="single" w:sz="4" w:space="0" w:color="000000"/>
              <w:right w:val="single" w:sz="4" w:space="0" w:color="000000"/>
            </w:tcBorders>
            <w:vAlign w:val="center"/>
          </w:tcPr>
          <w:p w14:paraId="04C3EC8F"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1.1、大屏显示</w:t>
            </w:r>
          </w:p>
          <w:p w14:paraId="6B56CCA1" w14:textId="77777777" w:rsidR="005A4120" w:rsidRPr="005A4120" w:rsidRDefault="005A4120" w:rsidP="005A4120">
            <w:pPr>
              <w:widowControl/>
              <w:numPr>
                <w:ilvl w:val="2"/>
                <w:numId w:val="0"/>
              </w:numPr>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kern w:val="0"/>
                <w:sz w:val="21"/>
                <w:szCs w:val="21"/>
                <w14:ligatures w14:val="none"/>
              </w:rPr>
              <w:t>1.1.</w:t>
            </w:r>
            <w:r w:rsidRPr="005A4120">
              <w:rPr>
                <w:rFonts w:ascii="宋体" w:eastAsia="宋体" w:hAnsi="宋体" w:cs="仿宋" w:hint="eastAsia"/>
                <w:kern w:val="0"/>
                <w:sz w:val="21"/>
                <w:szCs w:val="21"/>
                <w14:ligatures w14:val="none"/>
              </w:rPr>
              <w:t>1</w:t>
            </w:r>
            <w:r w:rsidRPr="005A4120">
              <w:rPr>
                <w:rFonts w:ascii="宋体" w:eastAsia="宋体" w:hAnsi="宋体" w:cs="仿宋"/>
                <w:kern w:val="0"/>
                <w:sz w:val="21"/>
                <w:szCs w:val="21"/>
                <w14:ligatures w14:val="none"/>
              </w:rPr>
              <w:t>、</w:t>
            </w:r>
            <w:r w:rsidRPr="005A4120">
              <w:rPr>
                <w:rFonts w:ascii="宋体" w:eastAsia="宋体" w:hAnsi="宋体" w:cs="仿宋" w:hint="eastAsia"/>
                <w:kern w:val="0"/>
                <w:sz w:val="21"/>
                <w:szCs w:val="21"/>
                <w14:ligatures w14:val="none"/>
              </w:rPr>
              <w:t>支持大屏显示脑电指标数据</w:t>
            </w:r>
          </w:p>
          <w:p w14:paraId="7BF53140"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t>★</w:t>
            </w:r>
            <w:r w:rsidRPr="005A4120">
              <w:rPr>
                <w:rFonts w:ascii="宋体" w:eastAsia="宋体" w:hAnsi="宋体" w:cs="仿宋" w:hint="eastAsia"/>
                <w:kern w:val="0"/>
                <w:sz w:val="21"/>
                <w:szCs w:val="21"/>
                <w14:ligatures w14:val="none"/>
              </w:rPr>
              <w:t>（1）支持显示3d</w:t>
            </w:r>
            <w:proofErr w:type="gramStart"/>
            <w:r w:rsidRPr="005A4120">
              <w:rPr>
                <w:rFonts w:ascii="宋体" w:eastAsia="宋体" w:hAnsi="宋体" w:cs="仿宋" w:hint="eastAsia"/>
                <w:kern w:val="0"/>
                <w:sz w:val="21"/>
                <w:szCs w:val="21"/>
                <w14:ligatures w14:val="none"/>
              </w:rPr>
              <w:t>脑模展示</w:t>
            </w:r>
            <w:proofErr w:type="gramEnd"/>
            <w:r w:rsidRPr="005A4120">
              <w:rPr>
                <w:rFonts w:ascii="宋体" w:eastAsia="宋体" w:hAnsi="宋体" w:cs="仿宋" w:hint="eastAsia"/>
                <w:kern w:val="0"/>
                <w:sz w:val="21"/>
                <w:szCs w:val="21"/>
                <w14:ligatures w14:val="none"/>
              </w:rPr>
              <w:t>。</w:t>
            </w:r>
          </w:p>
          <w:p w14:paraId="086F6BC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（2）支持行为学量表显示。</w:t>
            </w:r>
          </w:p>
          <w:p w14:paraId="35873B37"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t>★</w:t>
            </w:r>
            <w:r w:rsidRPr="005A4120">
              <w:rPr>
                <w:rFonts w:ascii="宋体" w:eastAsia="宋体" w:hAnsi="宋体" w:cs="仿宋" w:hint="eastAsia"/>
                <w:kern w:val="0"/>
                <w:sz w:val="21"/>
                <w:szCs w:val="21"/>
                <w14:ligatures w14:val="none"/>
              </w:rPr>
              <w:t>（3）支持</w:t>
            </w:r>
            <w:proofErr w:type="spellStart"/>
            <w:r w:rsidRPr="005A4120">
              <w:rPr>
                <w:rFonts w:ascii="宋体" w:eastAsia="宋体" w:hAnsi="宋体" w:cs="仿宋" w:hint="eastAsia"/>
                <w:kern w:val="0"/>
                <w:sz w:val="21"/>
                <w:szCs w:val="21"/>
                <w14:ligatures w14:val="none"/>
              </w:rPr>
              <w:t>rTMS</w:t>
            </w:r>
            <w:proofErr w:type="spellEnd"/>
            <w:r w:rsidRPr="005A4120">
              <w:rPr>
                <w:rFonts w:ascii="宋体" w:eastAsia="宋体" w:hAnsi="宋体" w:cs="仿宋" w:hint="eastAsia"/>
                <w:kern w:val="0"/>
                <w:sz w:val="21"/>
                <w:szCs w:val="21"/>
                <w14:ligatures w14:val="none"/>
              </w:rPr>
              <w:t>治疗参数(治疗部位、强度、刺激频率、脉冲总数、治疗时间、线圈)推荐。</w:t>
            </w:r>
          </w:p>
          <w:p w14:paraId="1FF7791C"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（4）支持脑电结论报告。</w:t>
            </w:r>
          </w:p>
          <w:p w14:paraId="73EDEFA0"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（5）支持源层面各频段功率谱、频域分析。</w:t>
            </w:r>
          </w:p>
          <w:p w14:paraId="0A0EBFC5"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bookmarkStart w:id="2" w:name="OLE_LINK8"/>
            <w:r w:rsidRPr="005A4120">
              <w:rPr>
                <w:rFonts w:ascii="宋体" w:eastAsia="宋体" w:hAnsi="宋体" w:cs="仿宋" w:hint="eastAsia"/>
                <w:kern w:val="0"/>
                <w:sz w:val="21"/>
                <w:szCs w:val="21"/>
                <w14:ligatures w14:val="none"/>
              </w:rPr>
              <w:t>1.1.2、支持各种图表显示</w:t>
            </w:r>
          </w:p>
          <w:p w14:paraId="72DF98BE"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（1）支持波形图。</w:t>
            </w:r>
          </w:p>
          <w:p w14:paraId="06F3A95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（2）支持横向柱状图。</w:t>
            </w:r>
          </w:p>
          <w:p w14:paraId="4CB4FD79"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（3）支持成分分布图。</w:t>
            </w:r>
            <w:bookmarkEnd w:id="2"/>
          </w:p>
        </w:tc>
      </w:tr>
      <w:tr w:rsidR="005A4120" w:rsidRPr="005A4120" w14:paraId="122CDFBF" w14:textId="77777777" w:rsidTr="0078602A">
        <w:trPr>
          <w:trHeight w:val="960"/>
        </w:trPr>
        <w:tc>
          <w:tcPr>
            <w:tcW w:w="357" w:type="pct"/>
            <w:vMerge/>
            <w:tcBorders>
              <w:top w:val="single" w:sz="4" w:space="0" w:color="000000"/>
              <w:left w:val="single" w:sz="4" w:space="0" w:color="000000"/>
              <w:bottom w:val="single" w:sz="4" w:space="0" w:color="000000"/>
              <w:right w:val="single" w:sz="4" w:space="0" w:color="000000"/>
            </w:tcBorders>
            <w:noWrap/>
            <w:vAlign w:val="center"/>
          </w:tcPr>
          <w:p w14:paraId="2872F03A"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top w:val="single" w:sz="4" w:space="0" w:color="000000"/>
              <w:left w:val="single" w:sz="4" w:space="0" w:color="000000"/>
              <w:bottom w:val="single" w:sz="4" w:space="0" w:color="000000"/>
              <w:right w:val="single" w:sz="4" w:space="0" w:color="000000"/>
            </w:tcBorders>
            <w:noWrap/>
            <w:vAlign w:val="center"/>
          </w:tcPr>
          <w:p w14:paraId="5C769FB5"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4DD9DD43"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1.2、医生端大屏</w:t>
            </w:r>
          </w:p>
          <w:p w14:paraId="3A0A2C81"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 xml:space="preserve">1.2.1、医生端大屏，在展示大屏基础上修改，突出患者数据 </w:t>
            </w:r>
          </w:p>
          <w:p w14:paraId="335A308C"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（1）支持查看EEG记录患者基本信息</w:t>
            </w:r>
            <w:bookmarkStart w:id="3" w:name="OLE_LINK7"/>
            <w:r w:rsidRPr="005A4120">
              <w:rPr>
                <w:rFonts w:ascii="宋体" w:eastAsia="宋体" w:hAnsi="宋体" w:cs="仿宋" w:hint="eastAsia"/>
                <w:kern w:val="0"/>
                <w:sz w:val="21"/>
                <w:szCs w:val="21"/>
                <w14:ligatures w14:val="none"/>
              </w:rPr>
              <w:t>。</w:t>
            </w:r>
            <w:bookmarkEnd w:id="3"/>
          </w:p>
          <w:p w14:paraId="260542FA"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（2）支持查看EEG记录患者的脑电数据指标的频带能量分布的频段相对功率比指标。</w:t>
            </w:r>
          </w:p>
          <w:p w14:paraId="32E73BA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（3）支持查看EEG记录患者的脑电数据指标的闭眼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w:t>
            </w:r>
          </w:p>
          <w:p w14:paraId="6BE920EE"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lastRenderedPageBreak/>
              <w:t>★</w:t>
            </w:r>
            <w:r w:rsidRPr="005A4120">
              <w:rPr>
                <w:rFonts w:ascii="宋体" w:eastAsia="宋体" w:hAnsi="宋体" w:cs="仿宋" w:hint="eastAsia"/>
                <w:kern w:val="0"/>
                <w:sz w:val="21"/>
                <w:szCs w:val="21"/>
                <w14:ligatures w14:val="none"/>
              </w:rPr>
              <w:t>（4）支持显示</w:t>
            </w:r>
            <w:proofErr w:type="spellStart"/>
            <w:r w:rsidRPr="005A4120">
              <w:rPr>
                <w:rFonts w:ascii="宋体" w:eastAsia="宋体" w:hAnsi="宋体" w:cs="仿宋" w:hint="eastAsia"/>
                <w:kern w:val="0"/>
                <w:sz w:val="21"/>
                <w:szCs w:val="21"/>
                <w14:ligatures w14:val="none"/>
              </w:rPr>
              <w:t>rTMS</w:t>
            </w:r>
            <w:proofErr w:type="spellEnd"/>
            <w:r w:rsidRPr="005A4120">
              <w:rPr>
                <w:rFonts w:ascii="宋体" w:eastAsia="宋体" w:hAnsi="宋体" w:cs="仿宋" w:hint="eastAsia"/>
                <w:kern w:val="0"/>
                <w:sz w:val="21"/>
                <w:szCs w:val="21"/>
                <w14:ligatures w14:val="none"/>
              </w:rPr>
              <w:t>治疗参数(治疗部位、强度、刺激频率、脉冲总数、治疗时间、线圈)推荐。</w:t>
            </w:r>
          </w:p>
          <w:p w14:paraId="69A1366E"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（5）支持显示行为学量表。</w:t>
            </w:r>
          </w:p>
          <w:p w14:paraId="68B2106C"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（6）支持查看EEG变化趋势。</w:t>
            </w:r>
          </w:p>
        </w:tc>
      </w:tr>
      <w:tr w:rsidR="005A4120" w:rsidRPr="005A4120" w14:paraId="12466FFE" w14:textId="77777777" w:rsidTr="0078602A">
        <w:trPr>
          <w:trHeight w:val="1087"/>
        </w:trPr>
        <w:tc>
          <w:tcPr>
            <w:tcW w:w="357" w:type="pct"/>
            <w:tcBorders>
              <w:top w:val="single" w:sz="4" w:space="0" w:color="000000"/>
              <w:left w:val="single" w:sz="4" w:space="0" w:color="000000"/>
              <w:bottom w:val="single" w:sz="4" w:space="0" w:color="000000"/>
              <w:right w:val="single" w:sz="4" w:space="0" w:color="000000"/>
            </w:tcBorders>
            <w:vAlign w:val="center"/>
          </w:tcPr>
          <w:p w14:paraId="5E905410"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lastRenderedPageBreak/>
              <w:t>2</w:t>
            </w:r>
          </w:p>
        </w:tc>
        <w:tc>
          <w:tcPr>
            <w:tcW w:w="828" w:type="pct"/>
            <w:tcBorders>
              <w:top w:val="single" w:sz="4" w:space="0" w:color="000000"/>
              <w:left w:val="single" w:sz="4" w:space="0" w:color="000000"/>
              <w:bottom w:val="single" w:sz="4" w:space="0" w:color="000000"/>
              <w:right w:val="single" w:sz="4" w:space="0" w:color="000000"/>
            </w:tcBorders>
            <w:noWrap/>
            <w:vAlign w:val="center"/>
          </w:tcPr>
          <w:p w14:paraId="61F5D40F"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首页</w:t>
            </w:r>
          </w:p>
        </w:tc>
        <w:tc>
          <w:tcPr>
            <w:tcW w:w="3815" w:type="pct"/>
            <w:tcBorders>
              <w:top w:val="single" w:sz="4" w:space="0" w:color="000000"/>
              <w:left w:val="single" w:sz="4" w:space="0" w:color="000000"/>
              <w:bottom w:val="single" w:sz="4" w:space="0" w:color="000000"/>
              <w:right w:val="single" w:sz="4" w:space="0" w:color="000000"/>
            </w:tcBorders>
            <w:vAlign w:val="center"/>
          </w:tcPr>
          <w:p w14:paraId="2ED53305"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2.1、病种展示</w:t>
            </w:r>
          </w:p>
          <w:p w14:paraId="44130C0D"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2.1.1、按不同的病种</w:t>
            </w:r>
            <w:proofErr w:type="gramStart"/>
            <w:r w:rsidRPr="005A4120">
              <w:rPr>
                <w:rFonts w:ascii="宋体" w:eastAsia="宋体" w:hAnsi="宋体" w:cs="仿宋" w:hint="eastAsia"/>
                <w:kern w:val="0"/>
                <w:sz w:val="21"/>
                <w:szCs w:val="21"/>
                <w14:ligatures w14:val="none"/>
              </w:rPr>
              <w:t>用饼图展示</w:t>
            </w:r>
            <w:proofErr w:type="gramEnd"/>
          </w:p>
          <w:p w14:paraId="29C2224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（1）支持上传数据时打对应病种标签。</w:t>
            </w:r>
          </w:p>
          <w:p w14:paraId="17A978DA"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（2）支持统计患者总数量。</w:t>
            </w:r>
          </w:p>
          <w:p w14:paraId="5B8DF71F"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（3）支持统计患者当天增加数量、及当日增加患者比率。</w:t>
            </w:r>
          </w:p>
          <w:p w14:paraId="704E3561"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（4）支持按患者病种分别统计数量。</w:t>
            </w:r>
          </w:p>
          <w:p w14:paraId="0362B14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（5）支持按患者病种分别统计病种占所有患者百分比。</w:t>
            </w:r>
          </w:p>
          <w:p w14:paraId="7C374E3F"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（6）支持按患者病种分别统计病种平均年龄。</w:t>
            </w:r>
          </w:p>
          <w:p w14:paraId="70C1D134"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t>★</w:t>
            </w:r>
            <w:r w:rsidRPr="005A4120">
              <w:rPr>
                <w:rFonts w:ascii="宋体" w:eastAsia="宋体" w:hAnsi="宋体" w:cs="仿宋" w:hint="eastAsia"/>
                <w:kern w:val="0"/>
                <w:sz w:val="21"/>
                <w:szCs w:val="21"/>
                <w14:ligatures w14:val="none"/>
              </w:rPr>
              <w:t>（7）支持按患者病种分别统计病种年龄方差。</w:t>
            </w:r>
          </w:p>
          <w:p w14:paraId="56839DB8"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（8）支持查看各病种</w:t>
            </w:r>
            <w:proofErr w:type="gramStart"/>
            <w:r w:rsidRPr="005A4120">
              <w:rPr>
                <w:rFonts w:ascii="宋体" w:eastAsia="宋体" w:hAnsi="宋体" w:cs="仿宋" w:hint="eastAsia"/>
                <w:kern w:val="0"/>
                <w:sz w:val="21"/>
                <w:szCs w:val="21"/>
                <w14:ligatures w14:val="none"/>
              </w:rPr>
              <w:t>对应占</w:t>
            </w:r>
            <w:proofErr w:type="gramEnd"/>
            <w:r w:rsidRPr="005A4120">
              <w:rPr>
                <w:rFonts w:ascii="宋体" w:eastAsia="宋体" w:hAnsi="宋体" w:cs="仿宋" w:hint="eastAsia"/>
                <w:kern w:val="0"/>
                <w:sz w:val="21"/>
                <w:szCs w:val="21"/>
                <w14:ligatures w14:val="none"/>
              </w:rPr>
              <w:t>比详情统计（患者信息、不同性别占比、不同年龄段占比）。</w:t>
            </w:r>
          </w:p>
        </w:tc>
      </w:tr>
      <w:tr w:rsidR="005A4120" w:rsidRPr="005A4120" w14:paraId="61E72375" w14:textId="77777777" w:rsidTr="0078602A">
        <w:trPr>
          <w:trHeight w:val="1473"/>
        </w:trPr>
        <w:tc>
          <w:tcPr>
            <w:tcW w:w="357" w:type="pct"/>
            <w:vMerge w:val="restart"/>
            <w:tcBorders>
              <w:top w:val="single" w:sz="4" w:space="0" w:color="000000"/>
              <w:left w:val="single" w:sz="4" w:space="0" w:color="000000"/>
              <w:right w:val="single" w:sz="4" w:space="0" w:color="000000"/>
            </w:tcBorders>
            <w:noWrap/>
            <w:vAlign w:val="center"/>
          </w:tcPr>
          <w:p w14:paraId="33431613" w14:textId="77777777" w:rsidR="005A4120" w:rsidRPr="005A4120" w:rsidRDefault="005A4120" w:rsidP="005A4120">
            <w:pPr>
              <w:widowControl/>
              <w:spacing w:after="0" w:line="360" w:lineRule="auto"/>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3</w:t>
            </w:r>
          </w:p>
        </w:tc>
        <w:tc>
          <w:tcPr>
            <w:tcW w:w="828" w:type="pct"/>
            <w:vMerge w:val="restart"/>
            <w:tcBorders>
              <w:top w:val="single" w:sz="4" w:space="0" w:color="000000"/>
              <w:left w:val="single" w:sz="4" w:space="0" w:color="000000"/>
              <w:right w:val="single" w:sz="4" w:space="0" w:color="000000"/>
            </w:tcBorders>
            <w:noWrap/>
            <w:vAlign w:val="center"/>
          </w:tcPr>
          <w:p w14:paraId="2FB2B696"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数据管理功能</w:t>
            </w:r>
          </w:p>
        </w:tc>
        <w:tc>
          <w:tcPr>
            <w:tcW w:w="3815" w:type="pct"/>
            <w:tcBorders>
              <w:top w:val="single" w:sz="4" w:space="0" w:color="000000"/>
              <w:left w:val="single" w:sz="4" w:space="0" w:color="000000"/>
              <w:bottom w:val="single" w:sz="4" w:space="0" w:color="000000"/>
              <w:right w:val="single" w:sz="4" w:space="0" w:color="000000"/>
            </w:tcBorders>
            <w:vAlign w:val="center"/>
          </w:tcPr>
          <w:p w14:paraId="7613709B"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3.1、集成脑电数据</w:t>
            </w:r>
          </w:p>
          <w:p w14:paraId="62D3DB8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3.1.1、支持集成脑电患者基本信息</w:t>
            </w:r>
          </w:p>
          <w:p w14:paraId="74998F33"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3.1.2、支持集成脑电数据指标参数</w:t>
            </w:r>
          </w:p>
          <w:p w14:paraId="42178A78"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t>★</w:t>
            </w:r>
            <w:r w:rsidRPr="005A4120">
              <w:rPr>
                <w:rFonts w:ascii="宋体" w:eastAsia="宋体" w:hAnsi="宋体" w:cs="仿宋" w:hint="eastAsia"/>
                <w:kern w:val="0"/>
                <w:sz w:val="21"/>
                <w:szCs w:val="21"/>
                <w14:ligatures w14:val="none"/>
              </w:rPr>
              <w:t>（1）支持集成脑电系统(EEG记录)脑电数据频带能量分布的频段相对功率比指标。</w:t>
            </w:r>
          </w:p>
          <w:p w14:paraId="1C27E9A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Times New Roman" w:hint="eastAsia"/>
                <w:sz w:val="21"/>
                <w:szCs w:val="21"/>
                <w14:ligatures w14:val="none"/>
              </w:rPr>
              <w:t>★</w:t>
            </w:r>
            <w:r w:rsidRPr="005A4120">
              <w:rPr>
                <w:rFonts w:ascii="宋体" w:eastAsia="宋体" w:hAnsi="宋体" w:cs="仿宋" w:hint="eastAsia"/>
                <w:kern w:val="0"/>
                <w:sz w:val="21"/>
                <w:szCs w:val="21"/>
                <w14:ligatures w14:val="none"/>
              </w:rPr>
              <w:t>（2）支持集成脑电系统(EEG记录)脑电数据睁眼状态电极层面各频带功率谱中的Theta/Beta比值(TBR)、Theta/Alpha比值(TAR)项指标。</w:t>
            </w:r>
          </w:p>
          <w:p w14:paraId="423B46CB"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（3）支持集成脑电系统(EEG记录)脑电数据闭眼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
          <w:p w14:paraId="7717AA24"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（4）支持集成脑电系统(EEG记录)脑电</w:t>
            </w:r>
            <w:proofErr w:type="gramStart"/>
            <w:r w:rsidRPr="005A4120">
              <w:rPr>
                <w:rFonts w:ascii="宋体" w:eastAsia="宋体" w:hAnsi="宋体" w:cs="仿宋" w:hint="eastAsia"/>
                <w:kern w:val="0"/>
                <w:sz w:val="21"/>
                <w:szCs w:val="21"/>
                <w14:ligatures w14:val="none"/>
              </w:rPr>
              <w:t>数据各脑区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区平均连接强度指标。</w:t>
            </w:r>
          </w:p>
        </w:tc>
      </w:tr>
      <w:tr w:rsidR="005A4120" w:rsidRPr="005A4120" w14:paraId="4808B5A2" w14:textId="77777777" w:rsidTr="0078602A">
        <w:trPr>
          <w:trHeight w:val="1473"/>
        </w:trPr>
        <w:tc>
          <w:tcPr>
            <w:tcW w:w="357" w:type="pct"/>
            <w:vMerge/>
            <w:tcBorders>
              <w:left w:val="single" w:sz="4" w:space="0" w:color="000000"/>
              <w:right w:val="single" w:sz="4" w:space="0" w:color="000000"/>
            </w:tcBorders>
            <w:noWrap/>
            <w:vAlign w:val="center"/>
          </w:tcPr>
          <w:p w14:paraId="7B482D6C"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1B0373FC"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6E8545D0"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3.2、数据分组自定义</w:t>
            </w:r>
          </w:p>
          <w:p w14:paraId="09D43068"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3.2.1、支持年龄区间自定义</w:t>
            </w:r>
          </w:p>
          <w:p w14:paraId="2C51B25D"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（1）支持可自定义年龄区间（如 0-10岁、11-20岁 、21- 30岁等）。</w:t>
            </w:r>
          </w:p>
          <w:p w14:paraId="5534768C"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（2）支持年龄区间唯一性，分组结果可灵活查看与管理。</w:t>
            </w:r>
          </w:p>
          <w:p w14:paraId="58B4ADC0"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3.2.2、支持年龄区间更新维护</w:t>
            </w:r>
          </w:p>
          <w:p w14:paraId="267A973D"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（1）支持年龄区间新增、修改、删除、查询。</w:t>
            </w:r>
          </w:p>
        </w:tc>
      </w:tr>
      <w:tr w:rsidR="005A4120" w:rsidRPr="005A4120" w14:paraId="32356D37" w14:textId="77777777" w:rsidTr="0078602A">
        <w:trPr>
          <w:trHeight w:val="945"/>
        </w:trPr>
        <w:tc>
          <w:tcPr>
            <w:tcW w:w="357" w:type="pct"/>
            <w:vMerge w:val="restart"/>
            <w:tcBorders>
              <w:top w:val="single" w:sz="4" w:space="0" w:color="000000"/>
              <w:left w:val="single" w:sz="4" w:space="0" w:color="000000"/>
              <w:bottom w:val="single" w:sz="4" w:space="0" w:color="000000"/>
              <w:right w:val="single" w:sz="4" w:space="0" w:color="000000"/>
            </w:tcBorders>
            <w:noWrap/>
            <w:vAlign w:val="center"/>
          </w:tcPr>
          <w:p w14:paraId="112CE3B8"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4</w:t>
            </w:r>
          </w:p>
        </w:tc>
        <w:tc>
          <w:tcPr>
            <w:tcW w:w="828" w:type="pct"/>
            <w:vMerge w:val="restart"/>
            <w:tcBorders>
              <w:top w:val="single" w:sz="4" w:space="0" w:color="000000"/>
              <w:left w:val="single" w:sz="4" w:space="0" w:color="000000"/>
              <w:bottom w:val="single" w:sz="4" w:space="0" w:color="000000"/>
              <w:right w:val="single" w:sz="4" w:space="0" w:color="000000"/>
            </w:tcBorders>
            <w:noWrap/>
            <w:vAlign w:val="center"/>
          </w:tcPr>
          <w:p w14:paraId="0228B17C" w14:textId="77777777" w:rsidR="005A4120" w:rsidRPr="005A4120" w:rsidRDefault="005A4120" w:rsidP="005A4120">
            <w:pPr>
              <w:widowControl/>
              <w:spacing w:after="0" w:line="360" w:lineRule="auto"/>
              <w:jc w:val="center"/>
              <w:textAlignment w:val="center"/>
              <w:rPr>
                <w:rFonts w:ascii="宋体" w:eastAsia="宋体" w:hAnsi="宋体" w:cs="仿宋" w:hint="eastAsia"/>
                <w:sz w:val="21"/>
                <w:szCs w:val="21"/>
                <w14:ligatures w14:val="none"/>
              </w:rPr>
            </w:pPr>
            <w:r w:rsidRPr="005A4120">
              <w:rPr>
                <w:rFonts w:ascii="宋体" w:eastAsia="宋体" w:hAnsi="宋体" w:cs="仿宋" w:hint="eastAsia"/>
                <w:kern w:val="0"/>
                <w:sz w:val="21"/>
                <w:szCs w:val="21"/>
                <w14:ligatures w14:val="none"/>
              </w:rPr>
              <w:t>数据分析功能</w:t>
            </w:r>
          </w:p>
        </w:tc>
        <w:tc>
          <w:tcPr>
            <w:tcW w:w="3815" w:type="pct"/>
            <w:tcBorders>
              <w:top w:val="single" w:sz="4" w:space="0" w:color="000000"/>
              <w:left w:val="single" w:sz="4" w:space="0" w:color="000000"/>
              <w:bottom w:val="single" w:sz="4" w:space="0" w:color="000000"/>
              <w:right w:val="single" w:sz="4" w:space="0" w:color="000000"/>
            </w:tcBorders>
            <w:vAlign w:val="center"/>
          </w:tcPr>
          <w:p w14:paraId="6E2D98E4"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4.1、按年龄分组统计分析</w:t>
            </w:r>
          </w:p>
          <w:p w14:paraId="664F6188"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4.1.1、支持按年龄分组统计分析脑电数据的指标参数</w:t>
            </w:r>
          </w:p>
          <w:p w14:paraId="0E5D952C"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（1）支持选择不同年龄区间（如 0-10岁、11-20岁 、21- 30岁等）进行统计分析。</w:t>
            </w:r>
          </w:p>
          <w:p w14:paraId="373068A4"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4.1.2、支持选择不同的脑电指标进行统计分析</w:t>
            </w:r>
          </w:p>
          <w:p w14:paraId="572B2322"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2CEFBB1A" w14:textId="77777777" w:rsidR="005A4120" w:rsidRPr="005A4120" w:rsidRDefault="005A4120" w:rsidP="005A4120">
            <w:pPr>
              <w:widowControl/>
              <w:tabs>
                <w:tab w:val="left" w:pos="797"/>
              </w:tabs>
              <w:spacing w:after="0" w:line="360" w:lineRule="auto"/>
              <w:ind w:firstLineChars="100" w:firstLine="210"/>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（2）支持选择不同的脑电指标进行平均值、最大值、最小值进行统计分析。</w:t>
            </w:r>
          </w:p>
          <w:p w14:paraId="03E98F91" w14:textId="77777777" w:rsidR="005A4120" w:rsidRPr="005A4120" w:rsidRDefault="005A4120" w:rsidP="005A4120">
            <w:pPr>
              <w:widowControl/>
              <w:tabs>
                <w:tab w:val="left" w:pos="797"/>
              </w:tabs>
              <w:spacing w:after="0" w:line="360" w:lineRule="auto"/>
              <w:jc w:val="both"/>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4.1.3、支持统计分析结果以表格和图表形式展示</w:t>
            </w:r>
          </w:p>
        </w:tc>
      </w:tr>
      <w:tr w:rsidR="005A4120" w:rsidRPr="005A4120" w14:paraId="2A068543" w14:textId="77777777" w:rsidTr="0078602A">
        <w:trPr>
          <w:trHeight w:val="1870"/>
        </w:trPr>
        <w:tc>
          <w:tcPr>
            <w:tcW w:w="357" w:type="pct"/>
            <w:vMerge/>
            <w:tcBorders>
              <w:left w:val="single" w:sz="4" w:space="0" w:color="000000"/>
              <w:right w:val="single" w:sz="4" w:space="0" w:color="000000"/>
            </w:tcBorders>
            <w:noWrap/>
            <w:vAlign w:val="center"/>
          </w:tcPr>
          <w:p w14:paraId="46ABB205"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43D937E4"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7F420A01"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4.2、按病种分组统计分析</w:t>
            </w:r>
          </w:p>
          <w:p w14:paraId="2386C2F3"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4.2.1、支持选择不同病种（如痴呆、抑郁、帕金森等）进行统计分析。</w:t>
            </w:r>
          </w:p>
          <w:p w14:paraId="03F19E0D"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4.2.2、支持选择不同的脑电指标进行统计分析</w:t>
            </w:r>
          </w:p>
          <w:p w14:paraId="67490DEB"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78A7EF39"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▲（2）支持选择不同的脑电指标进行平均值、最大值、最小值进行统计分析。</w:t>
            </w:r>
          </w:p>
          <w:p w14:paraId="5D914B67"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4.2.3、支持统计分析结果以表格和图表形式展示</w:t>
            </w:r>
          </w:p>
        </w:tc>
      </w:tr>
      <w:tr w:rsidR="005A4120" w:rsidRPr="005A4120" w14:paraId="383419E3" w14:textId="77777777" w:rsidTr="0078602A">
        <w:trPr>
          <w:trHeight w:val="520"/>
        </w:trPr>
        <w:tc>
          <w:tcPr>
            <w:tcW w:w="357" w:type="pct"/>
            <w:vMerge/>
            <w:tcBorders>
              <w:left w:val="single" w:sz="4" w:space="0" w:color="000000"/>
              <w:right w:val="single" w:sz="4" w:space="0" w:color="000000"/>
            </w:tcBorders>
            <w:noWrap/>
            <w:vAlign w:val="center"/>
          </w:tcPr>
          <w:p w14:paraId="573322D2"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5FCBB711"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253AECC8"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4.3、按性别分组统计分析</w:t>
            </w:r>
          </w:p>
          <w:p w14:paraId="609A73D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4.3.1、支持按性别分组统计分析脑电数据的指标参数</w:t>
            </w:r>
          </w:p>
          <w:p w14:paraId="205A1DDA"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4.3.2、支持选择不同的脑电指标进行统计分析</w:t>
            </w:r>
          </w:p>
          <w:p w14:paraId="3C37F083"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4912B3E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（2）支持选择不同的脑电指标进行平均值、最大值、最小值进行统计分析。</w:t>
            </w:r>
          </w:p>
          <w:p w14:paraId="6D8C3E04"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4.3.3、支持统计分析结果以表格和图表形式展示</w:t>
            </w:r>
          </w:p>
        </w:tc>
      </w:tr>
      <w:tr w:rsidR="005A4120" w:rsidRPr="005A4120" w14:paraId="0DF45B5E" w14:textId="77777777" w:rsidTr="0078602A">
        <w:trPr>
          <w:trHeight w:val="90"/>
        </w:trPr>
        <w:tc>
          <w:tcPr>
            <w:tcW w:w="357" w:type="pct"/>
            <w:vMerge/>
            <w:tcBorders>
              <w:left w:val="single" w:sz="4" w:space="0" w:color="000000"/>
              <w:right w:val="single" w:sz="4" w:space="0" w:color="000000"/>
            </w:tcBorders>
            <w:noWrap/>
            <w:vAlign w:val="center"/>
          </w:tcPr>
          <w:p w14:paraId="41D1EBD0"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2D5055F1"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7DFDCE0C"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4.4、单个病人数据对比分析</w:t>
            </w:r>
          </w:p>
          <w:p w14:paraId="0CD697DA"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4.4.1、支持单个病人的脑电数据与同年龄、同病种、同性别分组的平均值进行对比</w:t>
            </w:r>
          </w:p>
          <w:p w14:paraId="1F8C327B"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（1）支持输入住院号/门诊号、姓名搜索患者进行统计分析。</w:t>
            </w:r>
          </w:p>
          <w:p w14:paraId="6079599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（2）支持单个病人的脑电数据与同年龄、同病种、同性别分组的平均值进行对比。</w:t>
            </w:r>
          </w:p>
          <w:p w14:paraId="2A6E1B6B"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4.4.2、支持选择不同的脑电指标进行统计分析</w:t>
            </w:r>
          </w:p>
          <w:p w14:paraId="5D1EA87E"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（1）支持选择不同的脑电指标进行平均值、最大值、最小值进行统计分析。</w:t>
            </w:r>
          </w:p>
          <w:p w14:paraId="7C32D4B1" w14:textId="77777777" w:rsidR="005A4120" w:rsidRPr="005A4120" w:rsidRDefault="005A4120" w:rsidP="005A4120">
            <w:pPr>
              <w:widowControl/>
              <w:spacing w:after="0" w:line="360" w:lineRule="auto"/>
              <w:textAlignment w:val="center"/>
              <w:rPr>
                <w:rFonts w:ascii="宋体" w:eastAsia="宋体" w:hAnsi="宋体" w:cs="Times New Roman" w:hint="eastAsia"/>
                <w:sz w:val="21"/>
                <w:szCs w:val="21"/>
                <w14:ligatures w14:val="none"/>
              </w:rPr>
            </w:pPr>
            <w:r w:rsidRPr="005A4120">
              <w:rPr>
                <w:rFonts w:ascii="宋体" w:eastAsia="宋体" w:hAnsi="宋体" w:cs="仿宋" w:hint="eastAsia"/>
                <w:kern w:val="0"/>
                <w:sz w:val="21"/>
                <w:szCs w:val="21"/>
                <w14:ligatures w14:val="none"/>
              </w:rPr>
              <w:t>（2）支持选择不同的脑电指标（如频带能量分布的频段相对功率比指标、睁眼状态电极层面各频带功率谱中的指标、闭眼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45169239"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 4.4.3、直观展示该病</w:t>
            </w:r>
            <w:proofErr w:type="gramStart"/>
            <w:r w:rsidRPr="005A4120">
              <w:rPr>
                <w:rFonts w:ascii="宋体" w:eastAsia="宋体" w:hAnsi="宋体" w:cs="仿宋" w:hint="eastAsia"/>
                <w:kern w:val="0"/>
                <w:sz w:val="21"/>
                <w:szCs w:val="21"/>
                <w14:ligatures w14:val="none"/>
              </w:rPr>
              <w:t>人脑电数据</w:t>
            </w:r>
            <w:proofErr w:type="gramEnd"/>
            <w:r w:rsidRPr="005A4120">
              <w:rPr>
                <w:rFonts w:ascii="宋体" w:eastAsia="宋体" w:hAnsi="宋体" w:cs="仿宋" w:hint="eastAsia"/>
                <w:kern w:val="0"/>
                <w:sz w:val="21"/>
                <w:szCs w:val="21"/>
                <w14:ligatures w14:val="none"/>
              </w:rPr>
              <w:t>的偏离情况，辅助医生判断病情。</w:t>
            </w:r>
            <w:bookmarkStart w:id="4" w:name="OLE_LINK6"/>
            <w:r w:rsidRPr="005A4120">
              <w:rPr>
                <w:rFonts w:ascii="宋体" w:eastAsia="宋体" w:hAnsi="宋体" w:cs="仿宋" w:hint="eastAsia"/>
                <w:kern w:val="0"/>
                <w:sz w:val="21"/>
                <w:szCs w:val="21"/>
                <w14:ligatures w14:val="none"/>
              </w:rPr>
              <w:t>4.4.4</w:t>
            </w:r>
            <w:bookmarkEnd w:id="4"/>
            <w:r w:rsidRPr="005A4120">
              <w:rPr>
                <w:rFonts w:ascii="宋体" w:eastAsia="宋体" w:hAnsi="宋体" w:cs="仿宋" w:hint="eastAsia"/>
                <w:kern w:val="0"/>
                <w:sz w:val="21"/>
                <w:szCs w:val="21"/>
                <w14:ligatures w14:val="none"/>
              </w:rPr>
              <w:t>、计算结果以表格和图表（柱状图）形式展示</w:t>
            </w:r>
          </w:p>
        </w:tc>
      </w:tr>
      <w:tr w:rsidR="005A4120" w:rsidRPr="005A4120" w14:paraId="780523E2" w14:textId="77777777" w:rsidTr="0078602A">
        <w:trPr>
          <w:trHeight w:val="1053"/>
        </w:trPr>
        <w:tc>
          <w:tcPr>
            <w:tcW w:w="357" w:type="pct"/>
            <w:vMerge/>
            <w:tcBorders>
              <w:left w:val="single" w:sz="4" w:space="0" w:color="000000"/>
              <w:right w:val="single" w:sz="4" w:space="0" w:color="000000"/>
            </w:tcBorders>
            <w:noWrap/>
            <w:vAlign w:val="center"/>
          </w:tcPr>
          <w:p w14:paraId="7261E3A3"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3066D0CA"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73649080" w14:textId="77777777" w:rsidR="005A4120" w:rsidRPr="005A4120" w:rsidRDefault="005A4120" w:rsidP="005A4120">
            <w:pPr>
              <w:widowControl/>
              <w:spacing w:after="0" w:line="360" w:lineRule="auto"/>
              <w:textAlignment w:val="center"/>
              <w:rPr>
                <w:rFonts w:ascii="宋体" w:eastAsia="宋体" w:hAnsi="宋体" w:cs="仿宋" w:hint="eastAsia"/>
                <w:color w:val="C00000"/>
                <w:kern w:val="0"/>
                <w:sz w:val="21"/>
                <w:szCs w:val="21"/>
                <w14:ligatures w14:val="none"/>
              </w:rPr>
            </w:pPr>
            <w:r w:rsidRPr="005A4120">
              <w:rPr>
                <w:rFonts w:ascii="宋体" w:eastAsia="宋体" w:hAnsi="宋体" w:cs="仿宋" w:hint="eastAsia"/>
                <w:kern w:val="0"/>
                <w:sz w:val="21"/>
                <w:szCs w:val="21"/>
                <w14:ligatures w14:val="none"/>
              </w:rPr>
              <w:t>4.5、</w:t>
            </w:r>
            <w:r w:rsidRPr="005A4120">
              <w:rPr>
                <w:rFonts w:ascii="宋体" w:eastAsia="宋体" w:hAnsi="宋体" w:cs="仿宋" w:hint="eastAsia"/>
                <w:color w:val="000000"/>
                <w:kern w:val="0"/>
                <w:sz w:val="21"/>
                <w:szCs w:val="21"/>
                <w14:ligatures w14:val="none"/>
              </w:rPr>
              <w:t>多个病人数据对比分析</w:t>
            </w:r>
          </w:p>
          <w:p w14:paraId="7408646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4.5.1、支持选择多个病人的数据，同时与相应分组（同年龄、同病种、同性别）平均值进行对比</w:t>
            </w:r>
          </w:p>
          <w:p w14:paraId="01009E76"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（1）支持输入住院号/门诊号、姓名搜索患者进行统计分析。</w:t>
            </w:r>
          </w:p>
          <w:p w14:paraId="0FCBBCA8"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（2）支持输入住院号/门诊号、姓名搜索指定其他患者进行对比分析。</w:t>
            </w:r>
          </w:p>
          <w:p w14:paraId="16113DD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▲（3）支持病人的脑电数据与同年龄、同病种、同性别分组的平均值进行对比。</w:t>
            </w:r>
          </w:p>
          <w:p w14:paraId="2E7D5687"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4.5.2、支持观察不同病人之</w:t>
            </w:r>
            <w:proofErr w:type="gramStart"/>
            <w:r w:rsidRPr="005A4120">
              <w:rPr>
                <w:rFonts w:ascii="宋体" w:eastAsia="宋体" w:hAnsi="宋体" w:cs="仿宋" w:hint="eastAsia"/>
                <w:kern w:val="0"/>
                <w:sz w:val="21"/>
                <w:szCs w:val="21"/>
                <w14:ligatures w14:val="none"/>
              </w:rPr>
              <w:t>间脑电数据</w:t>
            </w:r>
            <w:proofErr w:type="gramEnd"/>
            <w:r w:rsidRPr="005A4120">
              <w:rPr>
                <w:rFonts w:ascii="宋体" w:eastAsia="宋体" w:hAnsi="宋体" w:cs="仿宋" w:hint="eastAsia"/>
                <w:kern w:val="0"/>
                <w:sz w:val="21"/>
                <w:szCs w:val="21"/>
                <w14:ligatures w14:val="none"/>
              </w:rPr>
              <w:t>的共性与差异，用于病例分析和研究</w:t>
            </w:r>
          </w:p>
          <w:p w14:paraId="196D41D7"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（1）支持选择不同的脑电指标进行平均值、最大值、最小值进行统计分析。</w:t>
            </w:r>
          </w:p>
          <w:p w14:paraId="0F838733"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43E66032"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（3）支持统计分析结果以表格和柱状图形式展示。</w:t>
            </w:r>
          </w:p>
        </w:tc>
      </w:tr>
      <w:tr w:rsidR="005A4120" w:rsidRPr="005A4120" w14:paraId="20B64295" w14:textId="77777777" w:rsidTr="0078602A">
        <w:trPr>
          <w:trHeight w:val="1278"/>
        </w:trPr>
        <w:tc>
          <w:tcPr>
            <w:tcW w:w="357" w:type="pct"/>
            <w:vMerge/>
            <w:tcBorders>
              <w:left w:val="single" w:sz="4" w:space="0" w:color="000000"/>
              <w:right w:val="single" w:sz="4" w:space="0" w:color="000000"/>
            </w:tcBorders>
            <w:noWrap/>
            <w:vAlign w:val="center"/>
          </w:tcPr>
          <w:p w14:paraId="783E82CB"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112CA2F4"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78743232"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color w:val="000000"/>
                <w:kern w:val="0"/>
                <w:sz w:val="21"/>
                <w:szCs w:val="21"/>
                <w14:ligatures w14:val="none"/>
              </w:rPr>
            </w:pPr>
            <w:r w:rsidRPr="005A4120">
              <w:rPr>
                <w:rFonts w:ascii="宋体" w:eastAsia="宋体" w:hAnsi="宋体" w:cs="仿宋" w:hint="eastAsia"/>
                <w:kern w:val="0"/>
                <w:sz w:val="21"/>
                <w:szCs w:val="21"/>
                <w14:ligatures w14:val="none"/>
              </w:rPr>
              <w:t>4.6、</w:t>
            </w:r>
            <w:r w:rsidRPr="005A4120">
              <w:rPr>
                <w:rFonts w:ascii="宋体" w:eastAsia="宋体" w:hAnsi="宋体" w:cs="仿宋" w:hint="eastAsia"/>
                <w:color w:val="000000"/>
                <w:kern w:val="0"/>
                <w:sz w:val="21"/>
                <w:szCs w:val="21"/>
                <w14:ligatures w14:val="none"/>
              </w:rPr>
              <w:t>单个病人历史对比分析</w:t>
            </w:r>
          </w:p>
          <w:p w14:paraId="1CB693EA"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4.6.1、支持查询单个病人之前的脑电数据记录</w:t>
            </w:r>
          </w:p>
          <w:p w14:paraId="23553347"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（1）支持选择不同的脑电指标（如频带能量分布的频段相对功率比指标、睁眼状态电极层面各频带功率谱中的指标、闭眼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频段功率谱指标、</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区平均连接强度的指标等）进行统计分析。</w:t>
            </w:r>
          </w:p>
          <w:p w14:paraId="169CF846"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（2）支持输入住院号/门诊号、姓名搜索患者进行统计分析。</w:t>
            </w:r>
          </w:p>
          <w:p w14:paraId="1EED41D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（3）支持脑电指标型别与脑电指标</w:t>
            </w:r>
            <w:proofErr w:type="gramStart"/>
            <w:r w:rsidRPr="005A4120">
              <w:rPr>
                <w:rFonts w:ascii="宋体" w:eastAsia="宋体" w:hAnsi="宋体" w:cs="仿宋" w:hint="eastAsia"/>
                <w:kern w:val="0"/>
                <w:sz w:val="21"/>
                <w:szCs w:val="21"/>
                <w14:ligatures w14:val="none"/>
              </w:rPr>
              <w:t>参数级查询</w:t>
            </w:r>
            <w:proofErr w:type="gramEnd"/>
            <w:r w:rsidRPr="005A4120">
              <w:rPr>
                <w:rFonts w:ascii="宋体" w:eastAsia="宋体" w:hAnsi="宋体" w:cs="仿宋" w:hint="eastAsia"/>
                <w:kern w:val="0"/>
                <w:sz w:val="21"/>
                <w:szCs w:val="21"/>
                <w14:ligatures w14:val="none"/>
              </w:rPr>
              <w:t>。</w:t>
            </w:r>
          </w:p>
          <w:p w14:paraId="0F048A1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（4）支持输</w:t>
            </w:r>
            <w:proofErr w:type="gramStart"/>
            <w:r w:rsidRPr="005A4120">
              <w:rPr>
                <w:rFonts w:ascii="宋体" w:eastAsia="宋体" w:hAnsi="宋体" w:cs="仿宋" w:hint="eastAsia"/>
                <w:kern w:val="0"/>
                <w:sz w:val="21"/>
                <w:szCs w:val="21"/>
                <w14:ligatures w14:val="none"/>
              </w:rPr>
              <w:t>入脑电</w:t>
            </w:r>
            <w:proofErr w:type="gramEnd"/>
            <w:r w:rsidRPr="005A4120">
              <w:rPr>
                <w:rFonts w:ascii="宋体" w:eastAsia="宋体" w:hAnsi="宋体" w:cs="仿宋" w:hint="eastAsia"/>
                <w:kern w:val="0"/>
                <w:sz w:val="21"/>
                <w:szCs w:val="21"/>
                <w14:ligatures w14:val="none"/>
              </w:rPr>
              <w:t>指标参数搜索患者进行统计分析。</w:t>
            </w:r>
          </w:p>
          <w:p w14:paraId="3C33314F"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4.6.2、对比当前数据与之前数据的变化次数及变化趋势呈现，帮助医生观察病情发展</w:t>
            </w:r>
          </w:p>
          <w:p w14:paraId="12F77513"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▲（1）支持对选中患者当前数据与之前数据的变化次数及变化趋势对比。</w:t>
            </w:r>
          </w:p>
          <w:p w14:paraId="3A53176B" w14:textId="77777777" w:rsidR="005A4120" w:rsidRPr="005A4120" w:rsidRDefault="005A4120" w:rsidP="005A4120">
            <w:pPr>
              <w:widowControl/>
              <w:spacing w:after="0" w:line="360" w:lineRule="auto"/>
              <w:ind w:firstLineChars="100" w:firstLine="210"/>
              <w:textAlignment w:val="center"/>
              <w:rPr>
                <w:rFonts w:ascii="Calibri" w:eastAsia="宋体" w:hAnsi="Calibri" w:cs="Times New Roman" w:hint="eastAsia"/>
                <w:sz w:val="21"/>
                <w14:ligatures w14:val="none"/>
              </w:rPr>
            </w:pPr>
            <w:r w:rsidRPr="005A4120">
              <w:rPr>
                <w:rFonts w:ascii="宋体" w:eastAsia="宋体" w:hAnsi="宋体" w:cs="仿宋" w:hint="eastAsia"/>
                <w:kern w:val="0"/>
                <w:sz w:val="21"/>
                <w:szCs w:val="21"/>
                <w14:ligatures w14:val="none"/>
              </w:rPr>
              <w:t>（2）支持统计分析结果以表格和以折线图形式展示。</w:t>
            </w:r>
          </w:p>
        </w:tc>
      </w:tr>
      <w:tr w:rsidR="005A4120" w:rsidRPr="005A4120" w14:paraId="38254652" w14:textId="77777777" w:rsidTr="0078602A">
        <w:trPr>
          <w:trHeight w:val="1052"/>
        </w:trPr>
        <w:tc>
          <w:tcPr>
            <w:tcW w:w="357" w:type="pct"/>
            <w:vMerge/>
            <w:tcBorders>
              <w:left w:val="single" w:sz="4" w:space="0" w:color="000000"/>
              <w:right w:val="single" w:sz="4" w:space="0" w:color="000000"/>
            </w:tcBorders>
            <w:noWrap/>
            <w:vAlign w:val="center"/>
          </w:tcPr>
          <w:p w14:paraId="0B251863"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828" w:type="pct"/>
            <w:vMerge/>
            <w:tcBorders>
              <w:left w:val="single" w:sz="4" w:space="0" w:color="000000"/>
              <w:right w:val="single" w:sz="4" w:space="0" w:color="000000"/>
            </w:tcBorders>
            <w:noWrap/>
            <w:vAlign w:val="center"/>
          </w:tcPr>
          <w:p w14:paraId="292541AB" w14:textId="77777777" w:rsidR="005A4120" w:rsidRPr="005A4120" w:rsidRDefault="005A4120" w:rsidP="005A4120">
            <w:pPr>
              <w:widowControl/>
              <w:spacing w:after="0" w:line="360" w:lineRule="auto"/>
              <w:jc w:val="center"/>
              <w:textAlignment w:val="center"/>
              <w:rPr>
                <w:rFonts w:ascii="宋体" w:eastAsia="宋体" w:hAnsi="宋体" w:cs="仿宋" w:hint="eastAsia"/>
                <w:kern w:val="0"/>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1554FD5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4.7、数据导出</w:t>
            </w:r>
          </w:p>
          <w:p w14:paraId="78879944"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4.7.1、支持多维报表导出</w:t>
            </w:r>
          </w:p>
          <w:p w14:paraId="050FBB6B"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（1）支持对数据分组与统计、病人数据对比分析的报表导出。</w:t>
            </w:r>
          </w:p>
          <w:p w14:paraId="4795B92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4.7.2、支持对病人的数据确保数据安全</w:t>
            </w:r>
          </w:p>
          <w:p w14:paraId="55EC2F3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（1）支持对用户角色（如管理员、临床医生、研究人员等）设置不同的数据导出权限，确保数据安全。</w:t>
            </w:r>
          </w:p>
          <w:p w14:paraId="60DBE6A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4.7.3、支持将分析后的数据导出为常见格式</w:t>
            </w:r>
          </w:p>
          <w:p w14:paraId="6F2BC1A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（1）支持将分析后的数据导出为常见格式，如 Excel、CSV、PDF 等。</w:t>
            </w:r>
          </w:p>
          <w:p w14:paraId="7CB0CD40"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4.7.4、支持导出的数据文件中有安全标识</w:t>
            </w:r>
          </w:p>
          <w:p w14:paraId="25BF0943"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（1）支持导出的数据文件中添加安全标识，标识内容应包含数据来源、导出时间、保密级别等关键信息。</w:t>
            </w:r>
          </w:p>
          <w:p w14:paraId="2CD3104E"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4.7.5、支持确保数据在导出后可追溯且安全可靠，防止数据被非法使用或传播</w:t>
            </w:r>
          </w:p>
        </w:tc>
      </w:tr>
      <w:tr w:rsidR="005A4120" w:rsidRPr="005A4120" w14:paraId="399B47EC" w14:textId="77777777" w:rsidTr="0078602A">
        <w:trPr>
          <w:trHeight w:val="481"/>
        </w:trPr>
        <w:tc>
          <w:tcPr>
            <w:tcW w:w="357" w:type="pct"/>
            <w:vMerge w:val="restart"/>
            <w:tcBorders>
              <w:top w:val="single" w:sz="4" w:space="0" w:color="000000"/>
              <w:left w:val="single" w:sz="4" w:space="0" w:color="000000"/>
              <w:right w:val="single" w:sz="4" w:space="0" w:color="000000"/>
            </w:tcBorders>
            <w:noWrap/>
            <w:vAlign w:val="center"/>
          </w:tcPr>
          <w:p w14:paraId="0907844B"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r w:rsidRPr="005A4120">
              <w:rPr>
                <w:rFonts w:ascii="宋体" w:eastAsia="宋体" w:hAnsi="宋体" w:cs="仿宋" w:hint="eastAsia"/>
                <w:sz w:val="21"/>
                <w:szCs w:val="21"/>
                <w14:ligatures w14:val="none"/>
              </w:rPr>
              <w:t>5</w:t>
            </w:r>
          </w:p>
        </w:tc>
        <w:tc>
          <w:tcPr>
            <w:tcW w:w="828" w:type="pct"/>
            <w:vMerge w:val="restart"/>
            <w:tcBorders>
              <w:top w:val="single" w:sz="4" w:space="0" w:color="000000"/>
              <w:left w:val="single" w:sz="4" w:space="0" w:color="000000"/>
              <w:right w:val="single" w:sz="4" w:space="0" w:color="000000"/>
            </w:tcBorders>
            <w:noWrap/>
            <w:vAlign w:val="center"/>
          </w:tcPr>
          <w:p w14:paraId="006AF62F"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r w:rsidRPr="005A4120">
              <w:rPr>
                <w:rFonts w:ascii="宋体" w:eastAsia="宋体" w:hAnsi="宋体" w:cs="仿宋" w:hint="eastAsia"/>
                <w:sz w:val="21"/>
                <w:szCs w:val="21"/>
                <w14:ligatures w14:val="none"/>
              </w:rPr>
              <w:t>数据处理功能</w:t>
            </w:r>
          </w:p>
        </w:tc>
        <w:tc>
          <w:tcPr>
            <w:tcW w:w="3815" w:type="pct"/>
            <w:tcBorders>
              <w:top w:val="single" w:sz="4" w:space="0" w:color="000000"/>
              <w:left w:val="single" w:sz="4" w:space="0" w:color="000000"/>
              <w:bottom w:val="single" w:sz="4" w:space="0" w:color="000000"/>
              <w:right w:val="single" w:sz="4" w:space="0" w:color="000000"/>
            </w:tcBorders>
            <w:vAlign w:val="center"/>
          </w:tcPr>
          <w:p w14:paraId="227320C0"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5.1、数据库升级与国际化适配</w:t>
            </w:r>
          </w:p>
          <w:p w14:paraId="35BC17A8"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5.1.1、支持对现有数据库架构优化</w:t>
            </w:r>
          </w:p>
          <w:p w14:paraId="0BE445F7"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（1）支持对现有数据库架构优化，提升系统性能，确保能稳定支持大规模数据的存储与管理，满足未来数据量增长需求。优化数据库底层架构，减少数据读写延迟，提高并发处理能力。</w:t>
            </w:r>
          </w:p>
          <w:p w14:paraId="4F5CB9E5"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5.1.2、支持数据存储扩展</w:t>
            </w:r>
          </w:p>
          <w:p w14:paraId="335463A1"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1）支持数据存储扩展，针对高密度脑电数据，设计优化的存储结构。采用先进的数据压缩算法，在保证数据质量的前提下，提高数据压缩比，减少存储空间占用。同时，优化数据检索算法，实现高效的数据查询与获取。</w:t>
            </w:r>
          </w:p>
          <w:p w14:paraId="477EDE5F"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5.1.3、支持国际标准兼容性</w:t>
            </w:r>
          </w:p>
          <w:p w14:paraId="6925B5E8"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（1）支持国际标准兼容性，全面兼容 BIDS（EEG-BIDS）、EDF+、HDF5 等国际通用数据格式。确保数据在导入、存储和导出过程中严格遵循相关标准，便于数据在国际科研领域的共享与交流。</w:t>
            </w:r>
          </w:p>
          <w:p w14:paraId="66C0657D"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5.1.4、支持数据安全与合</w:t>
            </w:r>
            <w:proofErr w:type="gramStart"/>
            <w:r w:rsidRPr="005A4120">
              <w:rPr>
                <w:rFonts w:ascii="宋体" w:eastAsia="宋体" w:hAnsi="宋体" w:cs="仿宋" w:hint="eastAsia"/>
                <w:kern w:val="0"/>
                <w:sz w:val="21"/>
                <w:szCs w:val="21"/>
                <w14:ligatures w14:val="none"/>
              </w:rPr>
              <w:t>规</w:t>
            </w:r>
            <w:proofErr w:type="gramEnd"/>
            <w:r w:rsidRPr="005A4120">
              <w:rPr>
                <w:rFonts w:ascii="宋体" w:eastAsia="宋体" w:hAnsi="宋体" w:cs="仿宋" w:hint="eastAsia"/>
                <w:kern w:val="0"/>
                <w:sz w:val="21"/>
                <w:szCs w:val="21"/>
                <w14:ligatures w14:val="none"/>
              </w:rPr>
              <w:t>升级</w:t>
            </w:r>
          </w:p>
          <w:p w14:paraId="7E024EF0"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▲（1）支持数据安全与合</w:t>
            </w:r>
            <w:proofErr w:type="gramStart"/>
            <w:r w:rsidRPr="005A4120">
              <w:rPr>
                <w:rFonts w:ascii="宋体" w:eastAsia="宋体" w:hAnsi="宋体" w:cs="仿宋" w:hint="eastAsia"/>
                <w:kern w:val="0"/>
                <w:sz w:val="21"/>
                <w:szCs w:val="21"/>
                <w14:ligatures w14:val="none"/>
              </w:rPr>
              <w:t>规</w:t>
            </w:r>
            <w:proofErr w:type="gramEnd"/>
            <w:r w:rsidRPr="005A4120">
              <w:rPr>
                <w:rFonts w:ascii="宋体" w:eastAsia="宋体" w:hAnsi="宋体" w:cs="仿宋" w:hint="eastAsia"/>
                <w:kern w:val="0"/>
                <w:sz w:val="21"/>
                <w:szCs w:val="21"/>
                <w14:ligatures w14:val="none"/>
              </w:rPr>
              <w:t>升级，严格遵循 GDPR、HIPAA 等国际数据安全法规要求。强化数据访问权限控制，采用多因素身份验证机制，细化用户权限粒度，确保不同用户只能访问其被授权的数据。完善隐私保护机制，对敏感数据进行加密存储与传输。</w:t>
            </w:r>
          </w:p>
        </w:tc>
      </w:tr>
      <w:tr w:rsidR="005A4120" w:rsidRPr="005A4120" w14:paraId="6C53EC82" w14:textId="77777777" w:rsidTr="0078602A">
        <w:trPr>
          <w:trHeight w:val="481"/>
        </w:trPr>
        <w:tc>
          <w:tcPr>
            <w:tcW w:w="357" w:type="pct"/>
            <w:vMerge/>
            <w:tcBorders>
              <w:left w:val="single" w:sz="4" w:space="0" w:color="000000"/>
              <w:right w:val="single" w:sz="4" w:space="0" w:color="000000"/>
            </w:tcBorders>
            <w:noWrap/>
            <w:vAlign w:val="center"/>
          </w:tcPr>
          <w:p w14:paraId="1522F098"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right w:val="single" w:sz="4" w:space="0" w:color="000000"/>
            </w:tcBorders>
            <w:noWrap/>
            <w:vAlign w:val="center"/>
          </w:tcPr>
          <w:p w14:paraId="7874B21C"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2FE1D389"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5.2、数据共享与分布式访问支持</w:t>
            </w:r>
          </w:p>
          <w:p w14:paraId="057CEFE3"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5.2.1、支持跨机构数据共享接口</w:t>
            </w:r>
          </w:p>
          <w:p w14:paraId="250B8506"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▲（1）支持跨机构数据共享接口，提供基于 RESTful API、FHIR 等协议的标准接口，实现与国内外科研机构的数据互操作性。接口应具备良好的扩展性和稳定性，支持多种数据格式的传输与交互。</w:t>
            </w:r>
          </w:p>
          <w:p w14:paraId="45FAFB70"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5.2.2、支持云端与本地协同存储</w:t>
            </w:r>
          </w:p>
          <w:p w14:paraId="488CE3BC"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▲（1）支持云端与本地协同存储，构建混合云架构，实现本地服务器与云端存储的协同工作。支持数据在本地和云端之间的灵活迁移与同步，提升数据共享与访问效率，确保数据的安全性和可靠性。</w:t>
            </w:r>
          </w:p>
          <w:p w14:paraId="60097A49"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5.2.3、支持远程访问与权限管理</w:t>
            </w:r>
          </w:p>
          <w:p w14:paraId="66A53E4D"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1）支持远程访问与权限管理，开发基于角色的访问控制（RBAC）系统，根据用户角色（如管理员、科研人员、访客等）配置不同级别的访问权限。支持远程访问功能，确保用户在不同网络环境下都能安全、便捷地访问数据库。</w:t>
            </w:r>
          </w:p>
        </w:tc>
      </w:tr>
      <w:tr w:rsidR="005A4120" w:rsidRPr="005A4120" w14:paraId="45840892" w14:textId="77777777" w:rsidTr="0078602A">
        <w:trPr>
          <w:trHeight w:val="481"/>
        </w:trPr>
        <w:tc>
          <w:tcPr>
            <w:tcW w:w="357" w:type="pct"/>
            <w:vMerge/>
            <w:tcBorders>
              <w:left w:val="single" w:sz="4" w:space="0" w:color="000000"/>
              <w:right w:val="single" w:sz="4" w:space="0" w:color="000000"/>
            </w:tcBorders>
            <w:noWrap/>
            <w:vAlign w:val="center"/>
          </w:tcPr>
          <w:p w14:paraId="6AA51D94"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right w:val="single" w:sz="4" w:space="0" w:color="000000"/>
            </w:tcBorders>
            <w:noWrap/>
            <w:vAlign w:val="center"/>
          </w:tcPr>
          <w:p w14:paraId="5B6C9566"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6FAC53B3"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5.3、高级数据处理与分析功能</w:t>
            </w:r>
          </w:p>
          <w:p w14:paraId="4113FE93"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5.3.1、支持智能标注与标签系统</w:t>
            </w:r>
          </w:p>
          <w:p w14:paraId="371A33AE"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（1）支持智能标注与标签系统，结合临床诊断信息、神经影像数据和脑电特征，构建智能化的数据标签体系。支持用户手动标注数据，并提供自动标注建议，提高标注效率和准确性。</w:t>
            </w:r>
          </w:p>
          <w:p w14:paraId="033D71BB"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5.3.2、支持机器学习与 AI 分析</w:t>
            </w:r>
          </w:p>
          <w:p w14:paraId="6740CC67"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（1）支持预构建深度学习和传统机器学习模型，包括但不限于卷积神经网络（CNN）、循环神经网络（RNN）、支持向量机（SVM）等。模型应能够对脑电数据进行疾病分类与预测，为科研人员提供辅助诊断支持。</w:t>
            </w:r>
          </w:p>
          <w:p w14:paraId="3BEE7179"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（2）支持开发基于脑电信号的异常检测算法，实时监测数据质量，及时发现并标记异常数据，提高数据质量控制能力。</w:t>
            </w:r>
          </w:p>
        </w:tc>
      </w:tr>
      <w:tr w:rsidR="005A4120" w:rsidRPr="005A4120" w14:paraId="5010433A" w14:textId="77777777" w:rsidTr="0078602A">
        <w:trPr>
          <w:trHeight w:val="481"/>
        </w:trPr>
        <w:tc>
          <w:tcPr>
            <w:tcW w:w="357" w:type="pct"/>
            <w:vMerge/>
            <w:tcBorders>
              <w:left w:val="single" w:sz="4" w:space="0" w:color="000000"/>
              <w:bottom w:val="single" w:sz="4" w:space="0" w:color="000000"/>
              <w:right w:val="single" w:sz="4" w:space="0" w:color="000000"/>
            </w:tcBorders>
            <w:noWrap/>
            <w:vAlign w:val="center"/>
          </w:tcPr>
          <w:p w14:paraId="7549AC2B"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bottom w:val="single" w:sz="4" w:space="0" w:color="000000"/>
              <w:right w:val="single" w:sz="4" w:space="0" w:color="000000"/>
            </w:tcBorders>
            <w:noWrap/>
            <w:vAlign w:val="center"/>
          </w:tcPr>
          <w:p w14:paraId="265ED360"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1EDFD721"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5.4、支持脑电数据显示</w:t>
            </w:r>
          </w:p>
          <w:p w14:paraId="0C4CCAE2"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5.4.1、支持用户培训与文档</w:t>
            </w:r>
          </w:p>
          <w:p w14:paraId="790FF4EC"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（1）提供详细的 API 文档、用户手册和操作培训资料。通过线上线下相结合的方式，为用户提供全面的培训服务，帮助用户快速掌握系统的使用方法。</w:t>
            </w:r>
          </w:p>
          <w:p w14:paraId="7434041B"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集成脑电系统患者EEG记录的脑电数据指标通过API接口提供给别的系统调用。包括以下：1.频带能量分布的频段相对功率比API接口；2.睁眼状态电极层面各频带功率谱中的Theta/Beta比值(TBR)、Theta/Alpha比值(TAR)指标接口；3.闭眼</w:t>
            </w:r>
            <w:proofErr w:type="gramStart"/>
            <w:r w:rsidRPr="005A4120">
              <w:rPr>
                <w:rFonts w:ascii="宋体" w:eastAsia="宋体" w:hAnsi="宋体" w:cs="仿宋" w:hint="eastAsia"/>
                <w:kern w:val="0"/>
                <w:sz w:val="21"/>
                <w:szCs w:val="21"/>
                <w14:ligatures w14:val="none"/>
              </w:rPr>
              <w:t>状态源层各</w:t>
            </w:r>
            <w:proofErr w:type="gramEnd"/>
            <w:r w:rsidRPr="005A4120">
              <w:rPr>
                <w:rFonts w:ascii="宋体" w:eastAsia="宋体" w:hAnsi="宋体" w:cs="仿宋" w:hint="eastAsia"/>
                <w:kern w:val="0"/>
                <w:sz w:val="21"/>
                <w:szCs w:val="21"/>
                <w14:ligatures w14:val="none"/>
              </w:rPr>
              <w:t>频段功率谱接口；4.</w:t>
            </w:r>
            <w:proofErr w:type="gramStart"/>
            <w:r w:rsidRPr="005A4120">
              <w:rPr>
                <w:rFonts w:ascii="宋体" w:eastAsia="宋体" w:hAnsi="宋体" w:cs="仿宋" w:hint="eastAsia"/>
                <w:kern w:val="0"/>
                <w:sz w:val="21"/>
                <w:szCs w:val="21"/>
                <w14:ligatures w14:val="none"/>
              </w:rPr>
              <w:t>各脑区</w:t>
            </w:r>
            <w:proofErr w:type="gramEnd"/>
            <w:r w:rsidRPr="005A4120">
              <w:rPr>
                <w:rFonts w:ascii="宋体" w:eastAsia="宋体" w:hAnsi="宋体" w:cs="仿宋" w:hint="eastAsia"/>
                <w:kern w:val="0"/>
                <w:sz w:val="21"/>
                <w:szCs w:val="21"/>
                <w14:ligatures w14:val="none"/>
              </w:rPr>
              <w:t>与全</w:t>
            </w:r>
            <w:proofErr w:type="gramStart"/>
            <w:r w:rsidRPr="005A4120">
              <w:rPr>
                <w:rFonts w:ascii="宋体" w:eastAsia="宋体" w:hAnsi="宋体" w:cs="仿宋" w:hint="eastAsia"/>
                <w:kern w:val="0"/>
                <w:sz w:val="21"/>
                <w:szCs w:val="21"/>
                <w14:ligatures w14:val="none"/>
              </w:rPr>
              <w:t>脑其它脑</w:t>
            </w:r>
            <w:proofErr w:type="gramEnd"/>
            <w:r w:rsidRPr="005A4120">
              <w:rPr>
                <w:rFonts w:ascii="宋体" w:eastAsia="宋体" w:hAnsi="宋体" w:cs="仿宋" w:hint="eastAsia"/>
                <w:kern w:val="0"/>
                <w:sz w:val="21"/>
                <w:szCs w:val="21"/>
                <w14:ligatures w14:val="none"/>
              </w:rPr>
              <w:t>区平均连接强度接口。</w:t>
            </w:r>
          </w:p>
          <w:p w14:paraId="0A8E821D" w14:textId="77777777" w:rsidR="005A4120" w:rsidRPr="005A4120" w:rsidRDefault="005A4120" w:rsidP="005A4120">
            <w:pPr>
              <w:widowControl/>
              <w:tabs>
                <w:tab w:val="left" w:pos="1304"/>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5.4.2、支持平台稳定性优化</w:t>
            </w:r>
          </w:p>
          <w:p w14:paraId="18224138"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（1）支持建立定期维护与升级机制，对系统进行性能监测和优化。确保系统在高并发访问情况下的稳定性和可靠性，保障数据安全。</w:t>
            </w:r>
          </w:p>
          <w:p w14:paraId="752CBB09" w14:textId="77777777" w:rsidR="005A4120" w:rsidRPr="005A4120" w:rsidRDefault="005A4120" w:rsidP="005A4120">
            <w:pPr>
              <w:widowControl/>
              <w:tabs>
                <w:tab w:val="left" w:pos="1304"/>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（2）支持建立问题追踪系统，及时收集和处理用户反馈的问题。提供长期的运</w:t>
            </w:r>
            <w:proofErr w:type="gramStart"/>
            <w:r w:rsidRPr="005A4120">
              <w:rPr>
                <w:rFonts w:ascii="宋体" w:eastAsia="宋体" w:hAnsi="宋体" w:cs="仿宋" w:hint="eastAsia"/>
                <w:kern w:val="0"/>
                <w:sz w:val="21"/>
                <w:szCs w:val="21"/>
                <w14:ligatures w14:val="none"/>
              </w:rPr>
              <w:t>维保障</w:t>
            </w:r>
            <w:proofErr w:type="gramEnd"/>
            <w:r w:rsidRPr="005A4120">
              <w:rPr>
                <w:rFonts w:ascii="宋体" w:eastAsia="宋体" w:hAnsi="宋体" w:cs="仿宋" w:hint="eastAsia"/>
                <w:kern w:val="0"/>
                <w:sz w:val="21"/>
                <w:szCs w:val="21"/>
                <w14:ligatures w14:val="none"/>
              </w:rPr>
              <w:t>服务，确保系统的持续稳定运行。</w:t>
            </w:r>
          </w:p>
        </w:tc>
      </w:tr>
      <w:tr w:rsidR="005A4120" w:rsidRPr="005A4120" w14:paraId="570628D0" w14:textId="77777777" w:rsidTr="0078602A">
        <w:trPr>
          <w:trHeight w:val="481"/>
        </w:trPr>
        <w:tc>
          <w:tcPr>
            <w:tcW w:w="357" w:type="pct"/>
            <w:vMerge w:val="restart"/>
            <w:tcBorders>
              <w:top w:val="single" w:sz="4" w:space="0" w:color="000000"/>
              <w:left w:val="single" w:sz="4" w:space="0" w:color="000000"/>
              <w:right w:val="single" w:sz="4" w:space="0" w:color="000000"/>
            </w:tcBorders>
            <w:noWrap/>
            <w:vAlign w:val="center"/>
          </w:tcPr>
          <w:p w14:paraId="1AEFE4C2"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r w:rsidRPr="005A4120">
              <w:rPr>
                <w:rFonts w:ascii="宋体" w:eastAsia="宋体" w:hAnsi="宋体" w:cs="仿宋" w:hint="eastAsia"/>
                <w:sz w:val="21"/>
                <w:szCs w:val="21"/>
                <w14:ligatures w14:val="none"/>
              </w:rPr>
              <w:lastRenderedPageBreak/>
              <w:t>6</w:t>
            </w:r>
          </w:p>
        </w:tc>
        <w:tc>
          <w:tcPr>
            <w:tcW w:w="828" w:type="pct"/>
            <w:vMerge w:val="restart"/>
            <w:tcBorders>
              <w:top w:val="single" w:sz="4" w:space="0" w:color="000000"/>
              <w:left w:val="single" w:sz="4" w:space="0" w:color="000000"/>
              <w:right w:val="single" w:sz="4" w:space="0" w:color="000000"/>
            </w:tcBorders>
            <w:noWrap/>
            <w:vAlign w:val="center"/>
          </w:tcPr>
          <w:p w14:paraId="0027B468"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r w:rsidRPr="005A4120">
              <w:rPr>
                <w:rFonts w:ascii="宋体" w:eastAsia="宋体" w:hAnsi="宋体" w:cs="仿宋" w:hint="eastAsia"/>
                <w:sz w:val="21"/>
                <w:szCs w:val="21"/>
                <w14:ligatures w14:val="none"/>
              </w:rPr>
              <w:t>非功能需求</w:t>
            </w:r>
          </w:p>
        </w:tc>
        <w:tc>
          <w:tcPr>
            <w:tcW w:w="3815" w:type="pct"/>
            <w:tcBorders>
              <w:top w:val="single" w:sz="4" w:space="0" w:color="000000"/>
              <w:left w:val="single" w:sz="4" w:space="0" w:color="000000"/>
              <w:bottom w:val="single" w:sz="4" w:space="0" w:color="000000"/>
              <w:right w:val="single" w:sz="4" w:space="0" w:color="000000"/>
            </w:tcBorders>
            <w:vAlign w:val="center"/>
          </w:tcPr>
          <w:p w14:paraId="0E40A9AA"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6.1、性能需求</w:t>
            </w:r>
          </w:p>
          <w:p w14:paraId="61B994DB"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6.1.1、支持数据查询、分析、导出等操作应能快速响应</w:t>
            </w:r>
          </w:p>
          <w:p w14:paraId="27908350"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（1）支持数据查询、分析、导出等操作应能快速响应，确保在大量数据情况下，各项分析操作的响应时间控制在可接受范围内，如一般查询不超过3秒，复杂统计不超过10秒。</w:t>
            </w:r>
          </w:p>
          <w:p w14:paraId="6E0A5360"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6.1.2、支持数据质量符合临床研究标准</w:t>
            </w:r>
          </w:p>
          <w:p w14:paraId="1D2D7660"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（1）支持对录入的脑电数据进行质量检查，如数据</w:t>
            </w:r>
            <w:proofErr w:type="gramStart"/>
            <w:r w:rsidRPr="005A4120">
              <w:rPr>
                <w:rFonts w:ascii="宋体" w:eastAsia="宋体" w:hAnsi="宋体" w:cs="仿宋" w:hint="eastAsia"/>
                <w:kern w:val="0"/>
                <w:sz w:val="21"/>
                <w:szCs w:val="21"/>
                <w14:ligatures w14:val="none"/>
              </w:rPr>
              <w:t>缺失值</w:t>
            </w:r>
            <w:proofErr w:type="gramEnd"/>
            <w:r w:rsidRPr="005A4120">
              <w:rPr>
                <w:rFonts w:ascii="宋体" w:eastAsia="宋体" w:hAnsi="宋体" w:cs="仿宋" w:hint="eastAsia"/>
                <w:kern w:val="0"/>
                <w:sz w:val="21"/>
                <w:szCs w:val="21"/>
                <w14:ligatures w14:val="none"/>
              </w:rPr>
              <w:t>处理、异常值检测等，保证数据质量符合临床研究标准。</w:t>
            </w:r>
          </w:p>
          <w:p w14:paraId="7422F4F3"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6.1.3、支持数据备份与恢复</w:t>
            </w:r>
          </w:p>
          <w:p w14:paraId="7C1BF154"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（1）支持定期备份数据库，备份频率为每天一次全量备份，每周一次异地存储。具备数据恢复功能，确保在数据丢失或损坏时能够快速恢复数据。</w:t>
            </w:r>
          </w:p>
        </w:tc>
      </w:tr>
      <w:tr w:rsidR="005A4120" w:rsidRPr="005A4120" w14:paraId="21B8724C" w14:textId="77777777" w:rsidTr="0078602A">
        <w:trPr>
          <w:trHeight w:val="481"/>
        </w:trPr>
        <w:tc>
          <w:tcPr>
            <w:tcW w:w="357" w:type="pct"/>
            <w:vMerge/>
            <w:tcBorders>
              <w:left w:val="single" w:sz="4" w:space="0" w:color="000000"/>
              <w:right w:val="single" w:sz="4" w:space="0" w:color="000000"/>
            </w:tcBorders>
            <w:noWrap/>
            <w:vAlign w:val="center"/>
          </w:tcPr>
          <w:p w14:paraId="225892CC"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right w:val="single" w:sz="4" w:space="0" w:color="000000"/>
            </w:tcBorders>
            <w:noWrap/>
            <w:vAlign w:val="center"/>
          </w:tcPr>
          <w:p w14:paraId="3B0470C7" w14:textId="77777777" w:rsidR="005A4120" w:rsidRPr="005A4120" w:rsidRDefault="005A4120" w:rsidP="005A4120">
            <w:pPr>
              <w:spacing w:after="0" w:line="360" w:lineRule="auto"/>
              <w:jc w:val="both"/>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346765E0"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6.2、全安需求</w:t>
            </w:r>
          </w:p>
          <w:p w14:paraId="7DBC0535"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（1）支持用户认证与授权。</w:t>
            </w:r>
          </w:p>
          <w:p w14:paraId="3120C35B"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（2）支持数据加密。</w:t>
            </w:r>
          </w:p>
          <w:p w14:paraId="50F352B3" w14:textId="77777777" w:rsidR="005A4120" w:rsidRPr="005A4120" w:rsidRDefault="005A4120" w:rsidP="005A4120">
            <w:pPr>
              <w:widowControl/>
              <w:tabs>
                <w:tab w:val="left" w:pos="1626"/>
              </w:tabs>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（3）支持安全审计。</w:t>
            </w:r>
          </w:p>
        </w:tc>
      </w:tr>
      <w:tr w:rsidR="005A4120" w:rsidRPr="005A4120" w14:paraId="2E641460" w14:textId="77777777" w:rsidTr="0078602A">
        <w:trPr>
          <w:trHeight w:val="481"/>
        </w:trPr>
        <w:tc>
          <w:tcPr>
            <w:tcW w:w="357" w:type="pct"/>
            <w:vMerge/>
            <w:tcBorders>
              <w:left w:val="single" w:sz="4" w:space="0" w:color="000000"/>
              <w:right w:val="single" w:sz="4" w:space="0" w:color="000000"/>
            </w:tcBorders>
            <w:noWrap/>
            <w:vAlign w:val="center"/>
          </w:tcPr>
          <w:p w14:paraId="3C059C36"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right w:val="single" w:sz="4" w:space="0" w:color="000000"/>
            </w:tcBorders>
            <w:noWrap/>
            <w:vAlign w:val="center"/>
          </w:tcPr>
          <w:p w14:paraId="3E468BD9"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336FE192" w14:textId="77777777" w:rsidR="005A4120" w:rsidRPr="005A4120" w:rsidRDefault="005A4120" w:rsidP="005A4120">
            <w:pPr>
              <w:widowControl/>
              <w:tabs>
                <w:tab w:val="left" w:pos="1626"/>
              </w:tabs>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6.3、可扩展性需求</w:t>
            </w:r>
          </w:p>
          <w:p w14:paraId="662D5A6E"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6.3.1、支持良好的扩展性</w:t>
            </w:r>
          </w:p>
          <w:p w14:paraId="74F3173B"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（1）支持随着数据量的增长，方便地进行硬件升级和系统优化，保证系统性能不受太大影响。</w:t>
            </w:r>
          </w:p>
          <w:p w14:paraId="2CCF3A81"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6.3.2、支持系统架构可扩展性</w:t>
            </w:r>
          </w:p>
          <w:p w14:paraId="25043B4F"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lastRenderedPageBreak/>
              <w:t>（2）支持系统架构应具备良好的可扩展性，能够方便地添加新功能模块和存储设备，以满足未来业务发展和数据增长的需求。</w:t>
            </w:r>
          </w:p>
        </w:tc>
      </w:tr>
      <w:tr w:rsidR="005A4120" w:rsidRPr="005A4120" w14:paraId="52F846C5" w14:textId="77777777" w:rsidTr="0078602A">
        <w:trPr>
          <w:trHeight w:val="481"/>
        </w:trPr>
        <w:tc>
          <w:tcPr>
            <w:tcW w:w="357" w:type="pct"/>
            <w:vMerge/>
            <w:tcBorders>
              <w:left w:val="single" w:sz="4" w:space="0" w:color="000000"/>
              <w:right w:val="single" w:sz="4" w:space="0" w:color="000000"/>
            </w:tcBorders>
            <w:noWrap/>
            <w:vAlign w:val="center"/>
          </w:tcPr>
          <w:p w14:paraId="506E7613"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right w:val="single" w:sz="4" w:space="0" w:color="000000"/>
            </w:tcBorders>
            <w:noWrap/>
            <w:vAlign w:val="center"/>
          </w:tcPr>
          <w:p w14:paraId="38B49084"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0218FB1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6.4、兼容性需求</w:t>
            </w:r>
          </w:p>
          <w:p w14:paraId="13653A62"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6.4.1、支持兼容主流操作系统</w:t>
            </w:r>
          </w:p>
          <w:p w14:paraId="2D7D8EB5"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（1）支持兼容主流操作系统，确保不同主流操作系统都能正常使用。</w:t>
            </w:r>
          </w:p>
          <w:p w14:paraId="44D87CB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6.4.2、支持兼容主流浏览器</w:t>
            </w:r>
          </w:p>
          <w:p w14:paraId="40352C7B"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（1）支持兼容主流浏览器，如Microsoft Edge、Chrome、Firefox、360浏览器，确保不同主流浏览器都能正常使用。</w:t>
            </w:r>
          </w:p>
        </w:tc>
      </w:tr>
      <w:tr w:rsidR="005A4120" w:rsidRPr="005A4120" w14:paraId="67465D26" w14:textId="77777777" w:rsidTr="0078602A">
        <w:trPr>
          <w:trHeight w:val="481"/>
        </w:trPr>
        <w:tc>
          <w:tcPr>
            <w:tcW w:w="357" w:type="pct"/>
            <w:vMerge/>
            <w:tcBorders>
              <w:left w:val="single" w:sz="4" w:space="0" w:color="000000"/>
              <w:bottom w:val="single" w:sz="4" w:space="0" w:color="000000"/>
              <w:right w:val="single" w:sz="4" w:space="0" w:color="000000"/>
            </w:tcBorders>
            <w:noWrap/>
            <w:vAlign w:val="center"/>
          </w:tcPr>
          <w:p w14:paraId="19BFD679"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828" w:type="pct"/>
            <w:vMerge/>
            <w:tcBorders>
              <w:left w:val="single" w:sz="4" w:space="0" w:color="000000"/>
              <w:bottom w:val="single" w:sz="4" w:space="0" w:color="000000"/>
              <w:right w:val="single" w:sz="4" w:space="0" w:color="000000"/>
            </w:tcBorders>
            <w:noWrap/>
            <w:vAlign w:val="center"/>
          </w:tcPr>
          <w:p w14:paraId="6F93B0CD" w14:textId="77777777" w:rsidR="005A4120" w:rsidRPr="005A4120" w:rsidRDefault="005A4120" w:rsidP="005A4120">
            <w:pPr>
              <w:spacing w:after="0" w:line="360" w:lineRule="auto"/>
              <w:jc w:val="center"/>
              <w:rPr>
                <w:rFonts w:ascii="宋体" w:eastAsia="宋体" w:hAnsi="宋体" w:cs="仿宋" w:hint="eastAsia"/>
                <w:sz w:val="21"/>
                <w:szCs w:val="21"/>
                <w14:ligatures w14:val="none"/>
              </w:rPr>
            </w:pPr>
          </w:p>
        </w:tc>
        <w:tc>
          <w:tcPr>
            <w:tcW w:w="3815" w:type="pct"/>
            <w:tcBorders>
              <w:top w:val="single" w:sz="4" w:space="0" w:color="000000"/>
              <w:left w:val="single" w:sz="4" w:space="0" w:color="000000"/>
              <w:bottom w:val="single" w:sz="4" w:space="0" w:color="000000"/>
              <w:right w:val="single" w:sz="4" w:space="0" w:color="000000"/>
            </w:tcBorders>
            <w:vAlign w:val="center"/>
          </w:tcPr>
          <w:p w14:paraId="0FF2A84E"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6.5、易用性</w:t>
            </w:r>
          </w:p>
          <w:p w14:paraId="6B2F6750"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6.5.1、支持操作界面简洁直观</w:t>
            </w:r>
          </w:p>
          <w:p w14:paraId="149B63FF"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（1）支持简洁明了的用户操作界面（UI风格），方便临床医师和科研人员快速上手使用。界面应提供清晰的导航栏和操作按钮，便于用户进行数据查询、分析、对比以及导出等操作。</w:t>
            </w:r>
          </w:p>
          <w:p w14:paraId="2857F1E6" w14:textId="77777777" w:rsidR="005A4120" w:rsidRPr="005A4120" w:rsidRDefault="005A4120" w:rsidP="005A4120">
            <w:pPr>
              <w:widowControl/>
              <w:spacing w:after="0" w:line="360" w:lineRule="auto"/>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6.5.2、支持可视化展示</w:t>
            </w:r>
          </w:p>
          <w:p w14:paraId="50E7CA3D" w14:textId="77777777" w:rsidR="005A4120" w:rsidRPr="005A4120" w:rsidRDefault="005A4120" w:rsidP="005A4120">
            <w:pPr>
              <w:widowControl/>
              <w:spacing w:after="0" w:line="360" w:lineRule="auto"/>
              <w:ind w:firstLineChars="100" w:firstLine="210"/>
              <w:textAlignment w:val="center"/>
              <w:rPr>
                <w:rFonts w:ascii="宋体" w:eastAsia="宋体" w:hAnsi="宋体" w:cs="仿宋" w:hint="eastAsia"/>
                <w:kern w:val="0"/>
                <w:sz w:val="21"/>
                <w:szCs w:val="21"/>
                <w14:ligatures w14:val="none"/>
              </w:rPr>
            </w:pPr>
            <w:r w:rsidRPr="005A4120">
              <w:rPr>
                <w:rFonts w:ascii="宋体" w:eastAsia="宋体" w:hAnsi="宋体" w:cs="仿宋" w:hint="eastAsia"/>
                <w:kern w:val="0"/>
                <w:sz w:val="21"/>
                <w:szCs w:val="21"/>
                <w14:ligatures w14:val="none"/>
              </w:rPr>
              <w:t>（1）支持将数据分组计算结果、病人对比分析结果以及次数对比结果等以直观的图表形式展示，如柱状图、折线图、散点图等，使用户能够更直观地理解数据之间的关系和变化趋势。同时，在可视化展示区域，明确标识数据的安全级别和相关注意事项。</w:t>
            </w:r>
          </w:p>
        </w:tc>
      </w:tr>
    </w:tbl>
    <w:bookmarkEnd w:id="1"/>
    <w:p w14:paraId="11707697" w14:textId="77777777" w:rsidR="005A4120" w:rsidRPr="005A4120" w:rsidRDefault="005A4120" w:rsidP="005A4120">
      <w:pPr>
        <w:widowControl/>
        <w:spacing w:after="0" w:line="360" w:lineRule="auto"/>
        <w:textAlignment w:val="center"/>
        <w:rPr>
          <w:rFonts w:ascii="Times New Roman" w:eastAsia="宋体" w:hAnsi="Times New Roman" w:cs="Times New Roman"/>
          <w:b/>
          <w:bCs/>
          <w:sz w:val="21"/>
          <w14:ligatures w14:val="none"/>
        </w:rPr>
      </w:pPr>
      <w:r w:rsidRPr="005A4120">
        <w:rPr>
          <w:rFonts w:ascii="Times New Roman" w:eastAsia="宋体" w:hAnsi="Times New Roman" w:cs="Times New Roman" w:hint="eastAsia"/>
          <w:b/>
          <w:bCs/>
          <w:sz w:val="21"/>
          <w14:ligatures w14:val="none"/>
        </w:rPr>
        <w:t>注意：技术指标涉及的每一小项单独</w:t>
      </w:r>
      <w:proofErr w:type="gramStart"/>
      <w:r w:rsidRPr="005A4120">
        <w:rPr>
          <w:rFonts w:ascii="Times New Roman" w:eastAsia="宋体" w:hAnsi="Times New Roman" w:cs="Times New Roman" w:hint="eastAsia"/>
          <w:b/>
          <w:bCs/>
          <w:sz w:val="21"/>
          <w14:ligatures w14:val="none"/>
        </w:rPr>
        <w:t>做为</w:t>
      </w:r>
      <w:proofErr w:type="gramEnd"/>
      <w:r w:rsidRPr="005A4120">
        <w:rPr>
          <w:rFonts w:ascii="Times New Roman" w:eastAsia="宋体" w:hAnsi="Times New Roman" w:cs="Times New Roman" w:hint="eastAsia"/>
          <w:b/>
          <w:bCs/>
          <w:sz w:val="21"/>
          <w14:ligatures w14:val="none"/>
        </w:rPr>
        <w:t>一项偏离指标</w:t>
      </w:r>
      <w:r w:rsidRPr="005A4120">
        <w:rPr>
          <w:rFonts w:ascii="Times New Roman" w:eastAsia="宋体" w:hAnsi="Times New Roman" w:cs="Times New Roman" w:hint="eastAsia"/>
          <w:sz w:val="21"/>
          <w14:ligatures w14:val="none"/>
        </w:rPr>
        <w:t>；例如</w:t>
      </w:r>
      <w:r w:rsidRPr="005A4120">
        <w:rPr>
          <w:rFonts w:ascii="宋体" w:eastAsia="宋体" w:hAnsi="宋体" w:cs="仿宋" w:hint="eastAsia"/>
          <w:kern w:val="0"/>
          <w:sz w:val="21"/>
          <w:szCs w:val="21"/>
          <w14:ligatures w14:val="none"/>
        </w:rPr>
        <w:t>1.1.2、支持各种图表显示：（1）支持波形图。（2）支持横向柱状图。（3）支持成分分布图。如三项参数均存在负偏离，则按照三项负偏离的数量计算得分</w:t>
      </w:r>
      <w:r w:rsidRPr="005A4120">
        <w:rPr>
          <w:rFonts w:ascii="Times New Roman" w:eastAsia="宋体" w:hAnsi="Times New Roman" w:cs="Times New Roman" w:hint="eastAsia"/>
          <w:b/>
          <w:bCs/>
          <w:sz w:val="21"/>
          <w14:ligatures w14:val="none"/>
        </w:rPr>
        <w:t>。</w:t>
      </w:r>
    </w:p>
    <w:p w14:paraId="22823508" w14:textId="77777777" w:rsidR="005A4120" w:rsidRPr="005A4120" w:rsidRDefault="005A4120" w:rsidP="005A4120">
      <w:pPr>
        <w:spacing w:after="0" w:line="360" w:lineRule="auto"/>
        <w:jc w:val="both"/>
        <w:rPr>
          <w:rFonts w:ascii="宋体" w:eastAsia="宋体" w:hAnsi="宋体" w:cs="Times New Roman" w:hint="eastAsia"/>
          <w:b/>
          <w:bCs/>
          <w:sz w:val="21"/>
          <w:szCs w:val="21"/>
          <w14:ligatures w14:val="none"/>
        </w:rPr>
      </w:pPr>
      <w:r w:rsidRPr="005A4120">
        <w:rPr>
          <w:rFonts w:ascii="宋体" w:eastAsia="宋体" w:hAnsi="宋体" w:cs="Times New Roman" w:hint="eastAsia"/>
          <w:b/>
          <w:bCs/>
          <w:sz w:val="21"/>
          <w:szCs w:val="21"/>
          <w14:ligatures w14:val="none"/>
        </w:rPr>
        <w:t>三、商务要求</w:t>
      </w:r>
    </w:p>
    <w:p w14:paraId="783933E4"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★1、项目完成期：在合同签订生效后60日历日内完成系统升级建设。</w:t>
      </w:r>
    </w:p>
    <w:p w14:paraId="4588B6AD"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sz w:val="21"/>
          <w:szCs w:val="21"/>
          <w14:ligatures w14:val="none"/>
        </w:rPr>
      </w:pPr>
      <w:r w:rsidRPr="005A4120">
        <w:rPr>
          <w:rFonts w:ascii="宋体" w:eastAsia="宋体" w:hAnsi="宋体" w:cs="Times New Roman" w:hint="eastAsia"/>
          <w:sz w:val="21"/>
          <w:szCs w:val="21"/>
          <w14:ligatures w14:val="none"/>
        </w:rPr>
        <w:t>★2、项目服务地点：深圳市人民医院神经内科神经诊疗中心。</w:t>
      </w:r>
    </w:p>
    <w:p w14:paraId="28D4E6A3"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★3、成果移交：</w:t>
      </w:r>
    </w:p>
    <w:p w14:paraId="0AA0C240"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lastRenderedPageBreak/>
        <w:t>在本期项目的开发过程中和交付使用后，中标供应商应该将各个阶段产生的全面、规范的成果和文档资料交付给采购人，并且要提供明确的交付清单。交付的成果和文档资料必须符合软件工程的相关要求。交付内容主要包括以下部分：</w:t>
      </w:r>
    </w:p>
    <w:p w14:paraId="5448CC38"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3.1可运行的系统</w:t>
      </w:r>
    </w:p>
    <w:p w14:paraId="07CF5850"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3.2技术文档：包括项目开发中的各种技术文档，如源代码、开发环境配置说明、软件工具清单、需求分析、变更说明、系统UI设计、用户手册、系统维护说明、系统培训资料、试运行报告、数据字典文档、开放接口说明手册等。</w:t>
      </w:r>
    </w:p>
    <w:p w14:paraId="387BB1FB"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3.3管理文档：包括项目开发中的一些工作文档，如：计划、报告、讨论纲要、会议记录等。</w:t>
      </w:r>
    </w:p>
    <w:p w14:paraId="7C67B782"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4、培训要求：</w:t>
      </w:r>
    </w:p>
    <w:p w14:paraId="31F7E173"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4.1培训应贯穿于整个项目的实施过程中，包括在从项目准备、研发到项目运行的全过程中。</w:t>
      </w:r>
    </w:p>
    <w:p w14:paraId="0D90CFEC"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4.1.1成交供应商派出的培训教员应具有丰富的同类课程的教学经验和应用经验；所有的培训教员必须能够用中文授课。</w:t>
      </w:r>
    </w:p>
    <w:p w14:paraId="07854DBB"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4.1.2成交供应商必须为所有被培训人员提供培训用文字资料和讲义等相关材料；</w:t>
      </w:r>
    </w:p>
    <w:p w14:paraId="2003ACDE"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4.1.3提供服务期内不限次数和人数的免费培训服务。</w:t>
      </w:r>
    </w:p>
    <w:p w14:paraId="480B8163"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4.2 培训方式：包括课堂讲解、上机操作和实际工作参与。</w:t>
      </w:r>
    </w:p>
    <w:p w14:paraId="7C6F8A67"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4.3 培训工作内容和对象描述：中标供应商进行的培训工作包括了培训方案的设计、培训制度的制定、培训实施和培训效果评估，及时监控培训效果，保证培训课程符合我单位实际的需要。在系统运行（含试运行）的各个阶段相应的培训内容描述，培训安排包括：项目管理培训、系统管理培训、系统运行维护培训等。</w:t>
      </w:r>
    </w:p>
    <w:p w14:paraId="5E1D90A5"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★5、售后服务要求：</w:t>
      </w:r>
    </w:p>
    <w:p w14:paraId="2F42F444"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5.1 投标人对于项目实施及上线推广与运行提供技术人员现场驻场保障。</w:t>
      </w:r>
    </w:p>
    <w:p w14:paraId="36A1A4E1"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 供应商应承诺保证该项目稳定地运行，</w:t>
      </w:r>
      <w:r w:rsidRPr="005A4120">
        <w:rPr>
          <w:rFonts w:ascii="宋体" w:eastAsia="宋体" w:hAnsi="宋体" w:cs="Times New Roman" w:hint="eastAsia"/>
          <w:b/>
          <w:bCs/>
          <w:sz w:val="21"/>
          <w:szCs w:val="21"/>
          <w14:ligatures w14:val="none"/>
        </w:rPr>
        <w:t>并承诺提供不少于1年的</w:t>
      </w:r>
      <w:proofErr w:type="gramStart"/>
      <w:r w:rsidRPr="005A4120">
        <w:rPr>
          <w:rFonts w:ascii="宋体" w:eastAsia="宋体" w:hAnsi="宋体" w:cs="Times New Roman" w:hint="eastAsia"/>
          <w:b/>
          <w:bCs/>
          <w:sz w:val="21"/>
          <w:szCs w:val="21"/>
          <w14:ligatures w14:val="none"/>
        </w:rPr>
        <w:t>免费维保服务</w:t>
      </w:r>
      <w:proofErr w:type="gramEnd"/>
      <w:r w:rsidRPr="005A4120">
        <w:rPr>
          <w:rFonts w:ascii="宋体" w:eastAsia="宋体" w:hAnsi="宋体" w:cs="Times New Roman" w:hint="eastAsia"/>
          <w:sz w:val="21"/>
          <w:szCs w:val="21"/>
          <w14:ligatures w14:val="none"/>
        </w:rPr>
        <w:t>。免费售后服务期自验收合格并交付使用之日起开始计算。免费维保期内的服务范围包括但不限于下列内容：</w:t>
      </w:r>
    </w:p>
    <w:p w14:paraId="723F0CD9"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5.2.1提供所供软件系统不少于1年现场</w:t>
      </w:r>
      <w:proofErr w:type="gramStart"/>
      <w:r w:rsidRPr="005A4120">
        <w:rPr>
          <w:rFonts w:ascii="宋体" w:eastAsia="宋体" w:hAnsi="宋体" w:cs="Times New Roman" w:hint="eastAsia"/>
          <w:sz w:val="21"/>
          <w:szCs w:val="21"/>
          <w14:ligatures w14:val="none"/>
        </w:rPr>
        <w:t>免费维保服务</w:t>
      </w:r>
      <w:proofErr w:type="gramEnd"/>
      <w:r w:rsidRPr="005A4120">
        <w:rPr>
          <w:rFonts w:ascii="宋体" w:eastAsia="宋体" w:hAnsi="宋体" w:cs="Times New Roman" w:hint="eastAsia"/>
          <w:sz w:val="21"/>
          <w:szCs w:val="21"/>
          <w14:ligatures w14:val="none"/>
        </w:rPr>
        <w:t>。</w:t>
      </w:r>
    </w:p>
    <w:p w14:paraId="77DCDB1D"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5.2.2提供所供软件系统不少于1年的软件功能免费升级与支持服务。</w:t>
      </w:r>
    </w:p>
    <w:p w14:paraId="6ECED228"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5.2.3根据采购人使用需要，中标人需提供必要的软件产品的重新部署及支持服务，包括由此带来的数据迁移服务。</w:t>
      </w:r>
    </w:p>
    <w:p w14:paraId="0F6134A8"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5.2.4在免费</w:t>
      </w:r>
      <w:proofErr w:type="gramStart"/>
      <w:r w:rsidRPr="005A4120">
        <w:rPr>
          <w:rFonts w:ascii="宋体" w:eastAsia="宋体" w:hAnsi="宋体" w:cs="Times New Roman" w:hint="eastAsia"/>
          <w:sz w:val="21"/>
          <w:szCs w:val="21"/>
          <w14:ligatures w14:val="none"/>
        </w:rPr>
        <w:t>维保期间</w:t>
      </w:r>
      <w:proofErr w:type="gramEnd"/>
      <w:r w:rsidRPr="005A4120">
        <w:rPr>
          <w:rFonts w:ascii="宋体" w:eastAsia="宋体" w:hAnsi="宋体" w:cs="Times New Roman" w:hint="eastAsia"/>
          <w:sz w:val="21"/>
          <w:szCs w:val="21"/>
          <w14:ligatures w14:val="none"/>
        </w:rPr>
        <w:t>内，对于采购人在身份认证、数据交换平台和其他所有通用接口模块方面的升级，中标人必须免费提供所供系统有关的对接服务和数据迁移服务。</w:t>
      </w:r>
    </w:p>
    <w:p w14:paraId="1F2DC8B5"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5.2.5通过电话、邮件、网络、现场服务等多种方式，针对采购人的用户提供常规技术支持；当采购人重要管理岗位使用者遇到技术难题，通过电话或网络手段无法解决时，工作</w:t>
      </w:r>
      <w:r w:rsidRPr="005A4120">
        <w:rPr>
          <w:rFonts w:ascii="宋体" w:eastAsia="宋体" w:hAnsi="宋体" w:cs="Times New Roman" w:hint="eastAsia"/>
          <w:sz w:val="21"/>
          <w:szCs w:val="21"/>
          <w14:ligatures w14:val="none"/>
        </w:rPr>
        <w:lastRenderedPageBreak/>
        <w:t>时间内中标人技术人员需24小时到使用者校内所在办公现场解决问题。</w:t>
      </w:r>
    </w:p>
    <w:p w14:paraId="3A7979A8"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5.2.6针对本次采购的各类应用支撑平台中存在的bug、缺陷，不论在质保期内、外，均应持续提供修正与消缺服务。</w:t>
      </w:r>
    </w:p>
    <w:p w14:paraId="613CFAD2"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5.3免费</w:t>
      </w:r>
      <w:proofErr w:type="gramStart"/>
      <w:r w:rsidRPr="005A4120">
        <w:rPr>
          <w:rFonts w:ascii="宋体" w:eastAsia="宋体" w:hAnsi="宋体" w:cs="Times New Roman" w:hint="eastAsia"/>
          <w:sz w:val="21"/>
          <w:szCs w:val="21"/>
          <w14:ligatures w14:val="none"/>
        </w:rPr>
        <w:t>维保期间</w:t>
      </w:r>
      <w:proofErr w:type="gramEnd"/>
      <w:r w:rsidRPr="005A4120">
        <w:rPr>
          <w:rFonts w:ascii="宋体" w:eastAsia="宋体" w:hAnsi="宋体" w:cs="Times New Roman" w:hint="eastAsia"/>
          <w:sz w:val="21"/>
          <w:szCs w:val="21"/>
          <w14:ligatures w14:val="none"/>
        </w:rPr>
        <w:t>内，中标人将向采购人提供免费7×24小时的技术支持服务，开通热线电话接受需方的电话技术咨询，对重大故障提供7×24小时的现场支援；一般故障提供5×8小时的现场支援，故障服务的响应时间小于2小时；紧急情况1小时响应，2小时内有能够处理故障的技术人员到达现场，产品运行正常后撤离现场。售后服务期自验收合格并交付使用之日起开始计算。</w:t>
      </w:r>
    </w:p>
    <w:p w14:paraId="7B6F2D7E"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5.4免费提供CSM（客户服务管理系统），面向用户提供基于系统使用问题、需求、bug反馈等问题交流跟踪的信息化服务平台，向客户提供高质量的售后技术支持服务。</w:t>
      </w:r>
    </w:p>
    <w:p w14:paraId="7331277E"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5.5售后服务人员要求：中标人须针对本项目安排至少2名技术人员提供售后技术服务，其中1名为自有开发人员。</w:t>
      </w:r>
    </w:p>
    <w:p w14:paraId="3FC4FC31"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5.6提供每月1-2次巡视服务，检测软件系统及运行环境的运行情况；提供每年至少2次对系统运行状况的评估服务。整个服务过程均需有完善的文档记录，便于跟踪、分析问题；对各项服务提供详细的书面报告，包括故障处理报告、健康巡检报告、系统性能检测调优报告、维护总表报告、服务年度报告等。</w:t>
      </w:r>
    </w:p>
    <w:p w14:paraId="030BC18A"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5.7</w:t>
      </w:r>
      <w:proofErr w:type="gramStart"/>
      <w:r w:rsidRPr="005A4120">
        <w:rPr>
          <w:rFonts w:ascii="宋体" w:eastAsia="宋体" w:hAnsi="宋体" w:cs="Times New Roman" w:hint="eastAsia"/>
          <w:sz w:val="21"/>
          <w:szCs w:val="21"/>
          <w14:ligatures w14:val="none"/>
        </w:rPr>
        <w:t>免费维保服务</w:t>
      </w:r>
      <w:proofErr w:type="gramEnd"/>
      <w:r w:rsidRPr="005A4120">
        <w:rPr>
          <w:rFonts w:ascii="宋体" w:eastAsia="宋体" w:hAnsi="宋体" w:cs="Times New Roman" w:hint="eastAsia"/>
          <w:sz w:val="21"/>
          <w:szCs w:val="21"/>
          <w14:ligatures w14:val="none"/>
        </w:rPr>
        <w:t>期满后，投标人须保证以合理的价格约定提供后续</w:t>
      </w:r>
      <w:proofErr w:type="gramStart"/>
      <w:r w:rsidRPr="005A4120">
        <w:rPr>
          <w:rFonts w:ascii="宋体" w:eastAsia="宋体" w:hAnsi="宋体" w:cs="Times New Roman" w:hint="eastAsia"/>
          <w:sz w:val="21"/>
          <w:szCs w:val="21"/>
          <w14:ligatures w14:val="none"/>
        </w:rPr>
        <w:t>年维保服务</w:t>
      </w:r>
      <w:proofErr w:type="gramEnd"/>
      <w:r w:rsidRPr="005A4120">
        <w:rPr>
          <w:rFonts w:ascii="宋体" w:eastAsia="宋体" w:hAnsi="宋体" w:cs="Times New Roman" w:hint="eastAsia"/>
          <w:sz w:val="21"/>
          <w:szCs w:val="21"/>
          <w14:ligatures w14:val="none"/>
        </w:rPr>
        <w:t>，后续</w:t>
      </w:r>
      <w:proofErr w:type="gramStart"/>
      <w:r w:rsidRPr="005A4120">
        <w:rPr>
          <w:rFonts w:ascii="宋体" w:eastAsia="宋体" w:hAnsi="宋体" w:cs="Times New Roman" w:hint="eastAsia"/>
          <w:sz w:val="21"/>
          <w:szCs w:val="21"/>
          <w14:ligatures w14:val="none"/>
        </w:rPr>
        <w:t>年维保服务费</w:t>
      </w:r>
      <w:proofErr w:type="gramEnd"/>
      <w:r w:rsidRPr="005A4120">
        <w:rPr>
          <w:rFonts w:ascii="宋体" w:eastAsia="宋体" w:hAnsi="宋体" w:cs="Times New Roman" w:hint="eastAsia"/>
          <w:sz w:val="21"/>
          <w:szCs w:val="21"/>
          <w14:ligatures w14:val="none"/>
        </w:rPr>
        <w:t>用不得超过合同总价的20%。</w:t>
      </w:r>
      <w:r w:rsidRPr="005A4120">
        <w:rPr>
          <w:rFonts w:ascii="宋体" w:eastAsia="宋体" w:hAnsi="宋体" w:cs="Times New Roman" w:hint="eastAsia"/>
          <w:b/>
          <w:bCs/>
          <w:sz w:val="21"/>
          <w:szCs w:val="21"/>
          <w14:ligatures w14:val="none"/>
        </w:rPr>
        <w:t>投标人需提供《后续年维保服务承诺函》（格式自拟），承诺</w:t>
      </w:r>
      <w:proofErr w:type="gramStart"/>
      <w:r w:rsidRPr="005A4120">
        <w:rPr>
          <w:rFonts w:ascii="宋体" w:eastAsia="宋体" w:hAnsi="宋体" w:cs="Times New Roman" w:hint="eastAsia"/>
          <w:b/>
          <w:bCs/>
          <w:sz w:val="21"/>
          <w:szCs w:val="21"/>
          <w14:ligatures w14:val="none"/>
        </w:rPr>
        <w:t>免费维保服务</w:t>
      </w:r>
      <w:proofErr w:type="gramEnd"/>
      <w:r w:rsidRPr="005A4120">
        <w:rPr>
          <w:rFonts w:ascii="宋体" w:eastAsia="宋体" w:hAnsi="宋体" w:cs="Times New Roman" w:hint="eastAsia"/>
          <w:b/>
          <w:bCs/>
          <w:sz w:val="21"/>
          <w:szCs w:val="21"/>
          <w14:ligatures w14:val="none"/>
        </w:rPr>
        <w:t>期满后的后续</w:t>
      </w:r>
      <w:proofErr w:type="gramStart"/>
      <w:r w:rsidRPr="005A4120">
        <w:rPr>
          <w:rFonts w:ascii="宋体" w:eastAsia="宋体" w:hAnsi="宋体" w:cs="Times New Roman" w:hint="eastAsia"/>
          <w:b/>
          <w:bCs/>
          <w:sz w:val="21"/>
          <w:szCs w:val="21"/>
          <w14:ligatures w14:val="none"/>
        </w:rPr>
        <w:t>年维保服务费</w:t>
      </w:r>
      <w:proofErr w:type="gramEnd"/>
      <w:r w:rsidRPr="005A4120">
        <w:rPr>
          <w:rFonts w:ascii="宋体" w:eastAsia="宋体" w:hAnsi="宋体" w:cs="Times New Roman" w:hint="eastAsia"/>
          <w:b/>
          <w:bCs/>
          <w:sz w:val="21"/>
          <w:szCs w:val="21"/>
          <w14:ligatures w14:val="none"/>
        </w:rPr>
        <w:t>用占合同总价的具体比例。</w:t>
      </w:r>
    </w:p>
    <w:p w14:paraId="750C8786"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★6、付款方式：</w:t>
      </w:r>
    </w:p>
    <w:p w14:paraId="7CB808F4"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第一期：合同签订且中标人开立发票后10工作日内，采购人向中标方支付本项目总价款的30%。</w:t>
      </w:r>
    </w:p>
    <w:p w14:paraId="3B3C715A"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第二期：系统实施工作完成并上线后，经双方签字认可进入系统试运行期，采购人在中标人开立发票后10工作日向中标方支付本项目总价款30%。</w:t>
      </w:r>
    </w:p>
    <w:p w14:paraId="18D55527"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第三期：系统试运行期为1-3个自然月。试运行结束后中标方应按照规定的验收清单准备验收材料，中标方需要提供各阶段的成果和文档资料，包括但不限于：系统环境部署文档、系统安装手册、数据字典、数据接口协议、系统用户手册等。经采购人验收通过且中标人开立发票后10工作日内，采购人向中标方支付本项目总价款的40%。</w:t>
      </w:r>
    </w:p>
    <w:p w14:paraId="4B306946"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★7、报价要求</w:t>
      </w:r>
    </w:p>
    <w:p w14:paraId="1B436D6F"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7.1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4CA0E59"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7.2、投标报价要求说明</w:t>
      </w:r>
    </w:p>
    <w:p w14:paraId="569529B2"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lastRenderedPageBreak/>
        <w:t>7.2.1投标人的投标报价不得超过财政预算限额或最高投标限价；</w:t>
      </w:r>
    </w:p>
    <w:p w14:paraId="336D88CD" w14:textId="77777777" w:rsidR="005A4120" w:rsidRPr="005A4120" w:rsidRDefault="005A4120" w:rsidP="005A4120">
      <w:pPr>
        <w:topLinePunct/>
        <w:adjustRightInd w:val="0"/>
        <w:snapToGrid w:val="0"/>
        <w:spacing w:after="0" w:line="360" w:lineRule="auto"/>
        <w:ind w:firstLineChars="200" w:firstLine="420"/>
        <w:jc w:val="both"/>
        <w:rPr>
          <w:rFonts w:ascii="宋体" w:eastAsia="宋体" w:hAnsi="宋体" w:cs="Times New Roman" w:hint="eastAsia"/>
          <w:sz w:val="21"/>
          <w:szCs w:val="21"/>
          <w14:ligatures w14:val="none"/>
        </w:rPr>
      </w:pPr>
      <w:r w:rsidRPr="005A4120">
        <w:rPr>
          <w:rFonts w:ascii="宋体" w:eastAsia="宋体" w:hAnsi="宋体" w:cs="Times New Roman" w:hint="eastAsia"/>
          <w:sz w:val="21"/>
          <w:szCs w:val="21"/>
          <w14:ligatures w14:val="none"/>
        </w:rPr>
        <w:t>7.2.2投标人的投标报价，应是本项目招标范围和招标文件及合同条款上所列的各项内容中所述的全部，不得以任何理由予以重复，并以投标人在投标文件中提出的综合单价或总价为依据；</w:t>
      </w:r>
    </w:p>
    <w:p w14:paraId="26BC5023" w14:textId="0C25F2F9" w:rsidR="004E19AF" w:rsidRDefault="005A4120" w:rsidP="005A4120">
      <w:r w:rsidRPr="005A4120">
        <w:rPr>
          <w:rFonts w:ascii="宋体" w:eastAsia="宋体" w:hAnsi="宋体" w:cs="Times New Roman" w:hint="eastAsia"/>
          <w:sz w:val="21"/>
          <w:szCs w:val="21"/>
          <w14:ligatures w14:val="none"/>
        </w:rPr>
        <w:t>7.2.3除非采购代理机构通过修改招标文件予以更正，否则，投标人应毫无例外地按招标文件所列的清单</w:t>
      </w:r>
      <w:proofErr w:type="gramStart"/>
      <w:r w:rsidRPr="005A4120">
        <w:rPr>
          <w:rFonts w:ascii="宋体" w:eastAsia="宋体" w:hAnsi="宋体" w:cs="Times New Roman" w:hint="eastAsia"/>
          <w:sz w:val="21"/>
          <w:szCs w:val="21"/>
          <w14:ligatures w14:val="none"/>
        </w:rPr>
        <w:t>中项目</w:t>
      </w:r>
      <w:proofErr w:type="gramEnd"/>
      <w:r w:rsidRPr="005A4120">
        <w:rPr>
          <w:rFonts w:ascii="宋体" w:eastAsia="宋体" w:hAnsi="宋体" w:cs="Times New Roman" w:hint="eastAsia"/>
          <w:sz w:val="21"/>
          <w:szCs w:val="21"/>
          <w14:ligatures w14:val="none"/>
        </w:rPr>
        <w:t>和数量填报综合单价和合价。投标人未</w:t>
      </w:r>
      <w:proofErr w:type="gramStart"/>
      <w:r w:rsidRPr="005A4120">
        <w:rPr>
          <w:rFonts w:ascii="宋体" w:eastAsia="宋体" w:hAnsi="宋体" w:cs="Times New Roman" w:hint="eastAsia"/>
          <w:sz w:val="21"/>
          <w:szCs w:val="21"/>
          <w14:ligatures w14:val="none"/>
        </w:rPr>
        <w:t>填综合</w:t>
      </w:r>
      <w:proofErr w:type="gramEnd"/>
      <w:r w:rsidRPr="005A4120">
        <w:rPr>
          <w:rFonts w:ascii="宋体" w:eastAsia="宋体" w:hAnsi="宋体" w:cs="Times New Roman" w:hint="eastAsia"/>
          <w:sz w:val="21"/>
          <w:szCs w:val="21"/>
          <w14:ligatures w14:val="none"/>
        </w:rPr>
        <w:t>单价或合价的项目，在实施后，视作该项费用已包括在其它有价款的综合单价或合价内，不得申请额外支付。</w:t>
      </w:r>
    </w:p>
    <w:sectPr w:rsidR="004E1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4C3F" w14:textId="77777777" w:rsidR="009432A8" w:rsidRDefault="009432A8" w:rsidP="005A4120">
      <w:pPr>
        <w:spacing w:after="0" w:line="240" w:lineRule="auto"/>
        <w:rPr>
          <w:rFonts w:hint="eastAsia"/>
        </w:rPr>
      </w:pPr>
      <w:r>
        <w:separator/>
      </w:r>
    </w:p>
  </w:endnote>
  <w:endnote w:type="continuationSeparator" w:id="0">
    <w:p w14:paraId="489647B5" w14:textId="77777777" w:rsidR="009432A8" w:rsidRDefault="009432A8" w:rsidP="005A412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54FD3" w14:textId="77777777" w:rsidR="009432A8" w:rsidRDefault="009432A8" w:rsidP="005A4120">
      <w:pPr>
        <w:spacing w:after="0" w:line="240" w:lineRule="auto"/>
        <w:rPr>
          <w:rFonts w:hint="eastAsia"/>
        </w:rPr>
      </w:pPr>
      <w:r>
        <w:separator/>
      </w:r>
    </w:p>
  </w:footnote>
  <w:footnote w:type="continuationSeparator" w:id="0">
    <w:p w14:paraId="42DA4B17" w14:textId="77777777" w:rsidR="009432A8" w:rsidRDefault="009432A8" w:rsidP="005A412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AF"/>
    <w:rsid w:val="004E19AF"/>
    <w:rsid w:val="005A4120"/>
    <w:rsid w:val="009432A8"/>
    <w:rsid w:val="00E3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27F0B56-25ED-49AE-B8AF-E5D90C51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9AF"/>
    <w:rPr>
      <w:rFonts w:cstheme="majorBidi"/>
      <w:color w:val="2F5496" w:themeColor="accent1" w:themeShade="BF"/>
      <w:sz w:val="28"/>
      <w:szCs w:val="28"/>
    </w:rPr>
  </w:style>
  <w:style w:type="character" w:customStyle="1" w:styleId="50">
    <w:name w:val="标题 5 字符"/>
    <w:basedOn w:val="a0"/>
    <w:link w:val="5"/>
    <w:uiPriority w:val="9"/>
    <w:semiHidden/>
    <w:rsid w:val="004E19AF"/>
    <w:rPr>
      <w:rFonts w:cstheme="majorBidi"/>
      <w:color w:val="2F5496" w:themeColor="accent1" w:themeShade="BF"/>
      <w:sz w:val="24"/>
    </w:rPr>
  </w:style>
  <w:style w:type="character" w:customStyle="1" w:styleId="60">
    <w:name w:val="标题 6 字符"/>
    <w:basedOn w:val="a0"/>
    <w:link w:val="6"/>
    <w:uiPriority w:val="9"/>
    <w:semiHidden/>
    <w:rsid w:val="004E19AF"/>
    <w:rPr>
      <w:rFonts w:cstheme="majorBidi"/>
      <w:b/>
      <w:bCs/>
      <w:color w:val="2F5496" w:themeColor="accent1" w:themeShade="BF"/>
    </w:rPr>
  </w:style>
  <w:style w:type="character" w:customStyle="1" w:styleId="70">
    <w:name w:val="标题 7 字符"/>
    <w:basedOn w:val="a0"/>
    <w:link w:val="7"/>
    <w:uiPriority w:val="9"/>
    <w:semiHidden/>
    <w:rsid w:val="004E19AF"/>
    <w:rPr>
      <w:rFonts w:cstheme="majorBidi"/>
      <w:b/>
      <w:bCs/>
      <w:color w:val="595959" w:themeColor="text1" w:themeTint="A6"/>
    </w:rPr>
  </w:style>
  <w:style w:type="character" w:customStyle="1" w:styleId="80">
    <w:name w:val="标题 8 字符"/>
    <w:basedOn w:val="a0"/>
    <w:link w:val="8"/>
    <w:uiPriority w:val="9"/>
    <w:semiHidden/>
    <w:rsid w:val="004E19AF"/>
    <w:rPr>
      <w:rFonts w:cstheme="majorBidi"/>
      <w:color w:val="595959" w:themeColor="text1" w:themeTint="A6"/>
    </w:rPr>
  </w:style>
  <w:style w:type="character" w:customStyle="1" w:styleId="90">
    <w:name w:val="标题 9 字符"/>
    <w:basedOn w:val="a0"/>
    <w:link w:val="9"/>
    <w:uiPriority w:val="9"/>
    <w:semiHidden/>
    <w:rsid w:val="004E19AF"/>
    <w:rPr>
      <w:rFonts w:eastAsiaTheme="majorEastAsia" w:cstheme="majorBidi"/>
      <w:color w:val="595959" w:themeColor="text1" w:themeTint="A6"/>
    </w:rPr>
  </w:style>
  <w:style w:type="paragraph" w:styleId="a3">
    <w:name w:val="Title"/>
    <w:basedOn w:val="a"/>
    <w:next w:val="a"/>
    <w:link w:val="a4"/>
    <w:uiPriority w:val="10"/>
    <w:qFormat/>
    <w:rsid w:val="004E1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9AF"/>
    <w:pPr>
      <w:spacing w:before="160"/>
      <w:jc w:val="center"/>
    </w:pPr>
    <w:rPr>
      <w:i/>
      <w:iCs/>
      <w:color w:val="404040" w:themeColor="text1" w:themeTint="BF"/>
    </w:rPr>
  </w:style>
  <w:style w:type="character" w:customStyle="1" w:styleId="a8">
    <w:name w:val="引用 字符"/>
    <w:basedOn w:val="a0"/>
    <w:link w:val="a7"/>
    <w:uiPriority w:val="29"/>
    <w:rsid w:val="004E19AF"/>
    <w:rPr>
      <w:i/>
      <w:iCs/>
      <w:color w:val="404040" w:themeColor="text1" w:themeTint="BF"/>
    </w:rPr>
  </w:style>
  <w:style w:type="paragraph" w:styleId="a9">
    <w:name w:val="List Paragraph"/>
    <w:basedOn w:val="a"/>
    <w:uiPriority w:val="34"/>
    <w:qFormat/>
    <w:rsid w:val="004E19AF"/>
    <w:pPr>
      <w:ind w:left="720"/>
      <w:contextualSpacing/>
    </w:pPr>
  </w:style>
  <w:style w:type="character" w:styleId="aa">
    <w:name w:val="Intense Emphasis"/>
    <w:basedOn w:val="a0"/>
    <w:uiPriority w:val="21"/>
    <w:qFormat/>
    <w:rsid w:val="004E19AF"/>
    <w:rPr>
      <w:i/>
      <w:iCs/>
      <w:color w:val="2F5496" w:themeColor="accent1" w:themeShade="BF"/>
    </w:rPr>
  </w:style>
  <w:style w:type="paragraph" w:styleId="ab">
    <w:name w:val="Intense Quote"/>
    <w:basedOn w:val="a"/>
    <w:next w:val="a"/>
    <w:link w:val="ac"/>
    <w:uiPriority w:val="30"/>
    <w:qFormat/>
    <w:rsid w:val="004E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9AF"/>
    <w:rPr>
      <w:i/>
      <w:iCs/>
      <w:color w:val="2F5496" w:themeColor="accent1" w:themeShade="BF"/>
    </w:rPr>
  </w:style>
  <w:style w:type="character" w:styleId="ad">
    <w:name w:val="Intense Reference"/>
    <w:basedOn w:val="a0"/>
    <w:uiPriority w:val="32"/>
    <w:qFormat/>
    <w:rsid w:val="004E19AF"/>
    <w:rPr>
      <w:b/>
      <w:bCs/>
      <w:smallCaps/>
      <w:color w:val="2F5496" w:themeColor="accent1" w:themeShade="BF"/>
      <w:spacing w:val="5"/>
    </w:rPr>
  </w:style>
  <w:style w:type="paragraph" w:styleId="ae">
    <w:name w:val="header"/>
    <w:basedOn w:val="a"/>
    <w:link w:val="af"/>
    <w:uiPriority w:val="99"/>
    <w:unhideWhenUsed/>
    <w:rsid w:val="005A412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A4120"/>
    <w:rPr>
      <w:sz w:val="18"/>
      <w:szCs w:val="18"/>
    </w:rPr>
  </w:style>
  <w:style w:type="paragraph" w:styleId="af0">
    <w:name w:val="footer"/>
    <w:basedOn w:val="a"/>
    <w:link w:val="af1"/>
    <w:uiPriority w:val="99"/>
    <w:unhideWhenUsed/>
    <w:rsid w:val="005A412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A41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2025-05-19T03:59:00Z</dcterms:created>
  <dcterms:modified xsi:type="dcterms:W3CDTF">2025-05-19T03:59:00Z</dcterms:modified>
</cp:coreProperties>
</file>