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467FF">
      <w:pPr>
        <w:pStyle w:val="6"/>
        <w:spacing w:before="120" w:after="120"/>
        <w:rPr>
          <w:rStyle w:val="7"/>
          <w:b w:val="0"/>
          <w:bCs w:val="0"/>
        </w:rPr>
      </w:pPr>
      <w:r>
        <w:rPr>
          <w:rStyle w:val="7"/>
          <w:rFonts w:hint="eastAsia"/>
          <w:b w:val="0"/>
          <w:bCs w:val="0"/>
        </w:rPr>
        <w:t>服务需求书</w:t>
      </w:r>
    </w:p>
    <w:p w14:paraId="1226448E">
      <w:pPr>
        <w:spacing w:after="60" w:line="360" w:lineRule="auto"/>
        <w:ind w:right="-63" w:rightChars="-30" w:firstLine="426"/>
        <w:jc w:val="left"/>
        <w:rPr>
          <w:rFonts w:hint="eastAsia" w:ascii="宋体" w:hAnsi="宋体"/>
          <w:b/>
          <w:color w:val="FF0000"/>
        </w:rPr>
      </w:pPr>
      <w:r>
        <w:rPr>
          <w:rFonts w:hint="eastAsia" w:ascii="宋体" w:hAnsi="宋体"/>
          <w:b/>
          <w:color w:val="FF0000"/>
        </w:rPr>
        <w:t>1. 带“★”项为不可负偏离项，有一项负偏离即导致投标无效。是否响应第六章服务需求书，以《服务条款偏离表》“投标文件响应”栏填写为准。</w:t>
      </w:r>
    </w:p>
    <w:p w14:paraId="6120C7C9">
      <w:pPr>
        <w:spacing w:after="60" w:line="360" w:lineRule="auto"/>
        <w:ind w:right="-63" w:rightChars="-30" w:firstLine="426"/>
        <w:jc w:val="left"/>
        <w:rPr>
          <w:rFonts w:hint="eastAsia" w:ascii="宋体" w:hAnsi="宋体"/>
          <w:b/>
          <w:color w:val="FF0000"/>
        </w:rPr>
      </w:pPr>
      <w:r>
        <w:rPr>
          <w:rFonts w:hint="eastAsia" w:ascii="宋体" w:hAnsi="宋体"/>
          <w:b/>
          <w:color w:val="FF0000"/>
        </w:rPr>
        <w:t>2.如投标人中标后被发现不能满足本章带★号条款要求的，采购单位有权拒绝签订合同，一切后果由投标人承担。</w:t>
      </w:r>
    </w:p>
    <w:p w14:paraId="419D5FCF">
      <w:pPr>
        <w:pStyle w:val="2"/>
        <w:jc w:val="left"/>
      </w:pPr>
    </w:p>
    <w:p w14:paraId="4D71505B">
      <w:pPr>
        <w:spacing w:after="60"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（一）</w:t>
      </w:r>
      <w:r>
        <w:rPr>
          <w:rFonts w:hint="eastAsia" w:asciiTheme="minorEastAsia" w:hAnsiTheme="minorEastAsia" w:eastAsiaTheme="minorEastAsia"/>
          <w:b/>
          <w:bCs/>
          <w:szCs w:val="21"/>
        </w:rPr>
        <w:t>采购项目概况</w:t>
      </w:r>
      <w:r>
        <w:rPr>
          <w:rFonts w:hint="eastAsia" w:asciiTheme="minorEastAsia" w:hAnsiTheme="minorEastAsia" w:eastAsiaTheme="minorEastAsia"/>
          <w:szCs w:val="21"/>
        </w:rPr>
        <w:t>：</w:t>
      </w:r>
    </w:p>
    <w:p w14:paraId="0F2489D4">
      <w:pPr>
        <w:numPr>
          <w:ilvl w:val="0"/>
          <w:numId w:val="1"/>
        </w:numPr>
        <w:spacing w:afterLines="0" w:line="360" w:lineRule="auto"/>
        <w:ind w:firstLine="420" w:firstLineChars="200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项目名称；宝安区2025年工贸企业安全生产知识宣讲项目</w:t>
      </w:r>
    </w:p>
    <w:p w14:paraId="07C84A88">
      <w:pPr>
        <w:numPr>
          <w:ilvl w:val="0"/>
          <w:numId w:val="1"/>
        </w:numPr>
        <w:spacing w:afterLines="0" w:line="360" w:lineRule="auto"/>
        <w:ind w:firstLine="420" w:firstLineChars="200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项目预算金额或预算金额之下的最高限额；</w:t>
      </w:r>
      <w:r>
        <w:rPr>
          <w:rFonts w:hint="eastAsia" w:cs="宋体" w:asciiTheme="minorEastAsia" w:hAnsiTheme="minorEastAsia"/>
          <w:kern w:val="0"/>
          <w:szCs w:val="21"/>
        </w:rPr>
        <w:t>100,</w:t>
      </w:r>
      <w:r>
        <w:rPr>
          <w:rFonts w:cs="宋体" w:asciiTheme="minorEastAsia" w:hAnsiTheme="minorEastAsia"/>
          <w:kern w:val="0"/>
          <w:szCs w:val="21"/>
        </w:rPr>
        <w:t>000</w:t>
      </w:r>
      <w:r>
        <w:rPr>
          <w:rFonts w:hint="eastAsia" w:cs="宋体" w:asciiTheme="minorEastAsia" w:hAnsiTheme="minorEastAsia"/>
          <w:kern w:val="0"/>
          <w:szCs w:val="21"/>
        </w:rPr>
        <w:t>.00元</w:t>
      </w:r>
    </w:p>
    <w:p w14:paraId="29E005F2">
      <w:pPr>
        <w:spacing w:after="60"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（二）项目管理和服务要求</w:t>
      </w:r>
      <w:r>
        <w:rPr>
          <w:rFonts w:hint="eastAsia" w:asciiTheme="minorEastAsia" w:hAnsiTheme="minorEastAsia" w:eastAsiaTheme="minorEastAsia"/>
          <w:szCs w:val="21"/>
        </w:rPr>
        <w:t>：</w:t>
      </w:r>
    </w:p>
    <w:p w14:paraId="102D74B2">
      <w:pPr>
        <w:numPr>
          <w:ilvl w:val="0"/>
          <w:numId w:val="2"/>
        </w:numPr>
        <w:spacing w:afterLines="0" w:line="360" w:lineRule="auto"/>
        <w:ind w:firstLine="422" w:firstLineChars="200"/>
        <w:jc w:val="left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/>
          <w:b/>
          <w:bCs/>
        </w:rPr>
        <w:t>服务期限；</w:t>
      </w:r>
      <w:r>
        <w:rPr>
          <w:rFonts w:hint="eastAsia"/>
        </w:rPr>
        <w:t>自合同签订之日起至3个月。</w:t>
      </w:r>
    </w:p>
    <w:p w14:paraId="67DC8458">
      <w:pPr>
        <w:tabs>
          <w:tab w:val="left" w:pos="312"/>
        </w:tabs>
        <w:spacing w:afterLines="0" w:line="360" w:lineRule="auto"/>
        <w:ind w:left="420" w:firstLine="422" w:firstLineChars="200"/>
        <w:jc w:val="left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/>
          <w:b/>
          <w:bCs/>
        </w:rPr>
        <w:t>服务地点；</w:t>
      </w:r>
      <w:r>
        <w:rPr>
          <w:rFonts w:hint="eastAsia"/>
        </w:rPr>
        <w:t>深圳市宝安区</w:t>
      </w:r>
    </w:p>
    <w:p w14:paraId="4B9E96C5">
      <w:pPr>
        <w:numPr>
          <w:ilvl w:val="0"/>
          <w:numId w:val="2"/>
        </w:numPr>
        <w:spacing w:afterLines="0" w:line="360" w:lineRule="auto"/>
        <w:ind w:firstLine="422" w:firstLineChars="200"/>
        <w:jc w:val="left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服务内容、技术标准、工作质量要求；</w:t>
      </w:r>
    </w:p>
    <w:p w14:paraId="47E95C52">
      <w:pPr>
        <w:pStyle w:val="2"/>
        <w:ind w:firstLine="424" w:firstLineChars="202"/>
        <w:jc w:val="left"/>
        <w:rPr>
          <w:rFonts w:hint="eastAsia" w:ascii="宋体" w:hAnsi="宋体" w:cstheme="minorBidi"/>
          <w:bCs w:val="0"/>
          <w:szCs w:val="21"/>
        </w:rPr>
      </w:pPr>
      <w:r>
        <w:rPr>
          <w:rFonts w:hint="eastAsia" w:ascii="宋体" w:hAnsi="宋体" w:cstheme="minorBidi"/>
          <w:bCs w:val="0"/>
          <w:szCs w:val="21"/>
        </w:rPr>
        <w:t>根据年度重点工作部署，拟通过社会代理机构委托一家第三方公司，对全区平板压痕机、金属制品、家具、印刷等工贸企业从业人员（约2000人）开展安全生产知识宣讲，计划</w:t>
      </w:r>
      <w:r>
        <w:rPr>
          <w:rFonts w:ascii="宋体" w:hAnsi="宋体" w:cstheme="minorBidi"/>
          <w:bCs w:val="0"/>
          <w:szCs w:val="21"/>
        </w:rPr>
        <w:t>开展</w:t>
      </w:r>
      <w:r>
        <w:rPr>
          <w:rFonts w:hint="eastAsia" w:ascii="宋体" w:hAnsi="宋体" w:cstheme="minorBidi"/>
          <w:bCs w:val="0"/>
          <w:szCs w:val="21"/>
        </w:rPr>
        <w:t>20场。</w:t>
      </w:r>
    </w:p>
    <w:p w14:paraId="14610559">
      <w:pPr>
        <w:numPr>
          <w:ilvl w:val="0"/>
          <w:numId w:val="2"/>
        </w:numPr>
        <w:spacing w:afterLines="0" w:line="360" w:lineRule="auto"/>
        <w:ind w:firstLine="422" w:firstLineChars="200"/>
        <w:jc w:val="left"/>
        <w:rPr>
          <w:rFonts w:hint="eastAsia" w:ascii="宋体" w:hAnsi="宋体" w:cstheme="minorBidi"/>
          <w:szCs w:val="21"/>
        </w:rPr>
      </w:pPr>
      <w:r>
        <w:rPr>
          <w:rFonts w:hint="eastAsia"/>
          <w:b/>
          <w:bCs/>
        </w:rPr>
        <w:t>人员要求（岗位要求、数量）；</w:t>
      </w:r>
      <w:r>
        <w:rPr>
          <w:rFonts w:hint="eastAsia"/>
        </w:rPr>
        <w:t>拟配备项目团队成员不少于6人（其中一人为项目负责人），至少分成2个组（每组不少于3人，每组含1名讲师、至少2名助教）。</w:t>
      </w:r>
    </w:p>
    <w:p w14:paraId="39FEA35D">
      <w:pPr>
        <w:numPr>
          <w:ilvl w:val="0"/>
          <w:numId w:val="2"/>
        </w:numPr>
        <w:spacing w:afterLines="0" w:line="360" w:lineRule="auto"/>
        <w:ind w:firstLine="422" w:firstLineChars="200"/>
        <w:jc w:val="left"/>
        <w:rPr>
          <w:rFonts w:hint="eastAsia" w:ascii="宋体" w:hAnsi="宋体" w:cstheme="minorBidi"/>
          <w:szCs w:val="21"/>
        </w:rPr>
      </w:pPr>
      <w:r>
        <w:rPr>
          <w:rFonts w:hint="eastAsia" w:ascii="宋体" w:hAnsi="宋体" w:cstheme="minorBidi"/>
          <w:b/>
          <w:bCs/>
          <w:szCs w:val="21"/>
        </w:rPr>
        <w:t>场地布置及设备要求；</w:t>
      </w:r>
      <w:r>
        <w:rPr>
          <w:rFonts w:hint="eastAsia" w:ascii="宋体" w:hAnsi="宋体" w:cstheme="minorBidi"/>
          <w:szCs w:val="21"/>
        </w:rPr>
        <w:t>由中标供应商负责布置场地，包括自备教学设备（投影、幕布、音箱、麦克风等）、文具资料（学员文具、教学笔记等）、饮用水等。</w:t>
      </w:r>
    </w:p>
    <w:p w14:paraId="78CDF17C">
      <w:pPr>
        <w:numPr>
          <w:ilvl w:val="0"/>
          <w:numId w:val="2"/>
        </w:numPr>
        <w:spacing w:afterLines="0" w:line="360" w:lineRule="auto"/>
        <w:ind w:firstLine="422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 w:cs="CESI仿宋-GB2312"/>
          <w:b/>
          <w:kern w:val="0"/>
          <w:szCs w:val="21"/>
        </w:rPr>
        <w:t>违约责任</w:t>
      </w:r>
      <w:r>
        <w:rPr>
          <w:rFonts w:hint="eastAsia" w:ascii="宋体" w:hAnsi="宋体"/>
          <w:b/>
          <w:szCs w:val="21"/>
        </w:rPr>
        <w:t>；</w:t>
      </w:r>
    </w:p>
    <w:p w14:paraId="0FB625ED">
      <w:pPr>
        <w:pStyle w:val="8"/>
        <w:numPr>
          <w:ilvl w:val="0"/>
          <w:numId w:val="3"/>
        </w:numPr>
        <w:snapToGrid w:val="0"/>
        <w:spacing w:after="60" w:line="360" w:lineRule="auto"/>
        <w:ind w:left="0" w:firstLine="420" w:firstLineChars="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成交供应商若未履行或未完全履行本合同约定，采购人有权要求成交供应商继续履行、采取补救措施并赔偿损失。</w:t>
      </w:r>
    </w:p>
    <w:p w14:paraId="59D99C95">
      <w:pPr>
        <w:pStyle w:val="8"/>
        <w:numPr>
          <w:ilvl w:val="0"/>
          <w:numId w:val="3"/>
        </w:numPr>
        <w:snapToGrid w:val="0"/>
        <w:spacing w:after="60" w:line="360" w:lineRule="auto"/>
        <w:ind w:left="0" w:firstLine="420" w:firstLineChars="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若成交供应商不按照本合同约定履行义务，采购人有权解除合同，要求成交供应商退还委托费用并赔偿由此给采购人造成的损失。</w:t>
      </w:r>
    </w:p>
    <w:p w14:paraId="0C58F5C5">
      <w:pPr>
        <w:numPr>
          <w:ilvl w:val="0"/>
          <w:numId w:val="2"/>
        </w:numPr>
        <w:spacing w:afterLines="0" w:line="360" w:lineRule="auto"/>
        <w:ind w:firstLine="422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  <w:b/>
          <w:szCs w:val="21"/>
        </w:rPr>
        <w:t>报价要求；</w:t>
      </w:r>
      <w:r>
        <w:rPr>
          <w:rFonts w:hint="eastAsia" w:ascii="宋体" w:hAnsi="宋体" w:cs="宋体"/>
          <w:szCs w:val="21"/>
        </w:rPr>
        <w:t>该投标报价包括投标人完成本招标项目的所有内容、项目实施的所有工作量、项目所需后续服务、税费等全部费用和一切风险、义务、责任等的总报价</w:t>
      </w:r>
      <w:r>
        <w:rPr>
          <w:rFonts w:hint="eastAsia" w:ascii="宋体" w:hAnsi="宋体"/>
        </w:rPr>
        <w:t>。</w:t>
      </w:r>
    </w:p>
    <w:p w14:paraId="4BD940C9">
      <w:pPr>
        <w:numPr>
          <w:ilvl w:val="0"/>
          <w:numId w:val="2"/>
        </w:numPr>
        <w:spacing w:afterLines="0" w:line="360" w:lineRule="auto"/>
        <w:ind w:firstLine="422" w:firstLineChars="200"/>
        <w:jc w:val="lef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付款方式；</w:t>
      </w:r>
      <w:r>
        <w:rPr>
          <w:rFonts w:ascii="宋体" w:hAnsi="宋体"/>
          <w:b/>
          <w:bCs/>
        </w:rPr>
        <w:t xml:space="preserve"> </w:t>
      </w:r>
    </w:p>
    <w:p w14:paraId="68973E07">
      <w:pPr>
        <w:pStyle w:val="8"/>
        <w:numPr>
          <w:ilvl w:val="0"/>
          <w:numId w:val="4"/>
        </w:numPr>
        <w:spacing w:after="60" w:line="360" w:lineRule="auto"/>
        <w:ind w:left="0" w:firstLine="424" w:firstLineChars="202"/>
        <w:jc w:val="left"/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双方签订合同后十个工作日内支付中标价的30%；</w:t>
      </w:r>
    </w:p>
    <w:p w14:paraId="0D3378AC">
      <w:pPr>
        <w:pStyle w:val="2"/>
        <w:numPr>
          <w:ilvl w:val="0"/>
          <w:numId w:val="4"/>
        </w:numPr>
        <w:ind w:left="0" w:firstLine="424" w:firstLineChars="202"/>
        <w:jc w:val="left"/>
        <w:rPr>
          <w:rFonts w:hint="eastAsia" w:ascii="宋体" w:hAnsi="宋体" w:cs="Times New Roman"/>
          <w:bCs w:val="0"/>
        </w:rPr>
      </w:pPr>
      <w:r>
        <w:rPr>
          <w:rFonts w:hint="eastAsia" w:ascii="宋体" w:hAnsi="宋体" w:cs="Times New Roman"/>
          <w:bCs w:val="0"/>
        </w:rPr>
        <w:t>宣讲活动完成，中标人向采购人提交活动总结报告，采购人验收完成合格后三十个工作日，采购人向中标人支付实际结算剩余部分。</w:t>
      </w:r>
    </w:p>
    <w:p w14:paraId="784E98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9C137F"/>
    <w:multiLevelType w:val="multilevel"/>
    <w:tmpl w:val="309C137F"/>
    <w:lvl w:ilvl="0" w:tentative="0">
      <w:start w:val="1"/>
      <w:numFmt w:val="decimal"/>
      <w:lvlText w:val="%1)"/>
      <w:lvlJc w:val="left"/>
      <w:pPr>
        <w:ind w:left="860" w:hanging="440"/>
      </w:p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1">
    <w:nsid w:val="3DFA2C91"/>
    <w:multiLevelType w:val="singleLevel"/>
    <w:tmpl w:val="3DFA2C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41285ED"/>
    <w:multiLevelType w:val="singleLevel"/>
    <w:tmpl w:val="541285ED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b/>
      </w:rPr>
    </w:lvl>
  </w:abstractNum>
  <w:abstractNum w:abstractNumId="3">
    <w:nsid w:val="6F765165"/>
    <w:multiLevelType w:val="multilevel"/>
    <w:tmpl w:val="6F765165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6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Lines="25" w:line="300" w:lineRule="auto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9"/>
    <w:pPr>
      <w:keepNext/>
      <w:keepLines/>
      <w:spacing w:before="34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qFormat/>
    <w:uiPriority w:val="0"/>
    <w:pPr>
      <w:spacing w:afterLines="0" w:line="360" w:lineRule="auto"/>
    </w:pPr>
    <w:rPr>
      <w:rFonts w:cs="Arial"/>
      <w:bCs/>
    </w:rPr>
  </w:style>
  <w:style w:type="paragraph" w:customStyle="1" w:styleId="6">
    <w:name w:val="1册标题1"/>
    <w:basedOn w:val="1"/>
    <w:next w:val="1"/>
    <w:qFormat/>
    <w:uiPriority w:val="0"/>
    <w:pPr>
      <w:spacing w:beforeLines="50" w:afterLines="50"/>
      <w:jc w:val="center"/>
      <w:outlineLvl w:val="0"/>
    </w:pPr>
    <w:rPr>
      <w:rFonts w:eastAsia="黑体"/>
      <w:b/>
      <w:bCs/>
      <w:sz w:val="48"/>
      <w:szCs w:val="20"/>
    </w:rPr>
  </w:style>
  <w:style w:type="character" w:customStyle="1" w:styleId="7">
    <w:name w:val="标题 1 字符"/>
    <w:basedOn w:val="5"/>
    <w:link w:val="3"/>
    <w:qFormat/>
    <w:uiPriority w:val="9"/>
    <w:rPr>
      <w:b/>
      <w:bCs/>
      <w:kern w:val="44"/>
      <w:sz w:val="44"/>
      <w:szCs w:val="44"/>
    </w:rPr>
  </w:style>
  <w:style w:type="paragraph" w:styleId="8">
    <w:name w:val="List Paragraph"/>
    <w:basedOn w:val="1"/>
    <w:qFormat/>
    <w:uiPriority w:val="0"/>
    <w:pPr>
      <w:spacing w:afterLines="0" w:line="240" w:lineRule="auto"/>
      <w:ind w:firstLine="420" w:firstLineChars="200"/>
    </w:pPr>
    <w:rPr>
      <w:rFonts w:ascii="Calibri" w:hAnsi="Calibr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2025-05-21T03:11:28Z</dcterms:created>
  <dc:creator>Administrator</dc:creator>
  <cp:lastModifiedBy>Administrator</cp:lastModifiedBy>
  <dcterms:modified xsi:type="dcterms:W3CDTF">2025-05-21T03:11:31Z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eyJoZGlkIjoiOWUyODI3ZDg3NjU4NzQ3NjJjMDhkZGY2ODVkYzI0NTAiLCJ1c2VySWQiOiI1MDk5NTI0NTYifQ==</vt:lpwstr>
  </property>
  <property fmtid="{D5CDD505-2E9C-101B-9397-08002B2CF9AE}" pid="4" name="ICV">
    <vt:lpwstr>986B27DFB58F4653AD0ADFC32D231D51_12</vt:lpwstr>
  </property>
</Properties>
</file>