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项目名称；航城街道交通事故赔偿调解法律服务</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asciiTheme="minorEastAsia" w:hAnsiTheme="minorEastAsia" w:eastAsiaTheme="minorEastAsia"/>
          <w:szCs w:val="21"/>
        </w:rPr>
        <w:t>252</w:t>
      </w:r>
      <w:r>
        <w:rPr>
          <w:rFonts w:hint="eastAsia" w:asciiTheme="minorEastAsia" w:hAnsiTheme="minorEastAsia" w:eastAsiaTheme="minorEastAsia"/>
          <w:szCs w:val="21"/>
        </w:rPr>
        <w:t>,</w:t>
      </w:r>
      <w:r>
        <w:rPr>
          <w:rFonts w:asciiTheme="minorEastAsia" w:hAnsiTheme="minorEastAsia" w:eastAsiaTheme="minorEastAsia"/>
          <w:szCs w:val="21"/>
        </w:rPr>
        <w:t>000</w:t>
      </w:r>
      <w:r>
        <w:rPr>
          <w:rFonts w:hint="eastAsia" w:asciiTheme="minorEastAsia" w:hAnsiTheme="minorEastAsia" w:eastAsiaTheme="minorEastAsia"/>
          <w:szCs w:val="21"/>
        </w:rPr>
        <w:t>.00元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7FA36CE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p>
    <w:p w14:paraId="7D6FCB24">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近年来，辖区内各类汽车、电动自行车等交通出行工具的持续增长，道路交通事故发生量持续上升，因道路交通安事故产生的纠纷以及道路交通安全、维稳工作等相关工作量呈井喷式增长。根据区交安委统计，2023年全区共接处交通事故警情约4.2万宗，事故造成约120人死亡，约200人重伤；与此同时，全年共处理涉事故损害赔偿类各渠道信访投诉、舆情约1500件。为进一步提升事故纠纷化解效率，我街道在2024年通过公开招标的方式采购了航城街道交通事故赔偿调解法律服务，进一步优化调解流程、提高处置效能，推动矛盾纠纷源头化解。</w:t>
      </w:r>
    </w:p>
    <w:p w14:paraId="44D11A8A">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2025年交通事故警情及相关信访投诉量仍在持续增长。鉴于我街道2024年度通过公开招标采购的航城街道交通事故赔偿调解法律服务项目即将到期，且根据宝安交警大队对于交通事故赔偿调解服务工作需长期开展的要求（相关经费已于年初下达），为确保调解服务无缝衔接，避免因第三方专业调解力量空缺导致调解不到位而引发信访投诉，影响矛盾纠纷化解和良好政群、干群关系建设，我街道拟对航城街道交通事故赔偿调解服务项目进行公开招标。通过持续引入专业法律服务机构，进一步提升调解工作的规范性、专业性和公信力，同时有效缓解因交通事故信访投诉对街道交安部门日常交通安全管理、交通疏导等工作效能的制约，切实降低事故发生率，保障交通安全工作顺利开展。</w:t>
      </w:r>
    </w:p>
    <w:p w14:paraId="0AB0D080">
      <w:pPr>
        <w:spacing w:afterLines="0" w:line="360" w:lineRule="auto"/>
        <w:jc w:val="left"/>
        <w:rPr>
          <w:rFonts w:hint="eastAsia" w:asciiTheme="minorEastAsia" w:hAnsiTheme="minorEastAsia" w:eastAsiaTheme="minorEastAsia"/>
          <w:szCs w:val="21"/>
        </w:rPr>
      </w:pPr>
      <w:r>
        <w:rPr>
          <w:rFonts w:hint="eastAsia" w:asciiTheme="minorEastAsia" w:hAnsiTheme="minorEastAsia" w:eastAsiaTheme="minorEastAsia"/>
          <w:szCs w:val="21"/>
        </w:rPr>
        <w:t>为了持续完善基层法律服务，提高法治资源供给，坚决贯彻习近平总书记“坚持把非诉讼纠纷解决机制挺在前面”的指示要求，发扬新时代枫桥经验，做实“指导调解、融合善治、夯实源头治理、抓实多元解纷”的法定职能，进一步提高交通事故赔偿调解工作质量、矛盾纠纷调处化解率和群众满意率，根据《关于购买交通事故赔偿调解服务的通知》（深宝交安办[2024]279号）要求，我街道公开向司法行政部门批准设立的专业法律服务机构（即律师事务所）购买专业法律服务，负责交通事故赔偿调解、涉交通事故信访投诉化解等相关工作，建立以街道交安办为主体、吸收专业律师参与交通事故调解的专项法律服务团队，所需经费拟在2025年初下达的“区网格化管理行动经费”中列支。</w:t>
      </w:r>
    </w:p>
    <w:p w14:paraId="1020613F">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p>
    <w:p w14:paraId="7695FD8A">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本项目合同履行期限最长为三年。本项目合同履行期限满后，采购单位可根据中标供应商履约情况确定合同是否续签（采购方将对中标供应商总体服务质量进行考核，考核不合格采购方有权提前终止合同，考核结果达到优秀的，可选择按中标价格续签合同），但总合同履行期限最长不超过3年，第一年为本次招标的中标合同履行期限，合同一年一签。续签合同的各项费用按照本项目中标价执行。</w:t>
      </w:r>
    </w:p>
    <w:p w14:paraId="1596B544">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（2）中标方须承诺如合同服务期限届满前采购方还未确定接管单位，供应商须按投标承诺做好过渡期保障工作。</w:t>
      </w:r>
    </w:p>
    <w:p w14:paraId="51B4A447">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5854C97E">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（1）成立不低于4人的律师顾问团队（团队总负责律师执业年限不得低于5年）担任采购人专项法律顾问，根据采购人交通事故调解工作需要，完成采购人交办的相关业务。</w:t>
      </w:r>
    </w:p>
    <w:p w14:paraId="47C2C8EE">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（2）指派</w:t>
      </w:r>
      <w:r>
        <w:rPr>
          <w:rFonts w:asciiTheme="minorEastAsia" w:hAnsiTheme="minorEastAsia" w:eastAsiaTheme="minorEastAsia"/>
          <w:szCs w:val="21"/>
        </w:rPr>
        <w:t>2</w:t>
      </w:r>
      <w:r>
        <w:rPr>
          <w:rFonts w:hint="eastAsia" w:asciiTheme="minorEastAsia" w:hAnsiTheme="minorEastAsia" w:eastAsiaTheme="minorEastAsia"/>
          <w:szCs w:val="21"/>
        </w:rPr>
        <w:t>名全日制本科法学专业人员或者具备同等专业能力的人员，在采购人单位或采购人指定地点提供法律服务。</w:t>
      </w:r>
    </w:p>
    <w:p w14:paraId="16A32A5B">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（3）根据采购人需求协助采购人完善人民调解相关制度，做好辖区内发生的交通事故调解、矛盾纠纷化解工作，草拟、审核调解协议书。</w:t>
      </w:r>
    </w:p>
    <w:p w14:paraId="0C9C9B03">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（4）根据采购人工作职能需要，为交通事故当事人提供人身、财物损害等相关法律咨询，提供诉讼指引，引导事故双方合理合法正确表达诉求。</w:t>
      </w:r>
    </w:p>
    <w:p w14:paraId="6EF36D2C">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（5）协助处理采购人自行受理或上级单位或领导转交的涉交通事故信访案件及相关业务，起草、审核信访回复文书。</w:t>
      </w:r>
    </w:p>
    <w:p w14:paraId="0BB01BD6">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（6）根据采购人工作需要，完成采购人交办的与本项目相关的其他事项。</w:t>
      </w:r>
    </w:p>
    <w:p w14:paraId="7E28951D">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（一）工作质量要求</w:t>
      </w:r>
    </w:p>
    <w:p w14:paraId="75ED7876">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1.调解前做好参加调解人员登记工作，建立完整的案件调解工作台账；</w:t>
      </w:r>
    </w:p>
    <w:p w14:paraId="32333BAE">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2.安抚纠纷当事人情绪，引导纠纷双方理性表达诉求；</w:t>
      </w:r>
    </w:p>
    <w:p w14:paraId="728562F1">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3.按照相关法律法规规定、人民调解工作规范通过面对面、背对背等方式开展调解工作，把控调解节奏；</w:t>
      </w:r>
    </w:p>
    <w:p w14:paraId="0231A480">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4.调解过程中总结纠纷双方争议焦点，根据争议焦点结合交通事故人身损害赔偿相关法律规定，说服当事人达成一致；</w:t>
      </w:r>
    </w:p>
    <w:p w14:paraId="45807A2C">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5.经调解达成一致的，根据当事人需要草拟、签署调解协议；调解不成的做好诉讼指引工作，避免矛盾纠纷升级，引发信访投诉。</w:t>
      </w:r>
    </w:p>
    <w:p w14:paraId="6CDBC240">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（二）工作时间要求</w:t>
      </w:r>
    </w:p>
    <w:p w14:paraId="45B8010B">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1.驻点专业服务人员按照派驻单位工作时间要求和相关管理制度。</w:t>
      </w:r>
    </w:p>
    <w:p w14:paraId="3F0CDD23">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2.团队负责人及其他团队成员根据事项处理需求，机动开展工作。</w:t>
      </w:r>
    </w:p>
    <w:p w14:paraId="6B8C4EE5">
      <w:pPr>
        <w:spacing w:after="60" w:line="360" w:lineRule="auto"/>
        <w:ind w:firstLine="420" w:firstLineChars="200"/>
        <w:outlineLvl w:val="0"/>
        <w:rPr>
          <w:rFonts w:hint="eastAsia" w:asciiTheme="minorEastAsia" w:hAnsiTheme="minorEastAsia" w:eastAsiaTheme="minorEastAsia"/>
          <w:szCs w:val="21"/>
        </w:rPr>
      </w:pPr>
      <w:r>
        <w:rPr>
          <w:rFonts w:hint="eastAsia" w:asciiTheme="minorEastAsia" w:hAnsiTheme="minorEastAsia" w:eastAsiaTheme="minorEastAsia"/>
          <w:szCs w:val="21"/>
        </w:rPr>
        <w:t>（三）服务成果要求</w:t>
      </w:r>
    </w:p>
    <w:p w14:paraId="00BB9677">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1.做好交通采购人辖区范围内交通事故调解工作，化解矛盾纠纷；</w:t>
      </w:r>
    </w:p>
    <w:p w14:paraId="3787FCAB">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2.经调解无法达成一致的，引导纠纷各方当事人通过司法途径解决，依法依规合理表达诉求</w:t>
      </w:r>
      <w:r>
        <w:rPr>
          <w:rFonts w:asciiTheme="minorEastAsia" w:hAnsiTheme="minorEastAsia" w:eastAsiaTheme="minorEastAsia"/>
          <w:szCs w:val="21"/>
        </w:rPr>
        <w:t>；</w:t>
      </w:r>
    </w:p>
    <w:p w14:paraId="76F4F0C1">
      <w:pPr>
        <w:spacing w:after="60"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3.做好辖区居民涉交通事故相关法律、政策咨询解释工作，提供法律服务；</w:t>
      </w:r>
    </w:p>
    <w:p w14:paraId="3E8D9332">
      <w:pPr>
        <w:pStyle w:val="2"/>
        <w:rPr>
          <w:rFonts w:hint="eastAsia" w:cs="Times New Roman" w:asciiTheme="minorEastAsia" w:hAnsiTheme="minorEastAsia" w:eastAsiaTheme="minorEastAsia"/>
          <w:bCs w:val="0"/>
          <w:szCs w:val="21"/>
        </w:rPr>
      </w:pPr>
      <w:r>
        <w:rPr>
          <w:rFonts w:hint="eastAsia" w:cs="Times New Roman" w:asciiTheme="minorEastAsia" w:hAnsiTheme="minorEastAsia" w:eastAsiaTheme="minorEastAsia"/>
          <w:bCs w:val="0"/>
          <w:szCs w:val="21"/>
        </w:rPr>
        <w:t>4.协助化解涉交通事故信访事项，出具法律 意见等。</w:t>
      </w:r>
    </w:p>
    <w:p w14:paraId="07A85D3E">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人员要求（岗位要求、数量）；</w:t>
      </w:r>
    </w:p>
    <w:p w14:paraId="4E554D12">
      <w:pPr>
        <w:pStyle w:val="9"/>
        <w:numPr>
          <w:ilvl w:val="0"/>
          <w:numId w:val="3"/>
        </w:numPr>
        <w:spacing w:after="60" w:line="360" w:lineRule="auto"/>
        <w:ind w:left="0" w:firstLine="424" w:firstLineChars="202"/>
        <w:outlineLvl w:val="1"/>
        <w:rPr>
          <w:rFonts w:hint="eastAsia" w:ascii="宋体" w:hAnsi="宋体"/>
          <w:bCs/>
          <w:szCs w:val="21"/>
        </w:rPr>
      </w:pPr>
      <w:r>
        <w:rPr>
          <w:rFonts w:ascii="宋体" w:hAnsi="宋体"/>
          <w:bCs/>
          <w:szCs w:val="21"/>
        </w:rPr>
        <w:t>成立不低于4人的律师顾问团队（其中团队总负责律师执业年限不</w:t>
      </w:r>
      <w:r>
        <w:rPr>
          <w:rFonts w:hint="eastAsia" w:ascii="宋体" w:hAnsi="宋体"/>
          <w:bCs/>
          <w:szCs w:val="21"/>
        </w:rPr>
        <w:t>得</w:t>
      </w:r>
      <w:r>
        <w:rPr>
          <w:rFonts w:ascii="宋体" w:hAnsi="宋体"/>
          <w:bCs/>
          <w:szCs w:val="21"/>
        </w:rPr>
        <w:t>低于</w:t>
      </w:r>
      <w:r>
        <w:rPr>
          <w:rFonts w:hint="eastAsia" w:ascii="宋体" w:hAnsi="宋体"/>
          <w:bCs/>
          <w:szCs w:val="21"/>
        </w:rPr>
        <w:t>5</w:t>
      </w:r>
      <w:r>
        <w:rPr>
          <w:rFonts w:ascii="宋体" w:hAnsi="宋体"/>
          <w:bCs/>
          <w:szCs w:val="21"/>
        </w:rPr>
        <w:t>年）担任采购人专项法律顾问，根据采购人交通事故调解工作需要，完成采购人交办的相关业务。</w:t>
      </w:r>
    </w:p>
    <w:p w14:paraId="67088EA5">
      <w:pPr>
        <w:pStyle w:val="2"/>
        <w:numPr>
          <w:ilvl w:val="0"/>
          <w:numId w:val="3"/>
        </w:numPr>
        <w:ind w:left="0" w:firstLine="424" w:firstLineChars="202"/>
        <w:rPr>
          <w:rFonts w:hint="eastAsia" w:ascii="宋体" w:hAnsi="宋体" w:cs="Times New Roman"/>
          <w:szCs w:val="21"/>
        </w:rPr>
      </w:pPr>
      <w:r>
        <w:rPr>
          <w:rFonts w:hint="eastAsia" w:ascii="宋体" w:hAnsi="宋体" w:cs="Times New Roman"/>
          <w:szCs w:val="21"/>
        </w:rPr>
        <w:t>指派2名全日制本科法学专业人员或者具备同等专业能力的人员，在采购人单位或采购人指定地点提供法律服务。</w:t>
      </w:r>
    </w:p>
    <w:p w14:paraId="23ECF627">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考核办法/验收方式；</w:t>
      </w:r>
      <w:r>
        <w:rPr>
          <w:rFonts w:hint="eastAsia" w:ascii="宋体" w:hAnsi="宋体"/>
          <w:bCs/>
          <w:szCs w:val="21"/>
        </w:rPr>
        <w:t>阶段性分期验收</w:t>
      </w:r>
    </w:p>
    <w:p w14:paraId="769183A4">
      <w:pPr>
        <w:spacing w:after="60" w:line="360" w:lineRule="auto"/>
        <w:ind w:firstLine="420" w:firstLineChars="200"/>
        <w:outlineLvl w:val="1"/>
        <w:rPr>
          <w:rFonts w:hint="eastAsia" w:ascii="宋体" w:hAnsi="宋体"/>
          <w:bCs/>
          <w:szCs w:val="21"/>
        </w:rPr>
      </w:pPr>
      <w:r>
        <w:rPr>
          <w:rFonts w:hint="eastAsia" w:ascii="宋体" w:hAnsi="宋体"/>
          <w:bCs/>
          <w:szCs w:val="21"/>
        </w:rPr>
        <w:t>按《服务质量考核验收表》考核，甲方（采购方）考核小组每月对服务情况进行一次考核，考核满分为1</w:t>
      </w:r>
      <w:r>
        <w:rPr>
          <w:rFonts w:ascii="宋体" w:hAnsi="宋体"/>
          <w:bCs/>
          <w:szCs w:val="21"/>
        </w:rPr>
        <w:t>00</w:t>
      </w:r>
      <w:r>
        <w:rPr>
          <w:rFonts w:hint="eastAsia" w:ascii="宋体" w:hAnsi="宋体"/>
          <w:bCs/>
          <w:szCs w:val="21"/>
        </w:rPr>
        <w:t>分。</w:t>
      </w:r>
    </w:p>
    <w:p w14:paraId="47743246">
      <w:pPr>
        <w:spacing w:after="60" w:line="360" w:lineRule="auto"/>
        <w:ind w:firstLine="560"/>
        <w:outlineLvl w:val="1"/>
        <w:rPr>
          <w:rFonts w:hint="eastAsia" w:ascii="宋体" w:hAnsi="宋体"/>
          <w:bCs/>
          <w:szCs w:val="21"/>
        </w:rPr>
      </w:pPr>
      <w:r>
        <w:rPr>
          <w:rFonts w:hint="eastAsia" w:ascii="宋体" w:hAnsi="宋体"/>
          <w:bCs/>
          <w:szCs w:val="21"/>
        </w:rPr>
        <w:t>1．考核取得优秀，全额拨付当月服务费用，未达9</w:t>
      </w:r>
      <w:r>
        <w:rPr>
          <w:rFonts w:ascii="宋体" w:hAnsi="宋体"/>
          <w:bCs/>
          <w:szCs w:val="21"/>
        </w:rPr>
        <w:t>0</w:t>
      </w:r>
      <w:r>
        <w:rPr>
          <w:rFonts w:hint="eastAsia" w:ascii="宋体" w:hAnsi="宋体"/>
          <w:bCs/>
          <w:szCs w:val="21"/>
        </w:rPr>
        <w:t>分者，每低1分按0</w:t>
      </w:r>
      <w:r>
        <w:rPr>
          <w:rFonts w:ascii="宋体" w:hAnsi="宋体"/>
          <w:bCs/>
          <w:szCs w:val="21"/>
        </w:rPr>
        <w:t>.5%</w:t>
      </w:r>
      <w:r>
        <w:rPr>
          <w:rFonts w:hint="eastAsia" w:ascii="宋体" w:hAnsi="宋体"/>
          <w:bCs/>
          <w:szCs w:val="21"/>
        </w:rPr>
        <w:t>的比例扣减相对应的服务费用。</w:t>
      </w:r>
    </w:p>
    <w:p w14:paraId="4FB97F78">
      <w:pPr>
        <w:spacing w:after="60" w:line="360" w:lineRule="auto"/>
        <w:ind w:firstLine="560"/>
        <w:outlineLvl w:val="1"/>
        <w:rPr>
          <w:rFonts w:hint="eastAsia" w:ascii="宋体" w:hAnsi="宋体"/>
          <w:bCs/>
          <w:szCs w:val="21"/>
        </w:rPr>
      </w:pPr>
      <w:r>
        <w:rPr>
          <w:rFonts w:ascii="宋体" w:hAnsi="宋体"/>
          <w:bCs/>
          <w:szCs w:val="21"/>
        </w:rPr>
        <w:t>2</w:t>
      </w:r>
      <w:r>
        <w:rPr>
          <w:rFonts w:hint="eastAsia" w:ascii="宋体" w:hAnsi="宋体"/>
          <w:bCs/>
          <w:szCs w:val="21"/>
        </w:rPr>
        <w:t>．一个合同期内，如出现以下情况，甲方有权重新就本项目进行招标，取消乙方（中标方）服务资格，终止采购合同，不予支付余下费用，由此给甲方造成的损失，由乙方自行负责；甲方重新招标出本服务项目供应商前，乙方仍应按照合同约定履行合同义务并做好过渡期内的交接工作，否则由此给甲方造成损失的，乙方应全额赔偿：</w:t>
      </w:r>
    </w:p>
    <w:p w14:paraId="1A5C08D8">
      <w:pPr>
        <w:spacing w:after="60" w:line="360" w:lineRule="auto"/>
        <w:ind w:firstLine="424" w:firstLineChars="202"/>
        <w:outlineLvl w:val="1"/>
        <w:rPr>
          <w:rFonts w:hint="eastAsia" w:ascii="宋体" w:hAnsi="宋体"/>
          <w:bCs/>
          <w:szCs w:val="21"/>
        </w:rPr>
      </w:pPr>
      <w:r>
        <w:rPr>
          <w:rFonts w:hint="eastAsia" w:ascii="宋体" w:hAnsi="宋体"/>
          <w:bCs/>
          <w:szCs w:val="21"/>
        </w:rPr>
        <w:t>（1）乙方累计出现3次月度考核结果在8</w:t>
      </w:r>
      <w:r>
        <w:rPr>
          <w:rFonts w:ascii="宋体" w:hAnsi="宋体"/>
          <w:bCs/>
          <w:szCs w:val="21"/>
        </w:rPr>
        <w:t>5</w:t>
      </w:r>
      <w:r>
        <w:rPr>
          <w:rFonts w:hint="eastAsia" w:ascii="宋体" w:hAnsi="宋体"/>
          <w:bCs/>
          <w:szCs w:val="21"/>
        </w:rPr>
        <w:t>分以下（不含8</w:t>
      </w:r>
      <w:r>
        <w:rPr>
          <w:rFonts w:ascii="宋体" w:hAnsi="宋体"/>
          <w:bCs/>
          <w:szCs w:val="21"/>
        </w:rPr>
        <w:t>5</w:t>
      </w:r>
      <w:r>
        <w:rPr>
          <w:rFonts w:hint="eastAsia" w:ascii="宋体" w:hAnsi="宋体"/>
          <w:bCs/>
          <w:szCs w:val="21"/>
        </w:rPr>
        <w:t>分）；</w:t>
      </w:r>
    </w:p>
    <w:p w14:paraId="57CC0FAC">
      <w:pPr>
        <w:spacing w:after="60" w:line="360" w:lineRule="auto"/>
        <w:ind w:firstLine="424" w:firstLineChars="202"/>
        <w:outlineLvl w:val="1"/>
        <w:rPr>
          <w:rFonts w:hint="eastAsia" w:ascii="宋体" w:hAnsi="宋体"/>
          <w:bCs/>
          <w:szCs w:val="21"/>
        </w:rPr>
      </w:pPr>
      <w:r>
        <w:rPr>
          <w:rFonts w:hint="eastAsia" w:ascii="宋体" w:hAnsi="宋体"/>
          <w:bCs/>
          <w:szCs w:val="21"/>
        </w:rPr>
        <w:t>（2）乙方连续2个月月度考核结果在85分以下（不含85分）；</w:t>
      </w:r>
    </w:p>
    <w:p w14:paraId="4944B065">
      <w:pPr>
        <w:spacing w:afterLines="0" w:line="360" w:lineRule="auto"/>
        <w:ind w:firstLine="424" w:firstLineChars="202"/>
        <w:jc w:val="left"/>
        <w:rPr>
          <w:rFonts w:hint="eastAsia" w:ascii="宋体" w:hAnsi="宋体"/>
          <w:bCs/>
          <w:szCs w:val="21"/>
        </w:rPr>
      </w:pPr>
      <w:r>
        <w:rPr>
          <w:rFonts w:hint="eastAsia" w:ascii="宋体" w:hAnsi="宋体"/>
          <w:bCs/>
          <w:szCs w:val="21"/>
        </w:rPr>
        <w:t>（3）乙方出现一次月度考核结果在7</w:t>
      </w:r>
      <w:r>
        <w:rPr>
          <w:rFonts w:ascii="宋体" w:hAnsi="宋体"/>
          <w:bCs/>
          <w:szCs w:val="21"/>
        </w:rPr>
        <w:t>0</w:t>
      </w:r>
      <w:r>
        <w:rPr>
          <w:rFonts w:hint="eastAsia" w:ascii="宋体" w:hAnsi="宋体"/>
          <w:bCs/>
          <w:szCs w:val="21"/>
        </w:rPr>
        <w:t>分以下（不含7</w:t>
      </w:r>
      <w:r>
        <w:rPr>
          <w:rFonts w:ascii="宋体" w:hAnsi="宋体"/>
          <w:bCs/>
          <w:szCs w:val="21"/>
        </w:rPr>
        <w:t>0</w:t>
      </w:r>
      <w:r>
        <w:rPr>
          <w:rFonts w:hint="eastAsia" w:ascii="宋体" w:hAnsi="宋体"/>
          <w:bCs/>
          <w:szCs w:val="21"/>
        </w:rPr>
        <w:t>分）。</w:t>
      </w:r>
    </w:p>
    <w:p w14:paraId="7C63C400">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p>
    <w:p w14:paraId="19A5D9FF">
      <w:pPr>
        <w:pStyle w:val="9"/>
        <w:numPr>
          <w:ilvl w:val="3"/>
          <w:numId w:val="4"/>
        </w:numPr>
        <w:spacing w:after="60" w:line="360" w:lineRule="auto"/>
        <w:ind w:left="0" w:firstLine="424" w:firstLineChars="202"/>
        <w:outlineLvl w:val="1"/>
        <w:rPr>
          <w:rFonts w:hint="eastAsia" w:ascii="宋体" w:hAnsi="宋体"/>
          <w:bCs/>
          <w:szCs w:val="21"/>
        </w:rPr>
      </w:pPr>
      <w:r>
        <w:rPr>
          <w:rFonts w:ascii="宋体" w:hAnsi="宋体"/>
          <w:bCs/>
          <w:szCs w:val="21"/>
        </w:rPr>
        <w:t>不得超过项目预算金额</w:t>
      </w:r>
      <w:r>
        <w:rPr>
          <w:rFonts w:hint="eastAsia" w:ascii="宋体" w:hAnsi="宋体"/>
          <w:bCs/>
          <w:szCs w:val="21"/>
        </w:rPr>
        <w:t>，</w:t>
      </w:r>
      <w:r>
        <w:rPr>
          <w:rFonts w:ascii="宋体" w:hAnsi="宋体"/>
          <w:bCs/>
          <w:szCs w:val="21"/>
        </w:rPr>
        <w:t>不得以低于其企业成本的报价投标</w:t>
      </w:r>
    </w:p>
    <w:p w14:paraId="0AA8DCA3">
      <w:pPr>
        <w:pStyle w:val="9"/>
        <w:numPr>
          <w:ilvl w:val="3"/>
          <w:numId w:val="4"/>
        </w:numPr>
        <w:spacing w:after="60" w:line="360" w:lineRule="auto"/>
        <w:ind w:left="0" w:firstLine="424" w:firstLineChars="202"/>
        <w:outlineLvl w:val="1"/>
        <w:rPr>
          <w:rFonts w:hint="eastAsia" w:ascii="宋体" w:hAnsi="宋体"/>
          <w:bCs/>
          <w:szCs w:val="21"/>
        </w:rPr>
      </w:pPr>
      <w:r>
        <w:rPr>
          <w:rFonts w:ascii="宋体" w:hAnsi="宋体"/>
          <w:bCs/>
          <w:szCs w:val="21"/>
        </w:rPr>
        <w:t>本项目服务费实行包干总价（响应人报价应当包括服务成本、法定税费和企业利润等全部费用）。</w:t>
      </w:r>
    </w:p>
    <w:p w14:paraId="0B251A42">
      <w:pPr>
        <w:pStyle w:val="9"/>
        <w:numPr>
          <w:ilvl w:val="3"/>
          <w:numId w:val="4"/>
        </w:numPr>
        <w:spacing w:after="60" w:line="360" w:lineRule="auto"/>
        <w:ind w:left="0" w:firstLine="424" w:firstLineChars="202"/>
        <w:outlineLvl w:val="1"/>
        <w:rPr>
          <w:rFonts w:hint="eastAsia" w:ascii="宋体" w:hAnsi="宋体"/>
          <w:bCs/>
          <w:szCs w:val="21"/>
        </w:rPr>
      </w:pPr>
      <w:r>
        <w:rPr>
          <w:rFonts w:ascii="宋体" w:hAnsi="宋体"/>
          <w:bCs/>
          <w:szCs w:val="21"/>
        </w:rPr>
        <w:t>响应人的报价，是履行本项目采购范围和采购文件及合同条款上所列的各项内容中的报价，不得以任何理由予以重复，并以响应人最终提出的综合单价或总价为依据。</w:t>
      </w:r>
    </w:p>
    <w:p w14:paraId="296CFC91">
      <w:pPr>
        <w:pStyle w:val="9"/>
        <w:numPr>
          <w:ilvl w:val="3"/>
          <w:numId w:val="4"/>
        </w:numPr>
        <w:spacing w:after="60" w:line="360" w:lineRule="auto"/>
        <w:ind w:left="0" w:firstLine="424" w:firstLineChars="202"/>
        <w:outlineLvl w:val="1"/>
        <w:rPr>
          <w:rFonts w:hint="eastAsia" w:ascii="宋体" w:hAnsi="宋体"/>
          <w:bCs/>
          <w:szCs w:val="21"/>
        </w:rPr>
      </w:pPr>
      <w:r>
        <w:rPr>
          <w:rFonts w:ascii="宋体" w:hAnsi="宋体"/>
          <w:bCs/>
          <w:szCs w:val="21"/>
        </w:rPr>
        <w:t>响应人向采购人提交响应文件即视为响应人已通过实地勘探等方式充分了解项目的位置、情况、道路及任何其他足以影响投标报价的情况，任何因响应人忽视或误解项目情况而导致的成本增加或损失将由响应人自行承担。</w:t>
      </w:r>
    </w:p>
    <w:p w14:paraId="55B007E6">
      <w:pPr>
        <w:pStyle w:val="2"/>
        <w:numPr>
          <w:ilvl w:val="3"/>
          <w:numId w:val="4"/>
        </w:numPr>
        <w:ind w:left="0" w:firstLine="424" w:firstLineChars="202"/>
        <w:rPr>
          <w:rFonts w:hint="eastAsia" w:ascii="宋体" w:hAnsi="宋体" w:cs="Times New Roman"/>
          <w:szCs w:val="21"/>
        </w:rPr>
      </w:pPr>
      <w:r>
        <w:rPr>
          <w:rFonts w:ascii="宋体" w:hAnsi="宋体" w:cs="Times New Roman"/>
          <w:szCs w:val="21"/>
        </w:rPr>
        <w:t>响应人不得期望通过索赔等方式获取补偿，否则，除可能遭到拒绝外，还可能将被作为不良行为记录在案，并可能影响以后参加政府采购的项目投标。各响应人在报价时，应充分考虑报价的风险。</w:t>
      </w:r>
    </w:p>
    <w:p w14:paraId="2944F257">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0D044357">
      <w:pPr>
        <w:pStyle w:val="9"/>
        <w:numPr>
          <w:ilvl w:val="0"/>
          <w:numId w:val="5"/>
        </w:numPr>
        <w:spacing w:after="60" w:line="360" w:lineRule="auto"/>
        <w:ind w:left="0" w:firstLine="424" w:firstLineChars="202"/>
        <w:outlineLvl w:val="1"/>
        <w:rPr>
          <w:rFonts w:hint="eastAsia" w:ascii="宋体" w:hAnsi="宋体"/>
          <w:bCs/>
          <w:szCs w:val="21"/>
        </w:rPr>
      </w:pPr>
      <w:r>
        <w:rPr>
          <w:rFonts w:hint="eastAsia" w:ascii="宋体" w:hAnsi="宋体"/>
          <w:bCs/>
          <w:szCs w:val="21"/>
        </w:rPr>
        <w:t>服务费实行按季度支付，以人民币为结算货币，每个季度第一个月的20日前支付本季度100%服务费，上个季度应扣减的服务费按照考核方案扣分后在下一个季度支付中扣减，年度合同最后一个月服务费在整个年度服务履约考核后支付，中标方需提供正式税务发票。</w:t>
      </w:r>
    </w:p>
    <w:p w14:paraId="598E3432">
      <w:pPr>
        <w:pStyle w:val="9"/>
        <w:numPr>
          <w:ilvl w:val="0"/>
          <w:numId w:val="5"/>
        </w:numPr>
        <w:spacing w:after="60" w:line="360" w:lineRule="auto"/>
        <w:ind w:left="0" w:firstLine="424" w:firstLineChars="202"/>
        <w:outlineLvl w:val="1"/>
        <w:rPr>
          <w:rFonts w:hint="eastAsia" w:ascii="宋体" w:hAnsi="宋体"/>
          <w:bCs/>
          <w:szCs w:val="21"/>
        </w:rPr>
      </w:pPr>
      <w:r>
        <w:rPr>
          <w:rFonts w:hint="eastAsia" w:ascii="宋体" w:hAnsi="宋体"/>
          <w:bCs/>
          <w:szCs w:val="21"/>
        </w:rPr>
        <w:t>体付款数额和付款时间，由采购人与中标人在签订的法律服务合同中明确。</w:t>
      </w:r>
    </w:p>
    <w:p w14:paraId="70C487CF">
      <w:pPr>
        <w:pStyle w:val="9"/>
        <w:numPr>
          <w:ilvl w:val="0"/>
          <w:numId w:val="5"/>
        </w:numPr>
        <w:spacing w:after="60" w:line="360" w:lineRule="auto"/>
        <w:ind w:left="0" w:firstLine="424" w:firstLineChars="202"/>
        <w:outlineLvl w:val="1"/>
        <w:rPr>
          <w:rFonts w:hint="eastAsia" w:ascii="宋体" w:hAnsi="宋体"/>
          <w:bCs/>
          <w:szCs w:val="21"/>
        </w:rPr>
      </w:pPr>
      <w:r>
        <w:rPr>
          <w:rFonts w:hint="eastAsia" w:ascii="宋体" w:hAnsi="宋体"/>
          <w:bCs/>
          <w:szCs w:val="21"/>
        </w:rPr>
        <w:t>中标方应知晓本项目经费由政府拨款，如因政策影响或审批延迟，拨款未能及时到位，采购人有权终止本项目，中标方同意不以此为由追究采购人付款迟延或项目终止的违约责任和利息损失等。</w:t>
      </w:r>
    </w:p>
    <w:p w14:paraId="1822885F">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asciiTheme="minorEastAsia" w:hAnsiTheme="minorEastAsia" w:eastAsiaTheme="minorEastAsia"/>
          <w:b/>
          <w:szCs w:val="21"/>
        </w:rPr>
        <w:t>附件</w:t>
      </w:r>
      <w:r>
        <w:rPr>
          <w:rFonts w:hint="eastAsia" w:asciiTheme="minorEastAsia" w:hAnsiTheme="minorEastAsia" w:eastAsiaTheme="minorEastAsia"/>
          <w:b/>
          <w:szCs w:val="21"/>
        </w:rPr>
        <w:t>；</w:t>
      </w:r>
      <w:r>
        <w:rPr>
          <w:rFonts w:asciiTheme="minorEastAsia" w:hAnsiTheme="minorEastAsia" w:eastAsiaTheme="minorEastAsia"/>
          <w:b/>
          <w:szCs w:val="21"/>
        </w:rPr>
        <w:t xml:space="preserve"> </w:t>
      </w:r>
    </w:p>
    <w:p w14:paraId="52F8FFBB">
      <w:pPr>
        <w:spacing w:after="60"/>
        <w:jc w:val="center"/>
        <w:rPr>
          <w:rFonts w:hint="eastAsia" w:asciiTheme="minorEastAsia" w:hAnsiTheme="minorEastAsia" w:eastAsiaTheme="minorEastAsia"/>
          <w:b/>
          <w:bCs/>
          <w:szCs w:val="21"/>
        </w:rPr>
      </w:pPr>
      <w:r>
        <w:rPr>
          <w:rFonts w:asciiTheme="minorEastAsia" w:hAnsiTheme="minorEastAsia" w:eastAsiaTheme="minorEastAsia"/>
          <w:b/>
          <w:bCs/>
          <w:szCs w:val="21"/>
        </w:rPr>
        <w:t>《服务质量考核验收表》</w:t>
      </w:r>
    </w:p>
    <w:tbl>
      <w:tblPr>
        <w:tblStyle w:val="4"/>
        <w:tblW w:w="50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2388"/>
        <w:gridCol w:w="2951"/>
        <w:gridCol w:w="1096"/>
        <w:gridCol w:w="906"/>
      </w:tblGrid>
      <w:tr w14:paraId="799F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746" w:type="pct"/>
          </w:tcPr>
          <w:p w14:paraId="1D67A235">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项目名称</w:t>
            </w:r>
          </w:p>
        </w:tc>
        <w:tc>
          <w:tcPr>
            <w:tcW w:w="4254" w:type="pct"/>
            <w:gridSpan w:val="4"/>
          </w:tcPr>
          <w:p w14:paraId="2BC68314">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航城街道交通事故赔偿调解法律服务</w:t>
            </w:r>
          </w:p>
        </w:tc>
      </w:tr>
      <w:tr w14:paraId="3B7A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5000" w:type="pct"/>
            <w:gridSpan w:val="5"/>
          </w:tcPr>
          <w:p w14:paraId="70B71A5B">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一、综合评价</w:t>
            </w:r>
          </w:p>
        </w:tc>
      </w:tr>
      <w:tr w14:paraId="5571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746" w:type="pct"/>
            <w:vMerge w:val="restart"/>
            <w:vAlign w:val="center"/>
          </w:tcPr>
          <w:p w14:paraId="77B2ADB6">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评价项目</w:t>
            </w:r>
          </w:p>
        </w:tc>
        <w:tc>
          <w:tcPr>
            <w:tcW w:w="1384" w:type="pct"/>
            <w:vMerge w:val="restart"/>
            <w:vAlign w:val="center"/>
          </w:tcPr>
          <w:p w14:paraId="1CBF0E77">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评价内容</w:t>
            </w:r>
          </w:p>
        </w:tc>
        <w:tc>
          <w:tcPr>
            <w:tcW w:w="1710" w:type="pct"/>
            <w:vMerge w:val="restart"/>
            <w:vAlign w:val="center"/>
          </w:tcPr>
          <w:p w14:paraId="689A9BB5">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评分标准</w:t>
            </w:r>
          </w:p>
        </w:tc>
        <w:tc>
          <w:tcPr>
            <w:tcW w:w="1159" w:type="pct"/>
            <w:gridSpan w:val="2"/>
            <w:vAlign w:val="bottom"/>
          </w:tcPr>
          <w:p w14:paraId="0E545C9A">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评分情况</w:t>
            </w:r>
          </w:p>
        </w:tc>
      </w:tr>
      <w:tr w14:paraId="79E6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46" w:type="pct"/>
            <w:vMerge w:val="continue"/>
            <w:vAlign w:val="center"/>
          </w:tcPr>
          <w:p w14:paraId="74723506">
            <w:pPr>
              <w:spacing w:after="60"/>
              <w:jc w:val="center"/>
              <w:rPr>
                <w:rFonts w:hint="eastAsia" w:cs="仿宋" w:asciiTheme="minorEastAsia" w:hAnsiTheme="minorEastAsia" w:eastAsiaTheme="minorEastAsia"/>
                <w:szCs w:val="21"/>
              </w:rPr>
            </w:pPr>
          </w:p>
        </w:tc>
        <w:tc>
          <w:tcPr>
            <w:tcW w:w="1384" w:type="pct"/>
            <w:vMerge w:val="continue"/>
            <w:vAlign w:val="bottom"/>
          </w:tcPr>
          <w:p w14:paraId="5C690CB5">
            <w:pPr>
              <w:spacing w:after="60"/>
              <w:jc w:val="center"/>
              <w:rPr>
                <w:rFonts w:hint="eastAsia" w:cs="仿宋" w:asciiTheme="minorEastAsia" w:hAnsiTheme="minorEastAsia" w:eastAsiaTheme="minorEastAsia"/>
                <w:szCs w:val="21"/>
              </w:rPr>
            </w:pPr>
          </w:p>
        </w:tc>
        <w:tc>
          <w:tcPr>
            <w:tcW w:w="1710" w:type="pct"/>
            <w:vMerge w:val="continue"/>
            <w:vAlign w:val="bottom"/>
          </w:tcPr>
          <w:p w14:paraId="45195A63">
            <w:pPr>
              <w:spacing w:after="60"/>
              <w:jc w:val="center"/>
              <w:rPr>
                <w:rFonts w:hint="eastAsia" w:cs="仿宋" w:asciiTheme="minorEastAsia" w:hAnsiTheme="minorEastAsia" w:eastAsiaTheme="minorEastAsia"/>
                <w:szCs w:val="21"/>
              </w:rPr>
            </w:pPr>
          </w:p>
        </w:tc>
        <w:tc>
          <w:tcPr>
            <w:tcW w:w="635" w:type="pct"/>
            <w:vAlign w:val="bottom"/>
          </w:tcPr>
          <w:p w14:paraId="78AD719C">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分值</w:t>
            </w:r>
          </w:p>
        </w:tc>
        <w:tc>
          <w:tcPr>
            <w:tcW w:w="524" w:type="pct"/>
            <w:vAlign w:val="bottom"/>
          </w:tcPr>
          <w:p w14:paraId="30EC7239">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得分</w:t>
            </w:r>
          </w:p>
        </w:tc>
      </w:tr>
      <w:tr w14:paraId="2E16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exact"/>
        </w:trPr>
        <w:tc>
          <w:tcPr>
            <w:tcW w:w="746" w:type="pct"/>
            <w:vAlign w:val="center"/>
          </w:tcPr>
          <w:p w14:paraId="22AC0F48">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服务要求</w:t>
            </w:r>
          </w:p>
        </w:tc>
        <w:tc>
          <w:tcPr>
            <w:tcW w:w="1384" w:type="pct"/>
            <w:vAlign w:val="center"/>
          </w:tcPr>
          <w:p w14:paraId="3DD2F6A0">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人员管理考核</w:t>
            </w:r>
          </w:p>
        </w:tc>
        <w:tc>
          <w:tcPr>
            <w:tcW w:w="1710" w:type="pct"/>
            <w:vAlign w:val="center"/>
          </w:tcPr>
          <w:p w14:paraId="614C3E2D">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1、出现言行举止不当，给考核单位造成不良影响的扣</w:t>
            </w:r>
            <w:r>
              <w:rPr>
                <w:rFonts w:cs="仿宋" w:asciiTheme="minorEastAsia" w:hAnsiTheme="minorEastAsia" w:eastAsiaTheme="minorEastAsia"/>
                <w:szCs w:val="21"/>
              </w:rPr>
              <w:t>2</w:t>
            </w:r>
            <w:r>
              <w:rPr>
                <w:rFonts w:hint="eastAsia" w:cs="仿宋" w:asciiTheme="minorEastAsia" w:hAnsiTheme="minorEastAsia" w:eastAsiaTheme="minorEastAsia"/>
                <w:szCs w:val="21"/>
              </w:rPr>
              <w:t>分/次，累计出现五次，考核单位有权单方面解除合同；</w:t>
            </w:r>
          </w:p>
          <w:p w14:paraId="44FA2D52">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2、发生与工作相关的“吃、拿、卡、要”等问题或有责纠纷或弄虚作假的</w:t>
            </w:r>
            <w:r>
              <w:rPr>
                <w:rFonts w:cs="仿宋" w:asciiTheme="minorEastAsia" w:hAnsiTheme="minorEastAsia" w:eastAsiaTheme="minorEastAsia"/>
                <w:szCs w:val="21"/>
              </w:rPr>
              <w:t>3</w:t>
            </w:r>
            <w:r>
              <w:rPr>
                <w:rFonts w:hint="eastAsia" w:cs="仿宋" w:asciiTheme="minorEastAsia" w:hAnsiTheme="minorEastAsia" w:eastAsiaTheme="minorEastAsia"/>
                <w:szCs w:val="21"/>
              </w:rPr>
              <w:t>分/次</w:t>
            </w:r>
          </w:p>
          <w:p w14:paraId="4CA98EFC">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累计出现三次，考核单位有权单方面解除合同；</w:t>
            </w:r>
          </w:p>
          <w:p w14:paraId="1FDF3E7A">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3、人员出现工作态度粗暴、野蛮、语言不文明的，造成不良影响的扣</w:t>
            </w:r>
            <w:r>
              <w:rPr>
                <w:rFonts w:cs="仿宋" w:asciiTheme="minorEastAsia" w:hAnsiTheme="minorEastAsia" w:eastAsiaTheme="minorEastAsia"/>
                <w:szCs w:val="21"/>
              </w:rPr>
              <w:t>1</w:t>
            </w:r>
            <w:r>
              <w:rPr>
                <w:rFonts w:hint="eastAsia" w:cs="仿宋" w:asciiTheme="minorEastAsia" w:hAnsiTheme="minorEastAsia" w:eastAsiaTheme="minorEastAsia"/>
                <w:szCs w:val="21"/>
              </w:rPr>
              <w:t>分/次；</w:t>
            </w:r>
          </w:p>
          <w:p w14:paraId="526C9B7F">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累计出现五次，考核单位有权单方面解除合同。</w:t>
            </w:r>
          </w:p>
        </w:tc>
        <w:tc>
          <w:tcPr>
            <w:tcW w:w="635" w:type="pct"/>
            <w:vAlign w:val="center"/>
          </w:tcPr>
          <w:p w14:paraId="2B96346D">
            <w:pPr>
              <w:spacing w:after="60"/>
              <w:jc w:val="center"/>
              <w:rPr>
                <w:rFonts w:hint="eastAsia" w:cs="仿宋" w:asciiTheme="minorEastAsia" w:hAnsiTheme="minorEastAsia" w:eastAsiaTheme="minorEastAsia"/>
                <w:szCs w:val="21"/>
              </w:rPr>
            </w:pPr>
            <w:r>
              <w:rPr>
                <w:rFonts w:cs="仿宋" w:asciiTheme="minorEastAsia" w:hAnsiTheme="minorEastAsia" w:eastAsiaTheme="minorEastAsia"/>
                <w:szCs w:val="21"/>
              </w:rPr>
              <w:t>20</w:t>
            </w:r>
          </w:p>
        </w:tc>
        <w:tc>
          <w:tcPr>
            <w:tcW w:w="524" w:type="pct"/>
            <w:vAlign w:val="center"/>
          </w:tcPr>
          <w:p w14:paraId="3C65F28B">
            <w:pPr>
              <w:spacing w:after="60"/>
              <w:jc w:val="center"/>
              <w:rPr>
                <w:rFonts w:hint="eastAsia" w:cs="仿宋" w:asciiTheme="minorEastAsia" w:hAnsiTheme="minorEastAsia" w:eastAsiaTheme="minorEastAsia"/>
                <w:szCs w:val="21"/>
              </w:rPr>
            </w:pPr>
          </w:p>
        </w:tc>
      </w:tr>
      <w:tr w14:paraId="5E70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exact"/>
        </w:trPr>
        <w:tc>
          <w:tcPr>
            <w:tcW w:w="746" w:type="pct"/>
            <w:vAlign w:val="center"/>
          </w:tcPr>
          <w:p w14:paraId="3423E9D0">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服务内容</w:t>
            </w:r>
          </w:p>
        </w:tc>
        <w:tc>
          <w:tcPr>
            <w:tcW w:w="1384" w:type="pct"/>
            <w:vAlign w:val="center"/>
          </w:tcPr>
          <w:p w14:paraId="60CD93C6">
            <w:pPr>
              <w:spacing w:after="60"/>
              <w:jc w:val="center"/>
              <w:rPr>
                <w:rFonts w:hint="eastAsia" w:cs="仿宋" w:asciiTheme="minorEastAsia" w:hAnsiTheme="minorEastAsia" w:eastAsiaTheme="minorEastAsia"/>
                <w:szCs w:val="21"/>
              </w:rPr>
            </w:pPr>
            <w:r>
              <w:rPr>
                <w:rFonts w:cs="仿宋" w:asciiTheme="minorEastAsia" w:hAnsiTheme="minorEastAsia" w:eastAsiaTheme="minorEastAsia"/>
                <w:szCs w:val="21"/>
              </w:rPr>
              <w:t>1.</w:t>
            </w:r>
            <w:r>
              <w:rPr>
                <w:rFonts w:hint="eastAsia" w:cs="仿宋" w:asciiTheme="minorEastAsia" w:hAnsiTheme="minorEastAsia" w:eastAsiaTheme="minorEastAsia"/>
                <w:szCs w:val="21"/>
              </w:rPr>
              <w:t>根据甲方需求协助甲方完善人民调解相关制度，做好辖区内发生的交通事故赔偿调解、矛盾纠纷化解工作，草拟、审核调解协议书。</w:t>
            </w:r>
          </w:p>
          <w:p w14:paraId="49AAEA25">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2.根据甲方工作职能需要，为交通事故当事人提供人身、财物损害等相关法律咨询，提供诉讼指引，引导事故双方合理合法正确表达诉求。</w:t>
            </w:r>
          </w:p>
          <w:p w14:paraId="3E6DCC5A">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3.根据甲方工作需要，完成甲方交办的与本项目相关的其他事项。</w:t>
            </w:r>
          </w:p>
        </w:tc>
        <w:tc>
          <w:tcPr>
            <w:tcW w:w="1710" w:type="pct"/>
            <w:vAlign w:val="center"/>
          </w:tcPr>
          <w:p w14:paraId="15456C9E">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1.不配合工作扣</w:t>
            </w:r>
            <w:r>
              <w:rPr>
                <w:rFonts w:cs="仿宋" w:asciiTheme="minorEastAsia" w:hAnsiTheme="minorEastAsia" w:eastAsiaTheme="minorEastAsia"/>
                <w:szCs w:val="21"/>
              </w:rPr>
              <w:t>2</w:t>
            </w:r>
            <w:r>
              <w:rPr>
                <w:rFonts w:hint="eastAsia" w:cs="仿宋" w:asciiTheme="minorEastAsia" w:hAnsiTheme="minorEastAsia" w:eastAsiaTheme="minorEastAsia"/>
                <w:szCs w:val="21"/>
              </w:rPr>
              <w:t>分/次；</w:t>
            </w:r>
          </w:p>
          <w:p w14:paraId="2364ADA9">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2.在规定时间内未做整改，扣</w:t>
            </w:r>
            <w:r>
              <w:rPr>
                <w:rFonts w:cs="仿宋" w:asciiTheme="minorEastAsia" w:hAnsiTheme="minorEastAsia" w:eastAsiaTheme="minorEastAsia"/>
                <w:szCs w:val="21"/>
              </w:rPr>
              <w:t>1</w:t>
            </w:r>
            <w:r>
              <w:rPr>
                <w:rFonts w:hint="eastAsia" w:cs="仿宋" w:asciiTheme="minorEastAsia" w:hAnsiTheme="minorEastAsia" w:eastAsiaTheme="minorEastAsia"/>
                <w:szCs w:val="21"/>
              </w:rPr>
              <w:t>分/次；</w:t>
            </w:r>
          </w:p>
          <w:p w14:paraId="6866F213">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3.二次整改效果不佳，扣</w:t>
            </w:r>
            <w:r>
              <w:rPr>
                <w:rFonts w:cs="仿宋" w:asciiTheme="minorEastAsia" w:hAnsiTheme="minorEastAsia" w:eastAsiaTheme="minorEastAsia"/>
                <w:szCs w:val="21"/>
              </w:rPr>
              <w:t>2</w:t>
            </w:r>
            <w:r>
              <w:rPr>
                <w:rFonts w:hint="eastAsia" w:cs="仿宋" w:asciiTheme="minorEastAsia" w:hAnsiTheme="minorEastAsia" w:eastAsiaTheme="minorEastAsia"/>
                <w:szCs w:val="21"/>
              </w:rPr>
              <w:t>分/次；</w:t>
            </w:r>
          </w:p>
          <w:p w14:paraId="5061C042">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4.积极配合，受到甲方上级表扬，奖</w:t>
            </w:r>
            <w:r>
              <w:rPr>
                <w:rFonts w:cs="仿宋" w:asciiTheme="minorEastAsia" w:hAnsiTheme="minorEastAsia" w:eastAsiaTheme="minorEastAsia"/>
                <w:szCs w:val="21"/>
              </w:rPr>
              <w:t>1</w:t>
            </w:r>
            <w:r>
              <w:rPr>
                <w:rFonts w:hint="eastAsia" w:cs="仿宋" w:asciiTheme="minorEastAsia" w:hAnsiTheme="minorEastAsia" w:eastAsiaTheme="minorEastAsia"/>
                <w:szCs w:val="21"/>
              </w:rPr>
              <w:t>分。</w:t>
            </w:r>
          </w:p>
        </w:tc>
        <w:tc>
          <w:tcPr>
            <w:tcW w:w="635" w:type="pct"/>
            <w:vAlign w:val="center"/>
          </w:tcPr>
          <w:p w14:paraId="51197965">
            <w:pPr>
              <w:spacing w:after="60"/>
              <w:jc w:val="center"/>
              <w:rPr>
                <w:rFonts w:hint="eastAsia"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0</w:t>
            </w:r>
          </w:p>
        </w:tc>
        <w:tc>
          <w:tcPr>
            <w:tcW w:w="524" w:type="pct"/>
            <w:vAlign w:val="center"/>
          </w:tcPr>
          <w:p w14:paraId="5952F43A">
            <w:pPr>
              <w:spacing w:after="60"/>
              <w:jc w:val="center"/>
              <w:rPr>
                <w:rFonts w:hint="eastAsia" w:cs="仿宋" w:asciiTheme="minorEastAsia" w:hAnsiTheme="minorEastAsia" w:eastAsiaTheme="minorEastAsia"/>
                <w:szCs w:val="21"/>
              </w:rPr>
            </w:pPr>
          </w:p>
        </w:tc>
      </w:tr>
      <w:tr w14:paraId="193E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exact"/>
        </w:trPr>
        <w:tc>
          <w:tcPr>
            <w:tcW w:w="746" w:type="pct"/>
            <w:vAlign w:val="center"/>
          </w:tcPr>
          <w:p w14:paraId="12A47CB9">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服务质量情况</w:t>
            </w:r>
          </w:p>
        </w:tc>
        <w:tc>
          <w:tcPr>
            <w:tcW w:w="1384" w:type="pct"/>
            <w:vAlign w:val="center"/>
          </w:tcPr>
          <w:p w14:paraId="4B517A8E">
            <w:pPr>
              <w:spacing w:after="6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1.调解前做好参加调解人员登记工作，建立完整的案件调解工作台账；</w:t>
            </w:r>
          </w:p>
          <w:p w14:paraId="0FD78004">
            <w:pPr>
              <w:spacing w:after="6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3.安抚纠纷当事人情绪，引导纠纷双方理性表达诉求；</w:t>
            </w:r>
          </w:p>
          <w:p w14:paraId="5956D88B">
            <w:pPr>
              <w:spacing w:after="6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4.按照相关法律法规规定、人民调解工作规范通过面对面、背对背等方式开展调解工作，把控调解节奏；</w:t>
            </w:r>
          </w:p>
          <w:p w14:paraId="73BE2416">
            <w:pPr>
              <w:spacing w:after="6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5.调解过程中总结纠纷双方争议焦点，根据争议焦点结合交通事故人身损害赔偿相关法律规定，说服当事人达成一致；</w:t>
            </w:r>
          </w:p>
          <w:p w14:paraId="607B46CB">
            <w:pPr>
              <w:spacing w:after="60"/>
              <w:jc w:val="left"/>
              <w:rPr>
                <w:rFonts w:hint="eastAsia" w:cs="仿宋" w:asciiTheme="minorEastAsia" w:hAnsiTheme="minorEastAsia" w:eastAsiaTheme="minorEastAsia"/>
                <w:szCs w:val="21"/>
              </w:rPr>
            </w:pPr>
            <w:r>
              <w:rPr>
                <w:rFonts w:hint="eastAsia" w:cs="仿宋" w:asciiTheme="minorEastAsia" w:hAnsiTheme="minorEastAsia" w:eastAsiaTheme="minorEastAsia"/>
                <w:szCs w:val="21"/>
              </w:rPr>
              <w:t>6.经调解达成一致的，根据当事人需要草拟、签署调解协议；调解不成的做好诉讼指引工作，避免矛盾纠纷升级，引发信访投诉。</w:t>
            </w:r>
          </w:p>
        </w:tc>
        <w:tc>
          <w:tcPr>
            <w:tcW w:w="1710" w:type="pct"/>
            <w:vAlign w:val="center"/>
          </w:tcPr>
          <w:p w14:paraId="7457BBAD">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1.不配合工作扣</w:t>
            </w:r>
            <w:r>
              <w:rPr>
                <w:rFonts w:cs="仿宋" w:asciiTheme="minorEastAsia" w:hAnsiTheme="minorEastAsia" w:eastAsiaTheme="minorEastAsia"/>
                <w:szCs w:val="21"/>
              </w:rPr>
              <w:t>2</w:t>
            </w:r>
            <w:r>
              <w:rPr>
                <w:rFonts w:hint="eastAsia" w:cs="仿宋" w:asciiTheme="minorEastAsia" w:hAnsiTheme="minorEastAsia" w:eastAsiaTheme="minorEastAsia"/>
                <w:szCs w:val="21"/>
              </w:rPr>
              <w:t>分/次；</w:t>
            </w:r>
          </w:p>
          <w:p w14:paraId="64C7C532">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2.在规定时间内未做整改，扣</w:t>
            </w:r>
            <w:r>
              <w:rPr>
                <w:rFonts w:cs="仿宋" w:asciiTheme="minorEastAsia" w:hAnsiTheme="minorEastAsia" w:eastAsiaTheme="minorEastAsia"/>
                <w:szCs w:val="21"/>
              </w:rPr>
              <w:t>1</w:t>
            </w:r>
            <w:r>
              <w:rPr>
                <w:rFonts w:hint="eastAsia" w:cs="仿宋" w:asciiTheme="minorEastAsia" w:hAnsiTheme="minorEastAsia" w:eastAsiaTheme="minorEastAsia"/>
                <w:szCs w:val="21"/>
              </w:rPr>
              <w:t>分/次；</w:t>
            </w:r>
          </w:p>
          <w:p w14:paraId="5EE4F7FD">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3.二次整改效果不佳，扣</w:t>
            </w:r>
            <w:r>
              <w:rPr>
                <w:rFonts w:cs="仿宋" w:asciiTheme="minorEastAsia" w:hAnsiTheme="minorEastAsia" w:eastAsiaTheme="minorEastAsia"/>
                <w:szCs w:val="21"/>
              </w:rPr>
              <w:t>2</w:t>
            </w:r>
            <w:r>
              <w:rPr>
                <w:rFonts w:hint="eastAsia" w:cs="仿宋" w:asciiTheme="minorEastAsia" w:hAnsiTheme="minorEastAsia" w:eastAsiaTheme="minorEastAsia"/>
                <w:szCs w:val="21"/>
              </w:rPr>
              <w:t>分/次；</w:t>
            </w:r>
          </w:p>
          <w:p w14:paraId="110A832C">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4.积极配合，受到甲方上级表扬，奖</w:t>
            </w:r>
            <w:r>
              <w:rPr>
                <w:rFonts w:cs="仿宋" w:asciiTheme="minorEastAsia" w:hAnsiTheme="minorEastAsia" w:eastAsiaTheme="minorEastAsia"/>
                <w:szCs w:val="21"/>
              </w:rPr>
              <w:t>1</w:t>
            </w:r>
            <w:r>
              <w:rPr>
                <w:rFonts w:hint="eastAsia" w:cs="仿宋" w:asciiTheme="minorEastAsia" w:hAnsiTheme="minorEastAsia" w:eastAsiaTheme="minorEastAsia"/>
                <w:szCs w:val="21"/>
              </w:rPr>
              <w:t>分。</w:t>
            </w:r>
          </w:p>
        </w:tc>
        <w:tc>
          <w:tcPr>
            <w:tcW w:w="635" w:type="pct"/>
            <w:vAlign w:val="center"/>
          </w:tcPr>
          <w:p w14:paraId="5B56F5CA">
            <w:pPr>
              <w:spacing w:after="60"/>
              <w:jc w:val="center"/>
              <w:rPr>
                <w:rFonts w:hint="eastAsia" w:cs="仿宋" w:asciiTheme="minorEastAsia" w:hAnsiTheme="minorEastAsia" w:eastAsiaTheme="minorEastAsia"/>
                <w:szCs w:val="21"/>
              </w:rPr>
            </w:pPr>
            <w:r>
              <w:rPr>
                <w:rFonts w:cs="仿宋" w:asciiTheme="minorEastAsia" w:hAnsiTheme="minorEastAsia" w:eastAsiaTheme="minorEastAsia"/>
                <w:szCs w:val="21"/>
              </w:rPr>
              <w:t>4</w:t>
            </w:r>
            <w:r>
              <w:rPr>
                <w:rFonts w:hint="eastAsia" w:cs="仿宋" w:asciiTheme="minorEastAsia" w:hAnsiTheme="minorEastAsia" w:eastAsiaTheme="minorEastAsia"/>
                <w:szCs w:val="21"/>
              </w:rPr>
              <w:t>0</w:t>
            </w:r>
          </w:p>
        </w:tc>
        <w:tc>
          <w:tcPr>
            <w:tcW w:w="524" w:type="pct"/>
            <w:vAlign w:val="center"/>
          </w:tcPr>
          <w:p w14:paraId="3220392D">
            <w:pPr>
              <w:spacing w:after="60"/>
              <w:jc w:val="center"/>
              <w:rPr>
                <w:rFonts w:hint="eastAsia" w:cs="仿宋" w:asciiTheme="minorEastAsia" w:hAnsiTheme="minorEastAsia" w:eastAsiaTheme="minorEastAsia"/>
                <w:szCs w:val="21"/>
              </w:rPr>
            </w:pPr>
          </w:p>
        </w:tc>
      </w:tr>
      <w:tr w14:paraId="7234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746" w:type="pct"/>
            <w:vAlign w:val="center"/>
          </w:tcPr>
          <w:p w14:paraId="01F6AC39">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总体评价</w:t>
            </w:r>
          </w:p>
        </w:tc>
        <w:tc>
          <w:tcPr>
            <w:tcW w:w="1384" w:type="pct"/>
            <w:vAlign w:val="center"/>
          </w:tcPr>
          <w:p w14:paraId="6F39B83B">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考核总分</w:t>
            </w:r>
          </w:p>
        </w:tc>
        <w:tc>
          <w:tcPr>
            <w:tcW w:w="2345" w:type="pct"/>
            <w:gridSpan w:val="2"/>
            <w:vAlign w:val="center"/>
          </w:tcPr>
          <w:p w14:paraId="145DB21D">
            <w:pPr>
              <w:spacing w:after="60"/>
              <w:jc w:val="center"/>
              <w:rPr>
                <w:rFonts w:hint="eastAsia" w:cs="仿宋" w:asciiTheme="minorEastAsia" w:hAnsiTheme="minorEastAsia" w:eastAsiaTheme="minorEastAsia"/>
                <w:szCs w:val="21"/>
              </w:rPr>
            </w:pPr>
            <w:r>
              <w:rPr>
                <w:rFonts w:hint="eastAsia" w:cs="仿宋" w:asciiTheme="minorEastAsia" w:hAnsiTheme="minorEastAsia" w:eastAsiaTheme="minorEastAsia"/>
                <w:szCs w:val="21"/>
              </w:rPr>
              <w:t>100</w:t>
            </w:r>
          </w:p>
        </w:tc>
        <w:tc>
          <w:tcPr>
            <w:tcW w:w="524" w:type="pct"/>
            <w:vAlign w:val="center"/>
          </w:tcPr>
          <w:p w14:paraId="6986C4B2">
            <w:pPr>
              <w:spacing w:after="60"/>
              <w:rPr>
                <w:rFonts w:hint="eastAsia" w:cs="仿宋" w:asciiTheme="minorEastAsia" w:hAnsiTheme="minorEastAsia" w:eastAsiaTheme="minorEastAsia"/>
                <w:szCs w:val="21"/>
              </w:rPr>
            </w:pPr>
          </w:p>
        </w:tc>
      </w:tr>
      <w:tr w14:paraId="179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000" w:type="pct"/>
            <w:gridSpan w:val="5"/>
          </w:tcPr>
          <w:p w14:paraId="6E1FBECC">
            <w:pPr>
              <w:spacing w:after="60"/>
              <w:rPr>
                <w:rFonts w:hint="eastAsia" w:cs="仿宋" w:asciiTheme="minorEastAsia" w:hAnsiTheme="minorEastAsia" w:eastAsiaTheme="minorEastAsia"/>
                <w:szCs w:val="21"/>
              </w:rPr>
            </w:pPr>
            <w:r>
              <w:rPr>
                <w:rFonts w:hint="eastAsia" w:cs="仿宋" w:asciiTheme="minorEastAsia" w:hAnsiTheme="minorEastAsia" w:eastAsiaTheme="minorEastAsia"/>
                <w:szCs w:val="21"/>
              </w:rPr>
              <w:t>备注：</w:t>
            </w:r>
          </w:p>
          <w:p w14:paraId="52E7897A">
            <w:pPr>
              <w:spacing w:after="60" w:line="280" w:lineRule="exact"/>
              <w:rPr>
                <w:rFonts w:hint="eastAsia" w:cs="仿宋" w:asciiTheme="minorEastAsia" w:hAnsiTheme="minorEastAsia" w:eastAsiaTheme="minorEastAsia"/>
                <w:szCs w:val="21"/>
              </w:rPr>
            </w:pPr>
            <w:r>
              <w:rPr>
                <w:rFonts w:hint="eastAsia" w:cs="仿宋" w:asciiTheme="minorEastAsia" w:hAnsiTheme="minorEastAsia" w:eastAsiaTheme="minorEastAsia"/>
                <w:szCs w:val="21"/>
              </w:rPr>
              <w:t>1、90分以上为优秀；2、80-89分为良好；3、60-79分为合格；4、60分以下为不合格。</w:t>
            </w:r>
          </w:p>
        </w:tc>
      </w:tr>
    </w:tbl>
    <w:p w14:paraId="10950AB9">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1317C8"/>
    <w:multiLevelType w:val="multilevel"/>
    <w:tmpl w:val="241317C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44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05F70E8"/>
    <w:multiLevelType w:val="multilevel"/>
    <w:tmpl w:val="305F70E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DFA2C91"/>
    <w:multiLevelType w:val="singleLevel"/>
    <w:tmpl w:val="3DFA2C91"/>
    <w:lvl w:ilvl="0" w:tentative="0">
      <w:start w:val="1"/>
      <w:numFmt w:val="decimal"/>
      <w:lvlText w:val="%1."/>
      <w:lvlJc w:val="left"/>
      <w:pPr>
        <w:tabs>
          <w:tab w:val="left" w:pos="312"/>
        </w:tabs>
      </w:pPr>
    </w:lvl>
  </w:abstractNum>
  <w:abstractNum w:abstractNumId="3">
    <w:nsid w:val="541285ED"/>
    <w:multiLevelType w:val="singleLevel"/>
    <w:tmpl w:val="541285ED"/>
    <w:lvl w:ilvl="0" w:tentative="0">
      <w:start w:val="1"/>
      <w:numFmt w:val="decimal"/>
      <w:lvlText w:val="%1."/>
      <w:lvlJc w:val="left"/>
      <w:pPr>
        <w:tabs>
          <w:tab w:val="left" w:pos="312"/>
        </w:tabs>
      </w:pPr>
      <w:rPr>
        <w:b/>
      </w:rPr>
    </w:lvl>
  </w:abstractNum>
  <w:abstractNum w:abstractNumId="4">
    <w:nsid w:val="696D50BE"/>
    <w:multiLevelType w:val="multilevel"/>
    <w:tmpl w:val="696D50BE"/>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C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character" w:customStyle="1" w:styleId="8">
    <w:name w:val="ht1"/>
    <w:qFormat/>
    <w:uiPriority w:val="0"/>
    <w:rPr>
      <w:rFonts w:hint="default" w:ascii="_x000B__x000C_" w:hAnsi="_x000B__x000C_"/>
      <w:sz w:val="18"/>
      <w:szCs w:val="18"/>
    </w:rPr>
  </w:style>
  <w:style w:type="paragraph" w:styleId="9">
    <w:name w:val="List Paragraph"/>
    <w:basedOn w:val="1"/>
    <w:qFormat/>
    <w:uiPriority w:val="34"/>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2025-05-28T08:05:26Z</dcterms:created>
  <dc:creator>Administrator</dc:creator>
  <cp:lastModifiedBy>Administrator</cp:lastModifiedBy>
  <dcterms:modified xsi:type="dcterms:W3CDTF">2025-05-28T08:05:33Z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ABDD5F6EFAB74348BAA901D0737AC402_12</vt:lpwstr>
  </property>
</Properties>
</file>