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CF6389">
      <w:pPr>
        <w:pStyle w:val="6"/>
        <w:spacing w:before="120" w:after="120"/>
        <w:rPr>
          <w:rStyle w:val="7"/>
          <w:b w:val="0"/>
          <w:bCs w:val="0"/>
        </w:rPr>
      </w:pPr>
      <w:r>
        <w:rPr>
          <w:rStyle w:val="7"/>
          <w:rFonts w:hint="eastAsia"/>
          <w:b w:val="0"/>
          <w:bCs w:val="0"/>
        </w:rPr>
        <w:t>服务需求书</w:t>
      </w:r>
    </w:p>
    <w:p w14:paraId="0E2A81AC">
      <w:pPr>
        <w:spacing w:after="60" w:line="360" w:lineRule="auto"/>
        <w:ind w:right="-63" w:rightChars="-30" w:firstLine="426"/>
        <w:rPr>
          <w:rFonts w:hint="eastAsia" w:ascii="宋体" w:hAnsi="宋体"/>
          <w:b/>
          <w:color w:val="FF0000"/>
        </w:rPr>
      </w:pPr>
      <w:r>
        <w:rPr>
          <w:rFonts w:hint="eastAsia" w:ascii="宋体" w:hAnsi="宋体"/>
          <w:b/>
          <w:color w:val="FF0000"/>
        </w:rPr>
        <w:t>1. 带“★”项为不可负偏离项，有一项负偏离即导致投标无效。是否响应第六章服务需求书，以《服务条款偏离表》“投标文件响应”栏填写为准。</w:t>
      </w:r>
    </w:p>
    <w:p w14:paraId="0FBD638D">
      <w:pPr>
        <w:spacing w:after="60" w:line="360" w:lineRule="auto"/>
        <w:ind w:right="-63" w:rightChars="-30" w:firstLine="426"/>
        <w:rPr>
          <w:rFonts w:hint="eastAsia" w:ascii="宋体" w:hAnsi="宋体"/>
          <w:b/>
          <w:color w:val="FF0000"/>
        </w:rPr>
      </w:pPr>
      <w:r>
        <w:rPr>
          <w:rFonts w:hint="eastAsia" w:ascii="宋体" w:hAnsi="宋体"/>
          <w:b/>
          <w:color w:val="FF0000"/>
        </w:rPr>
        <w:t>2.如投标人中标后被发现不能满足本章带★号条款要求的，采购单位有权拒绝签订合同，一切后果由投标人承担。</w:t>
      </w:r>
    </w:p>
    <w:p w14:paraId="6FA0D74F">
      <w:pPr>
        <w:pStyle w:val="2"/>
      </w:pPr>
    </w:p>
    <w:p w14:paraId="36B12B0D">
      <w:pPr>
        <w:pStyle w:val="2"/>
        <w:ind w:firstLine="426" w:firstLineChars="202"/>
        <w:rPr>
          <w:rFonts w:hint="eastAsia" w:asciiTheme="minorEastAsia" w:hAnsiTheme="minorEastAsia" w:eastAsiaTheme="minorEastAsia"/>
          <w:b/>
          <w:szCs w:val="21"/>
        </w:rPr>
      </w:pPr>
      <w:r>
        <w:rPr>
          <w:rFonts w:asciiTheme="minorEastAsia" w:hAnsiTheme="minorEastAsia" w:eastAsiaTheme="minorEastAsia"/>
          <w:b/>
          <w:szCs w:val="21"/>
        </w:rPr>
        <w:t>（一）采购项目概况：</w:t>
      </w:r>
    </w:p>
    <w:p w14:paraId="72513FC1">
      <w:pPr>
        <w:pStyle w:val="2"/>
        <w:numPr>
          <w:ilvl w:val="1"/>
          <w:numId w:val="1"/>
        </w:numPr>
        <w:rPr>
          <w:rFonts w:hint="eastAsia" w:asciiTheme="minorEastAsia" w:hAnsiTheme="minorEastAsia" w:eastAsiaTheme="minorEastAsia"/>
          <w:bCs w:val="0"/>
          <w:szCs w:val="21"/>
        </w:rPr>
      </w:pPr>
      <w:r>
        <w:rPr>
          <w:rFonts w:asciiTheme="minorEastAsia" w:hAnsiTheme="minorEastAsia" w:eastAsiaTheme="minorEastAsia"/>
          <w:bCs w:val="0"/>
          <w:szCs w:val="21"/>
        </w:rPr>
        <w:t>项目名称：宝安政府在线网站优化升级与监测运维服务（2025年）项目</w:t>
      </w:r>
    </w:p>
    <w:p w14:paraId="3207B192">
      <w:pPr>
        <w:pStyle w:val="2"/>
        <w:numPr>
          <w:ilvl w:val="1"/>
          <w:numId w:val="1"/>
        </w:numPr>
        <w:rPr>
          <w:rFonts w:hint="eastAsia" w:asciiTheme="minorEastAsia" w:hAnsiTheme="minorEastAsia" w:eastAsiaTheme="minorEastAsia"/>
          <w:bCs w:val="0"/>
          <w:szCs w:val="21"/>
        </w:rPr>
      </w:pPr>
      <w:r>
        <w:rPr>
          <w:rFonts w:asciiTheme="minorEastAsia" w:hAnsiTheme="minorEastAsia" w:eastAsiaTheme="minorEastAsia"/>
          <w:bCs w:val="0"/>
          <w:szCs w:val="21"/>
        </w:rPr>
        <w:t>项目预算金额：人民币75万元/年</w:t>
      </w:r>
    </w:p>
    <w:p w14:paraId="6C33FB96">
      <w:pPr>
        <w:pStyle w:val="2"/>
        <w:ind w:firstLine="426" w:firstLineChars="202"/>
        <w:rPr>
          <w:rFonts w:hint="eastAsia" w:asciiTheme="minorEastAsia" w:hAnsiTheme="minorEastAsia" w:eastAsiaTheme="minorEastAsia"/>
          <w:b/>
          <w:szCs w:val="21"/>
        </w:rPr>
      </w:pPr>
      <w:r>
        <w:rPr>
          <w:rFonts w:asciiTheme="minorEastAsia" w:hAnsiTheme="minorEastAsia" w:eastAsiaTheme="minorEastAsia"/>
          <w:b/>
          <w:szCs w:val="21"/>
        </w:rPr>
        <w:t>（二）项目管理和服务要求：</w:t>
      </w:r>
    </w:p>
    <w:p w14:paraId="5543039D">
      <w:pPr>
        <w:pStyle w:val="2"/>
        <w:ind w:firstLine="426" w:firstLineChars="202"/>
        <w:rPr>
          <w:rFonts w:hint="eastAsia" w:asciiTheme="minorEastAsia" w:hAnsiTheme="minorEastAsia" w:eastAsiaTheme="minorEastAsia"/>
          <w:bCs w:val="0"/>
          <w:szCs w:val="21"/>
        </w:rPr>
      </w:pPr>
      <w:r>
        <w:rPr>
          <w:rFonts w:asciiTheme="minorEastAsia" w:hAnsiTheme="minorEastAsia" w:eastAsiaTheme="minorEastAsia"/>
          <w:b/>
          <w:szCs w:val="21"/>
        </w:rPr>
        <w:t>1.服务范围:</w:t>
      </w:r>
      <w:r>
        <w:rPr>
          <w:rFonts w:asciiTheme="minorEastAsia" w:hAnsiTheme="minorEastAsia" w:eastAsiaTheme="minorEastAsia"/>
          <w:bCs w:val="0"/>
          <w:szCs w:val="21"/>
        </w:rPr>
        <w:t>为贯彻落实国家、省有关党政机关网站和新媒体绩效考核要求，同时保障宝安区党群机关网站和新媒体安全稳定运转。</w:t>
      </w:r>
    </w:p>
    <w:p w14:paraId="25B5B867">
      <w:pPr>
        <w:pStyle w:val="2"/>
        <w:ind w:firstLine="426" w:firstLineChars="202"/>
        <w:rPr>
          <w:rFonts w:hint="eastAsia" w:asciiTheme="minorEastAsia" w:hAnsiTheme="minorEastAsia" w:eastAsiaTheme="minorEastAsia"/>
          <w:b/>
          <w:szCs w:val="21"/>
        </w:rPr>
      </w:pPr>
      <w:r>
        <w:rPr>
          <w:rFonts w:asciiTheme="minorEastAsia" w:hAnsiTheme="minorEastAsia" w:eastAsiaTheme="minorEastAsia"/>
          <w:b/>
          <w:szCs w:val="21"/>
        </w:rPr>
        <w:t>2.服务期限：</w:t>
      </w:r>
    </w:p>
    <w:p w14:paraId="2FD8FF44">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（1）本项目服务期为1年；</w:t>
      </w:r>
    </w:p>
    <w:p w14:paraId="06EE897C">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（2）本项目为长期服务项目，第一年合同期满前1个月，采购方对中标方总体服务履约情况出具考核验收报告。采购方可根据中标方履约情况确定合同是否续签，合同期限为一年一签，最多可续签两次。</w:t>
      </w:r>
    </w:p>
    <w:p w14:paraId="081D1FA9">
      <w:pPr>
        <w:pStyle w:val="2"/>
        <w:ind w:firstLine="426" w:firstLineChars="202"/>
        <w:rPr>
          <w:rFonts w:hint="eastAsia" w:asciiTheme="minorEastAsia" w:hAnsiTheme="minorEastAsia" w:eastAsiaTheme="minorEastAsia"/>
          <w:b/>
          <w:szCs w:val="21"/>
        </w:rPr>
      </w:pPr>
      <w:r>
        <w:rPr>
          <w:rFonts w:asciiTheme="minorEastAsia" w:hAnsiTheme="minorEastAsia" w:eastAsiaTheme="minorEastAsia"/>
          <w:b/>
          <w:szCs w:val="21"/>
        </w:rPr>
        <w:t>3.服务内容、技术标准、工作质量要求:</w:t>
      </w:r>
    </w:p>
    <w:p w14:paraId="6054400E">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项目服务内容主要包含政府网站技术支撑和宝安区党群机关网站和新媒体监测工作。具体情况如下：</w:t>
      </w:r>
    </w:p>
    <w:p w14:paraId="1B2A32A1">
      <w:pPr>
        <w:pStyle w:val="2"/>
        <w:ind w:firstLine="424" w:firstLineChars="202"/>
        <w:rPr>
          <w:rFonts w:hint="eastAsia" w:asciiTheme="minorEastAsia" w:hAnsiTheme="minorEastAsia" w:eastAsiaTheme="minorEastAsia"/>
          <w:bCs w:val="0"/>
          <w:szCs w:val="21"/>
        </w:rPr>
      </w:pPr>
      <w:bookmarkStart w:id="0" w:name="_Hlk54001090"/>
      <w:bookmarkStart w:id="1" w:name="_Hlk65514619"/>
      <w:r>
        <w:rPr>
          <w:rFonts w:hint="eastAsia" w:asciiTheme="minorEastAsia" w:hAnsiTheme="minorEastAsia" w:eastAsiaTheme="minorEastAsia"/>
          <w:bCs w:val="0"/>
          <w:szCs w:val="21"/>
        </w:rPr>
        <w:t>（1）政府网站技术支撑</w:t>
      </w:r>
    </w:p>
    <w:p w14:paraId="3CE5004A">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根据采购方最新工作要求，中标方安排专业技术团队协助开展“宝安政府在线”网站及区属街道部门政府信息公开平台网页技术支撑工作。主要包括以下工作内容：</w:t>
      </w:r>
    </w:p>
    <w:p w14:paraId="3848DA65">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①协助采购方开展“宝安政府在线”网站改版升级，包括“宝安政府在线”网站及区属街道部门政府信息公开平台网站政民互动模块改版、政策文件库改版优化、创新应用建设等；</w:t>
      </w:r>
    </w:p>
    <w:p w14:paraId="5DEF216B">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②协助采购方开展广东省政府网站集约化平台账号安全管理工作，严格设定账号访问限制和操作权限，定期备份网站模板、信息数据备份；</w:t>
      </w:r>
    </w:p>
    <w:p w14:paraId="39E1DFB6">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③协助采购方开展“宝安政府在线”网站及区属街道部门政府信息公开平台网页无障碍及适老化改造及复评，并持续优化新增专题专栏源代码兼容性；</w:t>
      </w:r>
    </w:p>
    <w:p w14:paraId="29501ACA">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④协助采购方开展已公开网站信息转化为公共数据，保障数据开放工作;</w:t>
      </w:r>
    </w:p>
    <w:p w14:paraId="012090C7">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⑤提供广东省政府网站集约化平台数据同步功能技术支持。</w:t>
      </w:r>
    </w:p>
    <w:p w14:paraId="595ECA27">
      <w:pPr>
        <w:pStyle w:val="2"/>
        <w:ind w:firstLine="424" w:firstLineChars="202"/>
        <w:rPr>
          <w:rFonts w:hint="eastAsia" w:asciiTheme="minorEastAsia" w:hAnsiTheme="minorEastAsia" w:eastAsiaTheme="minorEastAsia"/>
          <w:bCs w:val="0"/>
          <w:szCs w:val="21"/>
        </w:rPr>
      </w:pPr>
      <w:r>
        <w:rPr>
          <w:rFonts w:hint="eastAsia" w:asciiTheme="minorEastAsia" w:hAnsiTheme="minorEastAsia" w:eastAsiaTheme="minorEastAsia"/>
          <w:bCs w:val="0"/>
          <w:szCs w:val="21"/>
        </w:rPr>
        <w:t>（2）党群机关网站和新媒体监测</w:t>
      </w:r>
    </w:p>
    <w:p w14:paraId="247E2C49">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根据《深圳市党政机关网站和新媒体管理办法（试行）》《宝安区党政机关网站和新媒体管理办法（试行）》等文件要求，中标方安排专业技术团队协助开展宝安区党群机关网站和新媒体监测工作。主要包括以下工作内容：</w:t>
      </w:r>
    </w:p>
    <w:p w14:paraId="1775C3F7">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①上级工单技术支撑。中标方按照国家、省、市网站新媒体有关文件要求，定期处理上级单位“广东省政府网站集约化平台”“深圳市党政机关网站和新媒体内容监测综合管理平台”等系统转来的季度检测报告、日常检测工单问题，及时协调责任单位处置，并实时跟进整改情况、及时反馈处理结果；</w:t>
      </w:r>
    </w:p>
    <w:p w14:paraId="1BEB8D3C">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②日常技术监测。中标方按照国家、省、市网站新媒体有关文件要求，采用“智能监测系统+人工核查”的方式，每天对宝安区各级党群机关网站和新媒体进行全面排查，检查是否存在站点无法访问、严重表述错误、错敏词、个人隐私泄露、外链暗链失效、内容不更新、功能可用性漏报瞒报、开办关停不规范、备案标识不规范等情况，发现问题及时出具检测报告并协助整改复查，服务期内共提供不少于100份报告；</w:t>
      </w:r>
    </w:p>
    <w:p w14:paraId="3695FA9C">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③域名管理支持。中标方按照国家、省、市互联网政务应用域名安全管理有关文件要求，协助采购方开展宝安区互联网政务应用域名安全管理工作。主要服务内容包括：一是协助开展宝安政府在线主域名及相关二级域名监管工作，以租赁方式提供2套DNS互联网域名管理系统及运维服务，定期按采购方日常管理要求处理域名管理台账更新、二级域名分配回收、域名证书解析验证、域名状态监控与安全设置等工作；二是协助中标方管理互联网应用主域名及其他相关域名，提供相关域名安全管理通配符证书（OV）及证书签发、3个域名可用性维护等服务，定期按采购方日常管理要求处理域名注册转移、二级域名分配回收、域名可用性维护与到期管理、域名证书解析验证、域名状态监控与安全设置等工作；三是协助采购方开展域名备案技术支撑工作，提供网站和新媒体ICP备案、公安备案、网站标识申领等技术支持服务。</w:t>
      </w:r>
    </w:p>
    <w:p w14:paraId="32BBF4E9">
      <w:pPr>
        <w:pStyle w:val="2"/>
        <w:ind w:firstLine="426" w:firstLineChars="202"/>
        <w:rPr>
          <w:rFonts w:hint="eastAsia" w:asciiTheme="minorEastAsia" w:hAnsiTheme="minorEastAsia" w:eastAsiaTheme="minorEastAsia"/>
          <w:b/>
          <w:szCs w:val="21"/>
        </w:rPr>
      </w:pPr>
      <w:r>
        <w:rPr>
          <w:rFonts w:asciiTheme="minorEastAsia" w:hAnsiTheme="minorEastAsia" w:eastAsiaTheme="minorEastAsia"/>
          <w:b/>
          <w:szCs w:val="21"/>
        </w:rPr>
        <w:t>4.人员要求</w:t>
      </w:r>
      <w:r>
        <w:rPr>
          <w:rFonts w:hint="eastAsia" w:asciiTheme="minorEastAsia" w:hAnsiTheme="minorEastAsia" w:eastAsiaTheme="minorEastAsia"/>
          <w:b/>
          <w:szCs w:val="21"/>
        </w:rPr>
        <w:t>：</w:t>
      </w:r>
    </w:p>
    <w:p w14:paraId="6FAF57FF">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根据项目的规模及特点，投标人应配备人员不少于6人项目团队，按采购方要求完成服务成果。</w:t>
      </w:r>
    </w:p>
    <w:p w14:paraId="34CFCB2C">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中标方根据项目的规模及特点，安排至少一名技术人员现场驻点宝安区政府办公楼，负责协调项目远程技术支持人员及各方资源，及时完成采购方交办的各项工作任务，保质保量交付项目服务成果。</w:t>
      </w:r>
    </w:p>
    <w:p w14:paraId="22B22270">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人员变更在项目服务期内，投标人承诺的项目服务的主要人员未经用户同意不得调整；投标人如中途更换主要技术人员，必须征得用户同意。</w:t>
      </w:r>
    </w:p>
    <w:p w14:paraId="26DFF928">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中标后必须提供以上人员相关证明资料复印件并加盖公章，并提供以上人员在投标人公司任职的有效外部证明材料（如《社会保险参保人员证明》）复印件。</w:t>
      </w:r>
      <w:bookmarkEnd w:id="0"/>
      <w:bookmarkEnd w:id="1"/>
    </w:p>
    <w:p w14:paraId="79663E88">
      <w:pPr>
        <w:pStyle w:val="2"/>
        <w:ind w:firstLine="426" w:firstLineChars="202"/>
        <w:rPr>
          <w:rFonts w:hint="eastAsia" w:asciiTheme="minorEastAsia" w:hAnsiTheme="minorEastAsia" w:eastAsiaTheme="minorEastAsia"/>
          <w:b/>
          <w:szCs w:val="21"/>
        </w:rPr>
      </w:pPr>
      <w:r>
        <w:rPr>
          <w:rFonts w:asciiTheme="minorEastAsia" w:hAnsiTheme="minorEastAsia" w:eastAsiaTheme="minorEastAsia"/>
          <w:b/>
          <w:szCs w:val="21"/>
        </w:rPr>
        <w:t>5.设备要求（设备名称、数量）：</w:t>
      </w:r>
    </w:p>
    <w:p w14:paraId="6279E0CA">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无设备采购。</w:t>
      </w:r>
    </w:p>
    <w:p w14:paraId="78B1891C">
      <w:pPr>
        <w:pStyle w:val="2"/>
        <w:ind w:firstLine="426" w:firstLineChars="202"/>
        <w:rPr>
          <w:rFonts w:hint="eastAsia" w:asciiTheme="minorEastAsia" w:hAnsiTheme="minorEastAsia" w:eastAsiaTheme="minorEastAsia"/>
          <w:b/>
          <w:szCs w:val="21"/>
        </w:rPr>
      </w:pPr>
      <w:r>
        <w:rPr>
          <w:rFonts w:asciiTheme="minorEastAsia" w:hAnsiTheme="minorEastAsia" w:eastAsiaTheme="minorEastAsia"/>
          <w:b/>
          <w:szCs w:val="21"/>
        </w:rPr>
        <w:t>6.考核办法/验收方式：</w:t>
      </w:r>
    </w:p>
    <w:p w14:paraId="4DE5EE4F">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在完成全部服务内容后，通过采购方验收，提交 1 份平台的运行维护报告。</w:t>
      </w:r>
    </w:p>
    <w:p w14:paraId="08F41F59">
      <w:pPr>
        <w:pStyle w:val="2"/>
        <w:ind w:firstLine="426" w:firstLineChars="202"/>
        <w:rPr>
          <w:rFonts w:hint="eastAsia" w:asciiTheme="minorEastAsia" w:hAnsiTheme="minorEastAsia" w:eastAsiaTheme="minorEastAsia"/>
          <w:b/>
          <w:szCs w:val="21"/>
        </w:rPr>
      </w:pPr>
      <w:r>
        <w:rPr>
          <w:rFonts w:asciiTheme="minorEastAsia" w:hAnsiTheme="minorEastAsia" w:eastAsiaTheme="minorEastAsia"/>
          <w:b/>
          <w:szCs w:val="21"/>
        </w:rPr>
        <w:t>7.报价要求：</w:t>
      </w:r>
    </w:p>
    <w:p w14:paraId="18635A39">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（1）项目报价不得超过预算金额；</w:t>
      </w:r>
    </w:p>
    <w:p w14:paraId="3688FBB9">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（2）项目报价应包括完成本项目所有费用，包含但不限于人员费用、国家规定的各项税费；</w:t>
      </w:r>
    </w:p>
    <w:p w14:paraId="402DB8D5">
      <w:pPr>
        <w:pStyle w:val="2"/>
        <w:ind w:firstLine="426" w:firstLineChars="202"/>
        <w:rPr>
          <w:rFonts w:hint="eastAsia" w:asciiTheme="minorEastAsia" w:hAnsiTheme="minorEastAsia" w:eastAsiaTheme="minorEastAsia"/>
          <w:b/>
          <w:szCs w:val="21"/>
        </w:rPr>
      </w:pPr>
      <w:r>
        <w:rPr>
          <w:rFonts w:asciiTheme="minorEastAsia" w:hAnsiTheme="minorEastAsia" w:eastAsiaTheme="minorEastAsia"/>
          <w:b/>
          <w:szCs w:val="21"/>
        </w:rPr>
        <w:t>8.付款方式：</w:t>
      </w:r>
    </w:p>
    <w:p w14:paraId="351887F0">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（1）项目按合同相关规定分期付款，相关要求、时限以合同文本的约定和财政部门的规定的集中支付制度和支付程序，待财政资金审批到位后支付。</w:t>
      </w:r>
    </w:p>
    <w:p w14:paraId="0923E3BF">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服务期满前采购方对供应商服务情况开展履约评价并对项目服务成果进行验收，验收通过后，结合实际履约情况和评价结果，据实支付。评价为“优”的，则支付全部尾款；评价为“良”则支付尾款的70%；评价为“中”的，则支付尾款的50%；评价为“差”的，则尾款不予支付，且采购方有权终止合同，因供应商行为给采购方造成损失的供应商应当承担赔偿责任。</w:t>
      </w:r>
    </w:p>
    <w:p w14:paraId="40E4DCE5">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如因政策影响、采购方财政支付审核批准流程，或供应商提供的财务票据及其他请款资料不符合采购方要求，或供应商提供的银行账号信息有误等致使采购方未能按照上述约定如期支付合同价款的，不视为采购方违约，供应商亦不得以此为由拒绝履行合同义务或要求采购方承担任何责任。</w:t>
      </w:r>
    </w:p>
    <w:p w14:paraId="26FB141C">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因财政下达资金情况无法明确，合同款项将按照财政向采购方下达的项目资金情况进行据实支付，据实支付项目金额不超过该合同条款上限，供应商应根据上述条款出具对应金额的合法有效发票。</w:t>
      </w:r>
    </w:p>
    <w:p w14:paraId="093F44A0">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供应商应配合采购方提供相关部门审核所需资料，并遵循项目事后审核结果，包括立项方案审核、预算审核、初验、试运行、终验、竣工验收、符合性审查、项目备案、结（决）算（如涉及）、项目后评价（如涉及）等。如项目审定金额低于合同约定金额，则以审定结果为准，供应商应在采购方指定期限内配合退还已支付的资金差额。合同款项尚未支付的，采购方有权在未支付的款项中予以扣除，尚未支付的款项不足以扣除的，供应商应在采购方要求时间内补足；如项目审定金额高于合同约定金额的，则按合同约定金额履行。</w:t>
      </w:r>
    </w:p>
    <w:p w14:paraId="5B38686B">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（2）用户满意度：</w:t>
      </w:r>
    </w:p>
    <w:p w14:paraId="1E0AB6DA">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为保证提供的服务质量，最终验收阶段，投标人将抽取部分服务对象（各街道、区各有关单位）开展满意度调查，结合网站发展的不同阶段，为网站的优化、发展方向提供决策依据。满意度调查应涵盖以下方面：应用功能完整性、系统稳定性操作便利性以及“希望改进哪个方面？”等开放性问题。</w:t>
      </w:r>
    </w:p>
    <w:p w14:paraId="1C1584D7">
      <w:pPr>
        <w:pStyle w:val="2"/>
        <w:ind w:firstLine="424" w:firstLineChars="202"/>
        <w:rPr>
          <w:rFonts w:hint="eastAsia" w:asciiTheme="minorEastAsia" w:hAnsiTheme="minorEastAsia" w:eastAsiaTheme="minorEastAsia"/>
          <w:bCs w:val="0"/>
          <w:szCs w:val="21"/>
        </w:rPr>
      </w:pPr>
      <w:r>
        <w:rPr>
          <w:rFonts w:asciiTheme="minorEastAsia" w:hAnsiTheme="minorEastAsia" w:eastAsiaTheme="minorEastAsia"/>
          <w:bCs w:val="0"/>
          <w:szCs w:val="21"/>
        </w:rPr>
        <w:t>平均满意度高于80%视为完成指标；平均满意度70%-80%，投标人应对不达标的方面及时进行改进优化；平均满意度低于70%，采购方有权不支付项目尾款。</w:t>
      </w:r>
    </w:p>
    <w:p w14:paraId="1208E0BA">
      <w:bookmarkStart w:id="2" w:name="_GoBack"/>
      <w:bookmarkEnd w:id="2"/>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300" w:lineRule="auto"/>
      </w:pPr>
      <w:r>
        <w:separator/>
      </w:r>
    </w:p>
  </w:footnote>
  <w:footnote w:type="continuationSeparator" w:id="1">
    <w:p>
      <w:pPr>
        <w:spacing w:before="0" w:after="0" w:line="30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EC40C5"/>
    <w:multiLevelType w:val="multilevel"/>
    <w:tmpl w:val="06EC40C5"/>
    <w:lvl w:ilvl="0" w:tentative="0">
      <w:start w:val="1"/>
      <w:numFmt w:val="decimal"/>
      <w:lvlText w:val="%1)"/>
      <w:lvlJc w:val="left"/>
      <w:pPr>
        <w:ind w:left="440" w:hanging="440"/>
      </w:pPr>
    </w:lvl>
    <w:lvl w:ilvl="1" w:tentative="0">
      <w:start w:val="1"/>
      <w:numFmt w:val="decimal"/>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EA43A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afterLines="25" w:line="300" w:lineRule="auto"/>
      <w:jc w:val="both"/>
    </w:pPr>
    <w:rPr>
      <w:rFonts w:ascii="Arial" w:hAnsi="Arial" w:eastAsia="宋体" w:cs="Times New Roman"/>
      <w:kern w:val="2"/>
      <w:sz w:val="21"/>
      <w:szCs w:val="24"/>
      <w:lang w:val="en-US" w:eastAsia="zh-CN" w:bidi="ar-SA"/>
    </w:rPr>
  </w:style>
  <w:style w:type="paragraph" w:styleId="3">
    <w:name w:val="heading 1"/>
    <w:basedOn w:val="1"/>
    <w:next w:val="1"/>
    <w:link w:val="7"/>
    <w:qFormat/>
    <w:uiPriority w:val="9"/>
    <w:pPr>
      <w:keepNext/>
      <w:keepLines/>
      <w:spacing w:before="340" w:line="578" w:lineRule="auto"/>
      <w:outlineLvl w:val="0"/>
    </w:pPr>
    <w:rPr>
      <w:b/>
      <w:bCs/>
      <w:kern w:val="44"/>
      <w:sz w:val="44"/>
      <w:szCs w:val="44"/>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文档正文"/>
    <w:basedOn w:val="1"/>
    <w:qFormat/>
    <w:uiPriority w:val="0"/>
    <w:pPr>
      <w:spacing w:afterLines="0" w:line="360" w:lineRule="auto"/>
    </w:pPr>
    <w:rPr>
      <w:rFonts w:cs="Arial"/>
      <w:bCs/>
    </w:rPr>
  </w:style>
  <w:style w:type="paragraph" w:customStyle="1" w:styleId="6">
    <w:name w:val="1册标题1"/>
    <w:basedOn w:val="1"/>
    <w:next w:val="1"/>
    <w:qFormat/>
    <w:uiPriority w:val="0"/>
    <w:pPr>
      <w:spacing w:beforeLines="50" w:afterLines="50"/>
      <w:jc w:val="center"/>
      <w:outlineLvl w:val="0"/>
    </w:pPr>
    <w:rPr>
      <w:rFonts w:eastAsia="黑体"/>
      <w:b/>
      <w:bCs/>
      <w:sz w:val="48"/>
      <w:szCs w:val="20"/>
    </w:rPr>
  </w:style>
  <w:style w:type="character" w:customStyle="1" w:styleId="7">
    <w:name w:val="标题 1 字符"/>
    <w:basedOn w:val="5"/>
    <w:link w:val="3"/>
    <w:qFormat/>
    <w:uiPriority w:val="9"/>
    <w:rPr>
      <w:b/>
      <w:bCs/>
      <w:kern w:val="44"/>
      <w:sz w:val="44"/>
      <w:szCs w:val="4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2025-06-05T09:45:44Z</dcterms:created>
  <dc:creator>Administrator</dc:creator>
  <cp:lastModifiedBy>Administrator</cp:lastModifiedBy>
  <dcterms:modified xsi:type="dcterms:W3CDTF">2025-06-05T09:45:47Z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KSOTemplateDocerSaveRecord">
    <vt:lpwstr>eyJoZGlkIjoiOWUyODI3ZDg3NjU4NzQ3NjJjMDhkZGY2ODVkYzI0NTAiLCJ1c2VySWQiOiI1MDk5NTI0NTYifQ==</vt:lpwstr>
  </property>
  <property fmtid="{D5CDD505-2E9C-101B-9397-08002B2CF9AE}" pid="4" name="ICV">
    <vt:lpwstr>3E5036BBC3B946BB9D892698E49AA2F3_12</vt:lpwstr>
  </property>
</Properties>
</file>