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0B80AD">
      <w:pPr>
        <w:pStyle w:val="5"/>
        <w:spacing w:before="120" w:after="120"/>
        <w:rPr>
          <w:rStyle w:val="6"/>
          <w:b w:val="0"/>
          <w:bCs w:val="0"/>
        </w:rPr>
      </w:pPr>
      <w:r>
        <w:rPr>
          <w:rStyle w:val="6"/>
          <w:rFonts w:hint="eastAsia"/>
          <w:b w:val="0"/>
          <w:bCs w:val="0"/>
        </w:rPr>
        <w:t>货物和服务需求书</w:t>
      </w:r>
    </w:p>
    <w:p w14:paraId="52543082">
      <w:pPr>
        <w:spacing w:after="60" w:line="360" w:lineRule="auto"/>
        <w:jc w:val="center"/>
        <w:rPr>
          <w:b/>
          <w:color w:val="FF0000"/>
          <w:sz w:val="28"/>
          <w:szCs w:val="28"/>
        </w:rPr>
      </w:pPr>
      <w:r>
        <w:rPr>
          <w:rFonts w:hint="eastAsia"/>
          <w:b/>
          <w:color w:val="FF0000"/>
          <w:sz w:val="28"/>
          <w:szCs w:val="28"/>
        </w:rPr>
        <w:t>（商务要求部分）</w:t>
      </w:r>
    </w:p>
    <w:p w14:paraId="02D5C5E5">
      <w:pPr>
        <w:spacing w:after="60" w:line="360" w:lineRule="auto"/>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（一）</w:t>
      </w:r>
      <w:r>
        <w:rPr>
          <w:rFonts w:hint="eastAsia" w:asciiTheme="minorEastAsia" w:hAnsiTheme="minorEastAsia" w:eastAsiaTheme="minorEastAsia"/>
          <w:b/>
          <w:bCs/>
          <w:szCs w:val="21"/>
        </w:rPr>
        <w:t>采购项目基本信息</w:t>
      </w:r>
      <w:r>
        <w:rPr>
          <w:rFonts w:hint="eastAsia" w:asciiTheme="minorEastAsia" w:hAnsiTheme="minorEastAsia" w:eastAsiaTheme="minorEastAsia"/>
          <w:szCs w:val="21"/>
        </w:rPr>
        <w:t>：</w:t>
      </w:r>
    </w:p>
    <w:p w14:paraId="5E158D6C">
      <w:pPr>
        <w:spacing w:after="60" w:line="360" w:lineRule="auto"/>
        <w:ind w:firstLine="422" w:firstLineChars="200"/>
        <w:jc w:val="left"/>
        <w:rPr>
          <w:rFonts w:hint="eastAsia" w:cs="仿宋_GB2312" w:asciiTheme="minorEastAsia" w:hAnsiTheme="minorEastAsia" w:eastAsiaTheme="minorEastAsia"/>
          <w:b/>
          <w:szCs w:val="21"/>
        </w:rPr>
      </w:pPr>
      <w:r>
        <w:rPr>
          <w:rFonts w:hint="eastAsia" w:cs="仿宋_GB2312" w:asciiTheme="minorEastAsia" w:hAnsiTheme="minorEastAsia" w:eastAsiaTheme="minorEastAsia"/>
          <w:b/>
          <w:szCs w:val="21"/>
        </w:rPr>
        <w:t>1、安装调试：</w:t>
      </w:r>
    </w:p>
    <w:p w14:paraId="7BDF6105">
      <w:pPr>
        <w:numPr>
          <w:ilvl w:val="1"/>
          <w:numId w:val="1"/>
        </w:numPr>
        <w:spacing w:after="60" w:afterLines="0" w:line="360" w:lineRule="auto"/>
        <w:ind w:left="0" w:firstLine="426"/>
        <w:jc w:val="left"/>
        <w:rPr>
          <w:rFonts w:hint="eastAsia" w:cs="仿宋" w:asciiTheme="minorEastAsia" w:hAnsiTheme="minorEastAsia" w:eastAsiaTheme="minorEastAsia"/>
          <w:bCs/>
          <w:szCs w:val="21"/>
        </w:rPr>
      </w:pPr>
      <w:bookmarkStart w:id="0" w:name="OLE_LINK9"/>
      <w:r>
        <w:rPr>
          <w:rFonts w:hint="eastAsia" w:cs="仿宋" w:asciiTheme="minorEastAsia" w:hAnsiTheme="minorEastAsia" w:eastAsiaTheme="minorEastAsia"/>
          <w:bCs/>
          <w:szCs w:val="21"/>
        </w:rPr>
        <w:t>中标供应商</w:t>
      </w:r>
      <w:bookmarkEnd w:id="0"/>
      <w:r>
        <w:rPr>
          <w:rFonts w:hint="eastAsia" w:cs="仿宋" w:asciiTheme="minorEastAsia" w:hAnsiTheme="minorEastAsia" w:eastAsiaTheme="minorEastAsia"/>
          <w:bCs/>
          <w:szCs w:val="21"/>
        </w:rPr>
        <w:t>在收到采购单位通知后，要求中标供应商5天内完成交货并安装完成投入使用。</w:t>
      </w:r>
    </w:p>
    <w:p w14:paraId="4399E62A">
      <w:pPr>
        <w:numPr>
          <w:ilvl w:val="1"/>
          <w:numId w:val="1"/>
        </w:numPr>
        <w:spacing w:after="60" w:afterLines="0" w:line="360" w:lineRule="auto"/>
        <w:ind w:left="0" w:firstLine="426"/>
        <w:jc w:val="left"/>
        <w:rPr>
          <w:rFonts w:hint="eastAsia" w:cs="仿宋" w:asciiTheme="minorEastAsia" w:hAnsiTheme="minorEastAsia" w:eastAsiaTheme="minorEastAsia"/>
          <w:bCs/>
          <w:szCs w:val="21"/>
        </w:rPr>
      </w:pPr>
      <w:r>
        <w:rPr>
          <w:rFonts w:hint="eastAsia" w:cs="仿宋" w:asciiTheme="minorEastAsia" w:hAnsiTheme="minorEastAsia" w:eastAsiaTheme="minorEastAsia"/>
          <w:bCs/>
          <w:szCs w:val="21"/>
        </w:rPr>
        <w:t>中标供应商派有经验的技术人员到现场进行安装、调试，直到设备正常使用，如需连接医院后勤管理系统，中标供应商负责系统连接的一切费用。</w:t>
      </w:r>
    </w:p>
    <w:p w14:paraId="021FC216">
      <w:pPr>
        <w:numPr>
          <w:ilvl w:val="1"/>
          <w:numId w:val="1"/>
        </w:numPr>
        <w:spacing w:after="60" w:afterLines="0" w:line="360" w:lineRule="auto"/>
        <w:ind w:left="0" w:firstLine="426"/>
        <w:jc w:val="left"/>
        <w:rPr>
          <w:rFonts w:hint="eastAsia" w:cs="仿宋" w:asciiTheme="minorEastAsia" w:hAnsiTheme="minorEastAsia" w:eastAsiaTheme="minorEastAsia"/>
          <w:bCs/>
          <w:szCs w:val="21"/>
        </w:rPr>
      </w:pPr>
      <w:r>
        <w:rPr>
          <w:rFonts w:hint="eastAsia" w:cs="仿宋" w:asciiTheme="minorEastAsia" w:hAnsiTheme="minorEastAsia" w:eastAsiaTheme="minorEastAsia"/>
          <w:bCs/>
          <w:szCs w:val="21"/>
        </w:rPr>
        <w:t>由采购人按合同和招标、投标文件约定的要求和标准及中华人民共和国现行的验收规范和评定标准进行交货验收。</w:t>
      </w:r>
    </w:p>
    <w:p w14:paraId="17657DE4">
      <w:pPr>
        <w:numPr>
          <w:ilvl w:val="1"/>
          <w:numId w:val="1"/>
        </w:numPr>
        <w:spacing w:after="60" w:afterLines="0" w:line="360" w:lineRule="auto"/>
        <w:ind w:left="0" w:firstLine="426"/>
        <w:jc w:val="left"/>
        <w:rPr>
          <w:rFonts w:hint="eastAsia" w:cs="仿宋" w:asciiTheme="minorEastAsia" w:hAnsiTheme="minorEastAsia" w:eastAsiaTheme="minorEastAsia"/>
          <w:bCs/>
          <w:szCs w:val="21"/>
        </w:rPr>
      </w:pPr>
      <w:r>
        <w:rPr>
          <w:rFonts w:hint="eastAsia" w:cs="仿宋" w:asciiTheme="minorEastAsia" w:hAnsiTheme="minorEastAsia" w:eastAsiaTheme="minorEastAsia"/>
          <w:bCs/>
          <w:szCs w:val="21"/>
        </w:rPr>
        <w:t xml:space="preserve">验收要求： </w:t>
      </w:r>
    </w:p>
    <w:p w14:paraId="2B9B5AA4">
      <w:pPr>
        <w:numPr>
          <w:ilvl w:val="1"/>
          <w:numId w:val="1"/>
        </w:numPr>
        <w:spacing w:after="60" w:afterLines="0" w:line="360" w:lineRule="auto"/>
        <w:ind w:left="0" w:firstLine="426"/>
        <w:jc w:val="left"/>
        <w:rPr>
          <w:rFonts w:hint="eastAsia" w:cs="仿宋" w:asciiTheme="minorEastAsia" w:hAnsiTheme="minorEastAsia" w:eastAsiaTheme="minorEastAsia"/>
          <w:bCs/>
          <w:szCs w:val="21"/>
        </w:rPr>
      </w:pPr>
      <w:r>
        <w:rPr>
          <w:rFonts w:hint="eastAsia" w:cs="仿宋" w:asciiTheme="minorEastAsia" w:hAnsiTheme="minorEastAsia" w:eastAsiaTheme="minorEastAsia"/>
          <w:bCs/>
          <w:szCs w:val="21"/>
        </w:rPr>
        <w:t>设备全新,外观无伤痕变形或修饰痕迹，进口产品必须具有商检合格的证明文件及海关报关资料。所有设备运输到达采购人指定地点前的包装必须是原厂完整的。国产产品必须符合国家有关质量标准；进口产品必须符合产品的原厂标准及有关的国家或国际标准</w:t>
      </w:r>
    </w:p>
    <w:p w14:paraId="01F102A6">
      <w:pPr>
        <w:numPr>
          <w:ilvl w:val="1"/>
          <w:numId w:val="1"/>
        </w:numPr>
        <w:spacing w:after="60" w:afterLines="0" w:line="360" w:lineRule="auto"/>
        <w:ind w:left="0" w:firstLine="426"/>
        <w:jc w:val="left"/>
        <w:rPr>
          <w:rFonts w:hint="eastAsia" w:cs="仿宋" w:asciiTheme="minorEastAsia" w:hAnsiTheme="minorEastAsia" w:eastAsiaTheme="minorEastAsia"/>
          <w:bCs/>
          <w:szCs w:val="21"/>
        </w:rPr>
      </w:pPr>
      <w:r>
        <w:rPr>
          <w:rFonts w:hint="eastAsia" w:cs="仿宋" w:asciiTheme="minorEastAsia" w:hAnsiTheme="minorEastAsia" w:eastAsiaTheme="minorEastAsia"/>
          <w:bCs/>
          <w:szCs w:val="21"/>
        </w:rPr>
        <w:t>如有国标，必须符合有关规定；如无国标，则按照行业标准；如无国标及行业标准，则按双方约定执行。投标文件提供的技术数据经实测证实是真实的。检验及质量保证期内达到的性能指标与要求一致，达到或优于相应标准。</w:t>
      </w:r>
    </w:p>
    <w:p w14:paraId="15FF4F35">
      <w:pPr>
        <w:pStyle w:val="7"/>
        <w:numPr>
          <w:ilvl w:val="0"/>
          <w:numId w:val="2"/>
        </w:numPr>
        <w:spacing w:after="60" w:line="360" w:lineRule="auto"/>
        <w:ind w:left="0" w:firstLine="426" w:firstLineChars="0"/>
        <w:rPr>
          <w:rFonts w:hint="eastAsia" w:cs="仿宋" w:asciiTheme="minorEastAsia" w:hAnsiTheme="minorEastAsia"/>
          <w:bCs/>
          <w:szCs w:val="21"/>
        </w:rPr>
      </w:pPr>
      <w:r>
        <w:rPr>
          <w:rFonts w:hint="eastAsia" w:cs="仿宋" w:asciiTheme="minorEastAsia" w:hAnsiTheme="minorEastAsia"/>
          <w:bCs/>
          <w:szCs w:val="21"/>
        </w:rPr>
        <w:t>技术文件资料、备件等已按规定数量移交完毕。</w:t>
      </w:r>
    </w:p>
    <w:p w14:paraId="7E8E60DF">
      <w:pPr>
        <w:pStyle w:val="7"/>
        <w:numPr>
          <w:ilvl w:val="0"/>
          <w:numId w:val="2"/>
        </w:numPr>
        <w:spacing w:after="60" w:line="360" w:lineRule="auto"/>
        <w:ind w:left="0" w:firstLine="426" w:firstLineChars="0"/>
        <w:rPr>
          <w:rFonts w:hint="eastAsia" w:cs="仿宋" w:asciiTheme="minorEastAsia" w:hAnsiTheme="minorEastAsia"/>
          <w:bCs/>
          <w:szCs w:val="21"/>
        </w:rPr>
      </w:pPr>
      <w:r>
        <w:rPr>
          <w:rFonts w:hint="eastAsia" w:cs="仿宋" w:asciiTheme="minorEastAsia" w:hAnsiTheme="minorEastAsia"/>
          <w:bCs/>
          <w:szCs w:val="21"/>
        </w:rPr>
        <w:t>按照招标书要求及投标文件提供的技术要求验收必须合格。</w:t>
      </w:r>
    </w:p>
    <w:p w14:paraId="372739D5">
      <w:pPr>
        <w:pStyle w:val="7"/>
        <w:numPr>
          <w:ilvl w:val="0"/>
          <w:numId w:val="2"/>
        </w:numPr>
        <w:spacing w:after="60" w:line="360" w:lineRule="auto"/>
        <w:ind w:left="0" w:firstLine="426" w:firstLineChars="0"/>
        <w:rPr>
          <w:rFonts w:hint="eastAsia" w:cs="仿宋" w:asciiTheme="minorEastAsia" w:hAnsiTheme="minorEastAsia"/>
          <w:bCs/>
          <w:szCs w:val="21"/>
        </w:rPr>
      </w:pPr>
      <w:r>
        <w:rPr>
          <w:rFonts w:hint="eastAsia" w:cs="仿宋" w:asciiTheme="minorEastAsia" w:hAnsiTheme="minorEastAsia"/>
          <w:bCs/>
          <w:szCs w:val="21"/>
        </w:rPr>
        <w:t>卖方提供的各种文件载明的内容必须真实，其技术数据买方有权要求供应商无偿提供买方认可的第三方按照双方同意的试验方法进行检测。检测结果必须证明供应商提供的技术数据是真实的，否则视为不合格。</w:t>
      </w:r>
    </w:p>
    <w:p w14:paraId="76E26CBA">
      <w:pPr>
        <w:pStyle w:val="8"/>
        <w:numPr>
          <w:ilvl w:val="0"/>
          <w:numId w:val="2"/>
        </w:numPr>
        <w:ind w:left="0" w:firstLine="426"/>
        <w:rPr>
          <w:rFonts w:hint="eastAsia" w:asciiTheme="minorEastAsia" w:hAnsiTheme="minorEastAsia" w:eastAsiaTheme="minorEastAsia"/>
        </w:rPr>
      </w:pPr>
      <w:r>
        <w:rPr>
          <w:rFonts w:hint="eastAsia" w:cs="仿宋" w:asciiTheme="minorEastAsia" w:hAnsiTheme="minorEastAsia" w:eastAsiaTheme="minorEastAsia"/>
          <w:szCs w:val="21"/>
        </w:rPr>
        <w:t>在货物安装调试合格后，所有技术指标达到技术规范书和招标文件要求，货物具备产品合格证，供应商已按照合同规定提供了全部产品及完整的技术资料，经验收合格后，双方签署验收报告。</w:t>
      </w:r>
    </w:p>
    <w:p w14:paraId="67721F4B">
      <w:pPr>
        <w:spacing w:after="60" w:line="360" w:lineRule="auto"/>
        <w:ind w:firstLine="422" w:firstLineChars="200"/>
        <w:jc w:val="left"/>
        <w:rPr>
          <w:rFonts w:hint="eastAsia" w:cs="仿宋" w:asciiTheme="minorEastAsia" w:hAnsiTheme="minorEastAsia" w:eastAsiaTheme="minorEastAsia"/>
          <w:bCs/>
          <w:szCs w:val="21"/>
        </w:rPr>
      </w:pPr>
      <w:r>
        <w:rPr>
          <w:rFonts w:hint="eastAsia" w:cs="仿宋_GB2312" w:asciiTheme="minorEastAsia" w:hAnsiTheme="minorEastAsia" w:eastAsiaTheme="minorEastAsia"/>
          <w:b/>
          <w:szCs w:val="21"/>
        </w:rPr>
        <w:t>2、其他要求：</w:t>
      </w:r>
      <w:r>
        <w:rPr>
          <w:rFonts w:hint="eastAsia" w:cs="仿宋" w:asciiTheme="minorEastAsia" w:hAnsiTheme="minorEastAsia" w:eastAsiaTheme="minorEastAsia"/>
          <w:bCs/>
          <w:szCs w:val="21"/>
        </w:rPr>
        <w:t>本项目疫情防控设备采购，项目仍存在不确定性，投标人中标后采购安装、安装时间及支付时间不确定，具体要求按采购人实际需求为准，请投标人注意投标风险。</w:t>
      </w:r>
    </w:p>
    <w:p w14:paraId="202766AD">
      <w:pPr>
        <w:spacing w:after="60" w:line="360" w:lineRule="auto"/>
        <w:ind w:firstLine="422" w:firstLineChars="200"/>
        <w:jc w:val="left"/>
        <w:rPr>
          <w:rFonts w:hint="eastAsia" w:cs="仿宋_GB2312" w:asciiTheme="minorEastAsia" w:hAnsiTheme="minorEastAsia" w:eastAsiaTheme="minorEastAsia"/>
          <w:b/>
          <w:szCs w:val="21"/>
        </w:rPr>
      </w:pPr>
      <w:r>
        <w:rPr>
          <w:rFonts w:hint="eastAsia" w:cs="仿宋_GB2312" w:asciiTheme="minorEastAsia" w:hAnsiTheme="minorEastAsia" w:eastAsiaTheme="minorEastAsia"/>
          <w:b/>
          <w:szCs w:val="21"/>
        </w:rPr>
        <w:t xml:space="preserve">3、技术培训要求： </w:t>
      </w:r>
    </w:p>
    <w:p w14:paraId="229AB9F0">
      <w:pPr>
        <w:spacing w:before="120" w:beforeLines="50" w:after="120" w:afterLines="50" w:line="360" w:lineRule="auto"/>
        <w:ind w:firstLine="420" w:firstLineChars="200"/>
        <w:rPr>
          <w:rFonts w:hint="eastAsia" w:cs="仿宋" w:asciiTheme="minorEastAsia" w:hAnsiTheme="minorEastAsia" w:eastAsiaTheme="minorEastAsia"/>
          <w:bCs/>
          <w:szCs w:val="21"/>
        </w:rPr>
      </w:pPr>
      <w:r>
        <w:rPr>
          <w:rFonts w:hint="eastAsia" w:cs="仿宋" w:asciiTheme="minorEastAsia" w:hAnsiTheme="minorEastAsia" w:eastAsiaTheme="minorEastAsia"/>
          <w:bCs/>
          <w:szCs w:val="21"/>
        </w:rPr>
        <w:t>中标供应商必须根据标书提出的要求及采用的相关技术提出全面培训计划并征得采购人同意后实施。培训工作满足本章要求的培训服务。培训的内容：设备的日常操作使用，日常维护及简单维修。要求中标供应商对于采购人的专业人员进行技术培训，使其熟悉设备的运行环境，并对设备的性能和使用方法有详细的了解;培训时间在合同生效之后安排，现场培训应在设备安装验收之前结束。培训费用免费。</w:t>
      </w:r>
    </w:p>
    <w:p w14:paraId="24DC03C8">
      <w:pPr>
        <w:spacing w:after="60" w:line="360" w:lineRule="auto"/>
        <w:ind w:firstLine="420" w:firstLineChars="200"/>
        <w:jc w:val="left"/>
        <w:rPr>
          <w:rFonts w:hint="eastAsia" w:cs="仿宋" w:asciiTheme="minorEastAsia" w:hAnsiTheme="minorEastAsia" w:eastAsiaTheme="minorEastAsia"/>
          <w:bCs/>
          <w:szCs w:val="21"/>
        </w:rPr>
      </w:pPr>
      <w:r>
        <w:rPr>
          <w:rFonts w:hint="eastAsia" w:cs="仿宋" w:asciiTheme="minorEastAsia" w:hAnsiTheme="minorEastAsia" w:eastAsiaTheme="minorEastAsia"/>
          <w:bCs/>
          <w:szCs w:val="21"/>
        </w:rPr>
        <w:t>1、按招标人要求对使用科室人员进行专业的技术培训并有专业的培训考核表经双方签字后交采购方备案；</w:t>
      </w:r>
    </w:p>
    <w:p w14:paraId="2789D019">
      <w:pPr>
        <w:pStyle w:val="7"/>
        <w:widowControl/>
        <w:spacing w:after="25" w:line="360" w:lineRule="auto"/>
        <w:ind w:left="426" w:firstLine="0" w:firstLineChars="0"/>
        <w:jc w:val="left"/>
        <w:rPr>
          <w:rFonts w:hint="eastAsia" w:cs="仿宋" w:asciiTheme="minorEastAsia" w:hAnsiTheme="minorEastAsia"/>
          <w:bCs/>
          <w:szCs w:val="21"/>
        </w:rPr>
      </w:pPr>
      <w:r>
        <w:rPr>
          <w:rFonts w:hint="eastAsia" w:cs="仿宋" w:asciiTheme="minorEastAsia" w:hAnsiTheme="minorEastAsia"/>
          <w:bCs/>
          <w:szCs w:val="21"/>
        </w:rPr>
        <w:t>2、中标供应商需将设备操作流程，规范、安全注意事项，日常保养等必要说明制成卡片挂于设备上（并向设备科提供电子档）。</w:t>
      </w:r>
    </w:p>
    <w:p w14:paraId="6D010AA6">
      <w:pPr>
        <w:spacing w:after="60" w:line="360" w:lineRule="auto"/>
        <w:ind w:firstLine="422" w:firstLineChars="200"/>
        <w:jc w:val="left"/>
        <w:rPr>
          <w:rFonts w:hint="eastAsia" w:cs="仿宋_GB2312" w:asciiTheme="minorEastAsia" w:hAnsiTheme="minorEastAsia" w:eastAsiaTheme="minorEastAsia"/>
          <w:b/>
          <w:szCs w:val="21"/>
        </w:rPr>
      </w:pPr>
      <w:bookmarkStart w:id="1" w:name="OLE_LINK7"/>
      <w:r>
        <w:rPr>
          <w:rFonts w:hint="eastAsia" w:cs="仿宋_GB2312" w:asciiTheme="minorEastAsia" w:hAnsiTheme="minorEastAsia" w:eastAsiaTheme="minorEastAsia"/>
          <w:b/>
          <w:szCs w:val="21"/>
        </w:rPr>
        <w:t xml:space="preserve">4、技术资料： </w:t>
      </w:r>
    </w:p>
    <w:bookmarkEnd w:id="1"/>
    <w:p w14:paraId="5C026BA7">
      <w:pPr>
        <w:pStyle w:val="7"/>
        <w:numPr>
          <w:ilvl w:val="4"/>
          <w:numId w:val="3"/>
        </w:numPr>
        <w:spacing w:after="60"/>
        <w:ind w:left="426" w:firstLine="0" w:firstLineChars="0"/>
        <w:jc w:val="left"/>
        <w:rPr>
          <w:rFonts w:hint="eastAsia" w:cs="仿宋" w:asciiTheme="minorEastAsia" w:hAnsiTheme="minorEastAsia"/>
          <w:bCs/>
          <w:szCs w:val="21"/>
        </w:rPr>
      </w:pPr>
      <w:r>
        <w:rPr>
          <w:rFonts w:hint="eastAsia" w:cs="仿宋" w:asciiTheme="minorEastAsia" w:hAnsiTheme="minorEastAsia"/>
          <w:bCs/>
          <w:szCs w:val="21"/>
        </w:rPr>
        <w:t>提供设备的产品使用说明书；</w:t>
      </w:r>
    </w:p>
    <w:p w14:paraId="63E8CE7E">
      <w:pPr>
        <w:pStyle w:val="7"/>
        <w:widowControl/>
        <w:numPr>
          <w:ilvl w:val="4"/>
          <w:numId w:val="3"/>
        </w:numPr>
        <w:spacing w:after="25" w:line="360" w:lineRule="auto"/>
        <w:ind w:left="426" w:firstLine="0" w:firstLineChars="0"/>
        <w:jc w:val="left"/>
        <w:rPr>
          <w:rFonts w:hint="eastAsia" w:cs="仿宋" w:asciiTheme="minorEastAsia" w:hAnsiTheme="minorEastAsia"/>
          <w:bCs/>
          <w:szCs w:val="21"/>
        </w:rPr>
      </w:pPr>
      <w:r>
        <w:rPr>
          <w:rFonts w:hint="eastAsia" w:cs="仿宋" w:asciiTheme="minorEastAsia" w:hAnsiTheme="minorEastAsia"/>
          <w:bCs/>
          <w:szCs w:val="21"/>
        </w:rPr>
        <w:t>提供设备的常见故障处理手册。</w:t>
      </w:r>
    </w:p>
    <w:p w14:paraId="75469608">
      <w:pPr>
        <w:pStyle w:val="7"/>
        <w:spacing w:after="60" w:line="360" w:lineRule="auto"/>
        <w:ind w:firstLine="439" w:firstLineChars="208"/>
        <w:jc w:val="left"/>
        <w:rPr>
          <w:rFonts w:hint="eastAsia" w:cs="仿宋" w:asciiTheme="minorEastAsia" w:hAnsiTheme="minorEastAsia"/>
          <w:bCs/>
          <w:szCs w:val="21"/>
        </w:rPr>
      </w:pPr>
      <w:r>
        <w:rPr>
          <w:rFonts w:hint="eastAsia" w:cs="仿宋_GB2312" w:asciiTheme="minorEastAsia" w:hAnsiTheme="minorEastAsia"/>
          <w:b/>
          <w:szCs w:val="21"/>
        </w:rPr>
        <w:t xml:space="preserve">5、产品验收： </w:t>
      </w:r>
      <w:r>
        <w:rPr>
          <w:rFonts w:hint="eastAsia" w:cs="仿宋" w:asciiTheme="minorEastAsia" w:hAnsiTheme="minorEastAsia"/>
          <w:bCs/>
          <w:szCs w:val="21"/>
        </w:rPr>
        <w:t>中标供应商完成全部项目（产品附件按招标文件和投标文件配置清单）的产品交付，在自验、试运行正常后，由采购人按采购合同和投标文件进行验收，其中，进口设备必须具有商检合格的证明文件及海关报关单。若采购人对所供设备有质疑，可单方面决定申请深圳市计量质量检测研究院对设备进行检测，出具检测报告，所需费用由中标供应商支付。具备法定检验检测资质的第三方机构检定证明所供设备与招标要求不符者，不予出具验收合格报告，由中标供应商对不符部分免费更换。在验收合格前一周之内中标供应商须提供厂家原厂保修的证明资料（或买保合同），否则采购人有权拒绝验收。</w:t>
      </w:r>
    </w:p>
    <w:p w14:paraId="2FF69E14">
      <w:pPr>
        <w:spacing w:after="60" w:line="360" w:lineRule="auto"/>
        <w:ind w:firstLine="422" w:firstLineChars="200"/>
        <w:jc w:val="left"/>
        <w:rPr>
          <w:rFonts w:hint="eastAsia" w:cs="仿宋_GB2312" w:asciiTheme="minorEastAsia" w:hAnsiTheme="minorEastAsia" w:eastAsiaTheme="minorEastAsia"/>
          <w:szCs w:val="21"/>
        </w:rPr>
      </w:pPr>
      <w:r>
        <w:rPr>
          <w:rFonts w:hint="eastAsia" w:cs="仿宋_GB2312" w:asciiTheme="minorEastAsia" w:hAnsiTheme="minorEastAsia" w:eastAsiaTheme="minorEastAsia"/>
          <w:b/>
          <w:szCs w:val="21"/>
        </w:rPr>
        <w:t>6、商务要求：</w:t>
      </w:r>
      <w:r>
        <w:rPr>
          <w:rFonts w:hint="eastAsia" w:cs="仿宋_GB2312" w:asciiTheme="minorEastAsia" w:hAnsiTheme="minorEastAsia" w:eastAsiaTheme="minorEastAsia"/>
          <w:szCs w:val="21"/>
        </w:rPr>
        <w:t xml:space="preserve"> </w:t>
      </w:r>
    </w:p>
    <w:p w14:paraId="231B31C5">
      <w:pPr>
        <w:spacing w:after="60" w:line="360" w:lineRule="auto"/>
        <w:ind w:left="3" w:firstLine="420" w:firstLineChars="200"/>
        <w:rPr>
          <w:rFonts w:hint="eastAsia" w:cs="仿宋" w:asciiTheme="minorEastAsia" w:hAnsiTheme="minorEastAsia" w:eastAsiaTheme="minorEastAsia"/>
          <w:bCs/>
          <w:color w:val="000000"/>
          <w:szCs w:val="21"/>
        </w:rPr>
      </w:pPr>
      <w:bookmarkStart w:id="2" w:name="_Hlk199941008"/>
      <w:r>
        <w:rPr>
          <w:rFonts w:hint="eastAsia" w:cs="仿宋" w:asciiTheme="minorEastAsia" w:hAnsiTheme="minorEastAsia" w:eastAsiaTheme="minorEastAsia"/>
          <w:color w:val="000000"/>
          <w:szCs w:val="21"/>
        </w:rPr>
        <w:t>★</w:t>
      </w:r>
      <w:bookmarkEnd w:id="2"/>
      <w:r>
        <w:rPr>
          <w:rFonts w:hint="eastAsia" w:cs="仿宋" w:asciiTheme="minorEastAsia" w:hAnsiTheme="minorEastAsia" w:eastAsiaTheme="minorEastAsia"/>
          <w:bCs/>
          <w:color w:val="000000"/>
          <w:szCs w:val="21"/>
        </w:rPr>
        <w:t>1、</w:t>
      </w:r>
      <w:bookmarkStart w:id="3" w:name="_Hlk199941017"/>
      <w:r>
        <w:rPr>
          <w:rFonts w:hint="eastAsia" w:cs="仿宋" w:asciiTheme="minorEastAsia" w:hAnsiTheme="minorEastAsia" w:eastAsiaTheme="minorEastAsia"/>
          <w:bCs/>
          <w:color w:val="000000"/>
          <w:szCs w:val="21"/>
        </w:rPr>
        <w:t>交货期：</w:t>
      </w:r>
      <w:r>
        <w:rPr>
          <w:rFonts w:hint="eastAsia" w:cs="仿宋" w:asciiTheme="minorEastAsia" w:hAnsiTheme="minorEastAsia" w:eastAsiaTheme="minorEastAsia"/>
          <w:color w:val="000000"/>
          <w:szCs w:val="21"/>
        </w:rPr>
        <w:t>系指合同签订之日起至货物运抵采购人指定地点的时间期限。具体是指：合同签订后</w:t>
      </w:r>
      <w:r>
        <w:rPr>
          <w:rFonts w:hint="eastAsia" w:cs="仿宋" w:asciiTheme="minorEastAsia" w:hAnsiTheme="minorEastAsia" w:eastAsiaTheme="minorEastAsia"/>
          <w:color w:val="000000"/>
          <w:szCs w:val="21"/>
          <w:u w:val="single"/>
        </w:rPr>
        <w:t xml:space="preserve">5 </w:t>
      </w:r>
      <w:r>
        <w:rPr>
          <w:rFonts w:hint="eastAsia" w:cs="仿宋" w:asciiTheme="minorEastAsia" w:hAnsiTheme="minorEastAsia" w:eastAsiaTheme="minorEastAsia"/>
          <w:color w:val="000000"/>
          <w:szCs w:val="21"/>
        </w:rPr>
        <w:t>日内。</w:t>
      </w:r>
      <w:bookmarkEnd w:id="3"/>
    </w:p>
    <w:p w14:paraId="65511780">
      <w:pPr>
        <w:spacing w:after="60" w:line="360" w:lineRule="auto"/>
        <w:ind w:left="3" w:firstLine="420" w:firstLineChars="200"/>
        <w:rPr>
          <w:rFonts w:hint="eastAsia" w:cs="仿宋" w:asciiTheme="minorEastAsia" w:hAnsiTheme="minorEastAsia" w:eastAsiaTheme="minorEastAsia"/>
          <w:bCs/>
          <w:color w:val="000000"/>
          <w:szCs w:val="21"/>
        </w:rPr>
      </w:pPr>
      <w:r>
        <w:rPr>
          <w:rFonts w:hint="eastAsia" w:cs="仿宋" w:asciiTheme="minorEastAsia" w:hAnsiTheme="minorEastAsia" w:eastAsiaTheme="minorEastAsia"/>
          <w:color w:val="000000"/>
          <w:szCs w:val="21"/>
        </w:rPr>
        <w:t>2、交货和安装地点：</w:t>
      </w:r>
      <w:bookmarkStart w:id="4" w:name="OLE_LINK10"/>
      <w:r>
        <w:rPr>
          <w:rFonts w:hint="eastAsia" w:cs="仿宋" w:asciiTheme="minorEastAsia" w:hAnsiTheme="minorEastAsia" w:eastAsiaTheme="minorEastAsia"/>
          <w:color w:val="000000"/>
          <w:szCs w:val="21"/>
          <w:u w:val="single"/>
        </w:rPr>
        <w:t>采购人指定的安装地点</w:t>
      </w:r>
      <w:bookmarkEnd w:id="4"/>
      <w:r>
        <w:rPr>
          <w:rFonts w:hint="eastAsia" w:cs="仿宋" w:asciiTheme="minorEastAsia" w:hAnsiTheme="minorEastAsia" w:eastAsiaTheme="minorEastAsia"/>
          <w:color w:val="000000"/>
          <w:szCs w:val="21"/>
          <w:u w:val="single"/>
        </w:rPr>
        <w:t>。</w:t>
      </w:r>
    </w:p>
    <w:p w14:paraId="72FF6788">
      <w:pPr>
        <w:spacing w:after="60" w:line="360" w:lineRule="auto"/>
        <w:ind w:firstLine="420" w:firstLineChars="200"/>
        <w:jc w:val="left"/>
        <w:rPr>
          <w:rFonts w:hint="eastAsia" w:cs="仿宋" w:asciiTheme="minorEastAsia" w:hAnsiTheme="minorEastAsia" w:eastAsiaTheme="minorEastAsia"/>
          <w:bCs/>
          <w:szCs w:val="21"/>
        </w:rPr>
      </w:pPr>
      <w:r>
        <w:rPr>
          <w:rFonts w:hint="eastAsia" w:cs="仿宋" w:asciiTheme="minorEastAsia" w:hAnsiTheme="minorEastAsia" w:eastAsiaTheme="minorEastAsia"/>
          <w:bCs/>
          <w:szCs w:val="21"/>
        </w:rPr>
        <w:t>3、</w:t>
      </w:r>
      <w:bookmarkStart w:id="5" w:name="_Hlk199941063"/>
      <w:r>
        <w:rPr>
          <w:rFonts w:hint="eastAsia" w:cs="仿宋" w:asciiTheme="minorEastAsia" w:hAnsiTheme="minorEastAsia" w:eastAsiaTheme="minorEastAsia"/>
          <w:bCs/>
          <w:szCs w:val="21"/>
        </w:rPr>
        <w:t>完工期要求：系指货物到达采购人指定交货地点，并且完成安装、调试，验收合格交付使用的时间。具体是指：合同签订后 5日内。</w:t>
      </w:r>
      <w:bookmarkEnd w:id="5"/>
    </w:p>
    <w:p w14:paraId="4B33CB09">
      <w:pPr>
        <w:spacing w:after="60" w:line="360" w:lineRule="auto"/>
        <w:ind w:firstLine="422" w:firstLineChars="200"/>
        <w:jc w:val="left"/>
        <w:rPr>
          <w:rFonts w:hint="eastAsia" w:cs="仿宋" w:asciiTheme="minorEastAsia" w:hAnsiTheme="minorEastAsia" w:eastAsiaTheme="minorEastAsia"/>
          <w:b/>
          <w:szCs w:val="21"/>
        </w:rPr>
      </w:pPr>
      <w:r>
        <w:rPr>
          <w:rFonts w:hint="eastAsia" w:cs="仿宋" w:asciiTheme="minorEastAsia" w:hAnsiTheme="minorEastAsia" w:eastAsiaTheme="minorEastAsia"/>
          <w:b/>
          <w:szCs w:val="21"/>
        </w:rPr>
        <w:t>4、付款方式：</w:t>
      </w:r>
      <w:bookmarkStart w:id="6" w:name="_Hlk199941107"/>
      <w:r>
        <w:rPr>
          <w:rFonts w:hint="eastAsia" w:cs="仿宋" w:asciiTheme="minorEastAsia" w:hAnsiTheme="minorEastAsia" w:eastAsiaTheme="minorEastAsia"/>
          <w:bCs/>
          <w:szCs w:val="21"/>
        </w:rPr>
        <w:t>合同签订后</w:t>
      </w:r>
      <w:bookmarkStart w:id="7" w:name="OLE_LINK11"/>
      <w:bookmarkStart w:id="8" w:name="OLE_LINK15"/>
      <w:r>
        <w:rPr>
          <w:rFonts w:hint="eastAsia" w:cs="仿宋" w:asciiTheme="minorEastAsia" w:hAnsiTheme="minorEastAsia" w:eastAsiaTheme="minorEastAsia"/>
          <w:bCs/>
          <w:szCs w:val="21"/>
        </w:rPr>
        <w:t>中标供应商</w:t>
      </w:r>
      <w:bookmarkEnd w:id="7"/>
      <w:r>
        <w:rPr>
          <w:rFonts w:hint="eastAsia" w:cs="仿宋" w:asciiTheme="minorEastAsia" w:hAnsiTheme="minorEastAsia" w:eastAsiaTheme="minorEastAsia"/>
          <w:bCs/>
          <w:szCs w:val="21"/>
        </w:rPr>
        <w:t>开具正规发票给采购人</w:t>
      </w:r>
      <w:bookmarkEnd w:id="8"/>
      <w:r>
        <w:rPr>
          <w:rFonts w:hint="eastAsia" w:cs="仿宋" w:asciiTheme="minorEastAsia" w:hAnsiTheme="minorEastAsia" w:eastAsiaTheme="minorEastAsia"/>
          <w:bCs/>
          <w:szCs w:val="21"/>
        </w:rPr>
        <w:t>，税费由中标供应商承担，</w:t>
      </w:r>
      <w:bookmarkStart w:id="9" w:name="OLE_LINK12"/>
      <w:r>
        <w:rPr>
          <w:rFonts w:hint="eastAsia" w:cs="仿宋" w:asciiTheme="minorEastAsia" w:hAnsiTheme="minorEastAsia" w:eastAsiaTheme="minorEastAsia"/>
          <w:bCs/>
          <w:szCs w:val="21"/>
        </w:rPr>
        <w:t>采购人</w:t>
      </w:r>
      <w:bookmarkEnd w:id="9"/>
      <w:r>
        <w:rPr>
          <w:rFonts w:hint="eastAsia" w:cs="仿宋" w:asciiTheme="minorEastAsia" w:hAnsiTheme="minorEastAsia" w:eastAsiaTheme="minorEastAsia"/>
          <w:bCs/>
          <w:szCs w:val="21"/>
        </w:rPr>
        <w:t>支付合同总额的40%，设备安装完成后，</w:t>
      </w:r>
      <w:bookmarkStart w:id="10" w:name="OLE_LINK13"/>
      <w:r>
        <w:rPr>
          <w:rFonts w:hint="eastAsia" w:cs="仿宋" w:asciiTheme="minorEastAsia" w:hAnsiTheme="minorEastAsia" w:eastAsiaTheme="minorEastAsia"/>
          <w:bCs/>
          <w:szCs w:val="21"/>
        </w:rPr>
        <w:t>中标供应商</w:t>
      </w:r>
      <w:bookmarkEnd w:id="10"/>
      <w:r>
        <w:rPr>
          <w:rFonts w:hint="eastAsia" w:cs="仿宋" w:asciiTheme="minorEastAsia" w:hAnsiTheme="minorEastAsia" w:eastAsiaTheme="minorEastAsia"/>
          <w:bCs/>
          <w:szCs w:val="21"/>
        </w:rPr>
        <w:t>开具正规发票给采购人，税费由采购人承担，</w:t>
      </w:r>
      <w:bookmarkStart w:id="11" w:name="OLE_LINK14"/>
      <w:r>
        <w:rPr>
          <w:rFonts w:hint="eastAsia" w:cs="仿宋" w:asciiTheme="minorEastAsia" w:hAnsiTheme="minorEastAsia" w:eastAsiaTheme="minorEastAsia"/>
          <w:bCs/>
          <w:szCs w:val="21"/>
        </w:rPr>
        <w:t>采购人</w:t>
      </w:r>
      <w:bookmarkEnd w:id="11"/>
      <w:r>
        <w:rPr>
          <w:rFonts w:hint="eastAsia" w:cs="仿宋" w:asciiTheme="minorEastAsia" w:hAnsiTheme="minorEastAsia" w:eastAsiaTheme="minorEastAsia"/>
          <w:bCs/>
          <w:szCs w:val="21"/>
        </w:rPr>
        <w:t>在90天内付给中标供应商设备合同款的50%，余款10%产品质量保证金在设备验收合格后经采购人确认产品质量无问题后支付。</w:t>
      </w:r>
      <w:bookmarkEnd w:id="6"/>
    </w:p>
    <w:p w14:paraId="1D00F136">
      <w:pPr>
        <w:spacing w:after="60" w:line="360" w:lineRule="auto"/>
        <w:ind w:left="3" w:firstLine="420" w:firstLineChars="200"/>
        <w:rPr>
          <w:rFonts w:hint="eastAsia" w:cs="仿宋" w:asciiTheme="minorEastAsia" w:hAnsiTheme="minorEastAsia" w:eastAsiaTheme="minorEastAsia"/>
          <w:color w:val="000000"/>
          <w:szCs w:val="21"/>
        </w:rPr>
      </w:pPr>
      <w:r>
        <w:rPr>
          <w:rFonts w:hint="eastAsia" w:cs="仿宋" w:asciiTheme="minorEastAsia" w:hAnsiTheme="minorEastAsia" w:eastAsiaTheme="minorEastAsia"/>
          <w:bCs/>
          <w:kern w:val="0"/>
          <w:szCs w:val="21"/>
        </w:rPr>
        <w:t>5、提供技术资料操作手册；</w:t>
      </w:r>
    </w:p>
    <w:p w14:paraId="48326F65">
      <w:pPr>
        <w:spacing w:after="60" w:line="360" w:lineRule="auto"/>
        <w:ind w:left="3" w:firstLine="420" w:firstLineChars="200"/>
        <w:rPr>
          <w:rFonts w:hint="eastAsia"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6、如果投标人按照合同提供的主要货物不是投标人自己生产的，投标人应提供制造厂家的项目授权，或者提供合法获得该货物及售后服务支持的有效证明。</w:t>
      </w:r>
    </w:p>
    <w:p w14:paraId="51E85A2B">
      <w:pPr>
        <w:spacing w:after="60" w:line="360" w:lineRule="auto"/>
        <w:ind w:left="3" w:firstLine="420" w:firstLineChars="200"/>
        <w:rPr>
          <w:rFonts w:hint="eastAsia" w:cs="仿宋" w:asciiTheme="minorEastAsia" w:hAnsiTheme="minorEastAsia" w:eastAsiaTheme="minorEastAsia"/>
          <w:color w:val="000000"/>
          <w:szCs w:val="21"/>
        </w:rPr>
      </w:pPr>
      <w:r>
        <w:rPr>
          <w:rFonts w:hint="eastAsia" w:cs="仿宋" w:asciiTheme="minorEastAsia" w:hAnsiTheme="minorEastAsia" w:eastAsiaTheme="minorEastAsia"/>
          <w:bCs/>
          <w:szCs w:val="21"/>
        </w:rPr>
        <w:t>7、厂家必须在广东省有固定售后服务工作站，在深圳有厂家售后服务点或者厂家正式授权的专业售后服务代理商，</w:t>
      </w:r>
      <w:r>
        <w:rPr>
          <w:rFonts w:hint="eastAsia" w:cs="仿宋" w:asciiTheme="minorEastAsia" w:hAnsiTheme="minorEastAsia" w:eastAsiaTheme="minorEastAsia"/>
          <w:bCs/>
          <w:kern w:val="0"/>
          <w:szCs w:val="21"/>
        </w:rPr>
        <w:t>提供厂家</w:t>
      </w:r>
      <w:r>
        <w:rPr>
          <w:rFonts w:hint="eastAsia" w:cs="仿宋" w:asciiTheme="minorEastAsia" w:hAnsiTheme="minorEastAsia" w:eastAsiaTheme="minorEastAsia"/>
          <w:bCs/>
          <w:szCs w:val="21"/>
        </w:rPr>
        <w:t>证明材料</w:t>
      </w:r>
      <w:r>
        <w:rPr>
          <w:rFonts w:hint="eastAsia" w:cs="仿宋" w:asciiTheme="minorEastAsia" w:hAnsiTheme="minorEastAsia" w:eastAsiaTheme="minorEastAsia"/>
          <w:bCs/>
          <w:kern w:val="0"/>
          <w:szCs w:val="21"/>
        </w:rPr>
        <w:t>和工程师电话及技术维修力量情况以及维修的详细地址及联系方式，专业工程师免费现场安装</w:t>
      </w:r>
      <w:r>
        <w:rPr>
          <w:rFonts w:hint="eastAsia" w:cs="仿宋" w:asciiTheme="minorEastAsia" w:hAnsiTheme="minorEastAsia" w:eastAsiaTheme="minorEastAsia"/>
          <w:bCs/>
          <w:szCs w:val="21"/>
        </w:rPr>
        <w:t>。</w:t>
      </w:r>
    </w:p>
    <w:p w14:paraId="59D813B6">
      <w:pPr>
        <w:spacing w:after="60" w:line="360" w:lineRule="auto"/>
        <w:ind w:left="3" w:firstLine="420" w:firstLineChars="200"/>
        <w:rPr>
          <w:rFonts w:hint="eastAsia" w:cs="仿宋" w:asciiTheme="minorEastAsia" w:hAnsiTheme="minorEastAsia" w:eastAsiaTheme="minorEastAsia"/>
          <w:color w:val="000000"/>
          <w:szCs w:val="21"/>
        </w:rPr>
      </w:pPr>
      <w:r>
        <w:rPr>
          <w:rFonts w:hint="eastAsia" w:cs="仿宋" w:asciiTheme="minorEastAsia" w:hAnsiTheme="minorEastAsia" w:eastAsiaTheme="minorEastAsia"/>
          <w:bCs/>
          <w:szCs w:val="21"/>
        </w:rPr>
        <w:t>8、由厂家或者厂家正式授权的专业售后服务公司提供售后服务，非销售代理/经销商提供，</w:t>
      </w:r>
      <w:r>
        <w:rPr>
          <w:rFonts w:hint="eastAsia" w:cs="仿宋" w:asciiTheme="minorEastAsia" w:hAnsiTheme="minorEastAsia" w:eastAsiaTheme="minorEastAsia"/>
          <w:bCs/>
          <w:kern w:val="0"/>
          <w:szCs w:val="21"/>
        </w:rPr>
        <w:t>设备安装后为使用科室提供免费操作及维护培训，</w:t>
      </w:r>
      <w:r>
        <w:rPr>
          <w:rFonts w:hint="eastAsia" w:cs="仿宋" w:asciiTheme="minorEastAsia" w:hAnsiTheme="minorEastAsia" w:eastAsiaTheme="minorEastAsia"/>
          <w:color w:val="000000"/>
          <w:kern w:val="0"/>
          <w:szCs w:val="21"/>
        </w:rPr>
        <w:t>使采购方人员能掌握有关系统设备的使用、维护和管理，达到能独立进行操作、日常测试维护等工作的目的</w:t>
      </w:r>
      <w:r>
        <w:rPr>
          <w:rFonts w:hint="eastAsia" w:cs="仿宋" w:asciiTheme="minorEastAsia" w:hAnsiTheme="minorEastAsia" w:eastAsiaTheme="minorEastAsia"/>
          <w:bCs/>
          <w:kern w:val="0"/>
          <w:szCs w:val="21"/>
        </w:rPr>
        <w:t>。</w:t>
      </w:r>
    </w:p>
    <w:p w14:paraId="51792321">
      <w:pPr>
        <w:spacing w:after="60" w:line="360" w:lineRule="auto"/>
        <w:ind w:left="3" w:firstLine="420" w:firstLineChars="200"/>
        <w:rPr>
          <w:rFonts w:hint="eastAsia" w:cs="仿宋" w:asciiTheme="minorEastAsia" w:hAnsiTheme="minorEastAsia" w:eastAsiaTheme="minorEastAsia"/>
          <w:color w:val="000000"/>
          <w:szCs w:val="21"/>
        </w:rPr>
      </w:pPr>
      <w:r>
        <w:rPr>
          <w:rFonts w:hint="eastAsia" w:cs="仿宋" w:asciiTheme="minorEastAsia" w:hAnsiTheme="minorEastAsia" w:eastAsiaTheme="minorEastAsia"/>
          <w:bCs/>
          <w:szCs w:val="21"/>
        </w:rPr>
        <w:t>9、必须提供厂家售后服务承诺书原件扫描件（原件备查）。</w:t>
      </w:r>
    </w:p>
    <w:p w14:paraId="2F45860D">
      <w:pPr>
        <w:spacing w:after="60" w:line="360" w:lineRule="auto"/>
        <w:ind w:left="3" w:firstLine="420" w:firstLineChars="200"/>
        <w:rPr>
          <w:rFonts w:hint="eastAsia"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10、★售后服务的要求</w:t>
      </w:r>
    </w:p>
    <w:p w14:paraId="19346B21">
      <w:pPr>
        <w:spacing w:after="60" w:line="360" w:lineRule="auto"/>
        <w:ind w:firstLine="422" w:firstLineChars="200"/>
        <w:jc w:val="left"/>
        <w:rPr>
          <w:rFonts w:hint="eastAsia" w:cs="仿宋" w:asciiTheme="minorEastAsia" w:hAnsiTheme="minorEastAsia" w:eastAsiaTheme="minorEastAsia"/>
          <w:szCs w:val="21"/>
        </w:rPr>
      </w:pPr>
      <w:r>
        <w:rPr>
          <w:rFonts w:hint="eastAsia" w:cs="仿宋" w:asciiTheme="minorEastAsia" w:hAnsiTheme="minorEastAsia" w:eastAsiaTheme="minorEastAsia"/>
          <w:b/>
          <w:bCs/>
          <w:szCs w:val="21"/>
        </w:rPr>
        <w:t>（1）保修期：中标供应商全国统一售后服务，免费保修期1年，终身维修。</w:t>
      </w:r>
      <w:r>
        <w:rPr>
          <w:rFonts w:hint="eastAsia" w:cs="仿宋" w:asciiTheme="minorEastAsia" w:hAnsiTheme="minorEastAsia" w:eastAsiaTheme="minorEastAsia"/>
          <w:szCs w:val="21"/>
        </w:rPr>
        <w:t>免费保修期内,年度定期预防性免费维护保养4次，免费更换原厂零配件、免工时费。免费保修期内，所有货物保修服务方式均为中标供应商派员到采购人货物使用现场进行保修，保修期内产生的一切费用均由中标供应商承担（含需要返原厂修理的所有费用）。中标供应商如不能修理或不能调换，按产品原价赔偿处理。保证终身供应维修配件，终身免费提供上门服务及软件升级服务。</w:t>
      </w:r>
    </w:p>
    <w:p w14:paraId="0AFE92A1">
      <w:pPr>
        <w:spacing w:after="60" w:line="360" w:lineRule="auto"/>
        <w:ind w:firstLine="420" w:firstLineChars="200"/>
        <w:jc w:val="left"/>
        <w:rPr>
          <w:rFonts w:hint="eastAsia" w:cs="仿宋" w:asciiTheme="minorEastAsia" w:hAnsiTheme="minorEastAsia" w:eastAsiaTheme="minorEastAsia"/>
          <w:szCs w:val="21"/>
        </w:rPr>
      </w:pPr>
      <w:r>
        <w:rPr>
          <w:rFonts w:hint="eastAsia" w:cs="仿宋" w:asciiTheme="minorEastAsia" w:hAnsiTheme="minorEastAsia" w:eastAsiaTheme="minorEastAsia"/>
          <w:szCs w:val="21"/>
        </w:rPr>
        <w:t>（2）免费保修期自采购人验收合格之日起计算。保修期内，中标供应商对因质量出现的问题免费修复，并免费提供技术咨询、软件升级；保修期外中标供应商负责免费维修及提供原装配件，采购人只负责更换零配件费(每件设备必须提供消耗品（耗材、试剂等）优惠价格清单、5-8 种常见更换零备件的优费价格清单，否则视为免费），中标供应商更换的零配件经采购人验收合格，且中标供应商提供零配件发票后，采购人再行支付，否则采购人有权拒绝。</w:t>
      </w:r>
    </w:p>
    <w:p w14:paraId="634BE275">
      <w:pPr>
        <w:spacing w:after="60" w:line="360" w:lineRule="auto"/>
        <w:ind w:firstLine="420" w:firstLineChars="200"/>
        <w:jc w:val="left"/>
        <w:rPr>
          <w:rFonts w:hint="eastAsia" w:cs="仿宋" w:asciiTheme="minorEastAsia" w:hAnsiTheme="minorEastAsia" w:eastAsiaTheme="minorEastAsia"/>
          <w:szCs w:val="21"/>
        </w:rPr>
      </w:pPr>
      <w:r>
        <w:rPr>
          <w:rFonts w:hint="eastAsia" w:cs="仿宋" w:asciiTheme="minorEastAsia" w:hAnsiTheme="minorEastAsia" w:eastAsiaTheme="minorEastAsia"/>
          <w:szCs w:val="21"/>
        </w:rPr>
        <w:t xml:space="preserve"> （3）中标供应商不得以任何理由不按时进行维修及提供零配件，不得要求采购人购买所谓“保修服务”（即：不论设备有无故障先买保修服务），不得在设备中嵌设任何不利于采购人使用与维修设备的障碍。中标供应商保证在广东省有固定的售后服务工作站，在深圳有厂家售后服务点或者厂家正式授权的专业售后服务代理商，提供厂家证明资料和工程师电话及技术维修力量情况以及维修的详细地址及联系方式，专业工程师免费现场安装，中标供应商提供每月一次上门回访服务。中标供应商保证质保期间开机率≥95%； 若开机率未达到 95%，在 90%—95%之间按照一赔二顺延免费保修期；若开机率在85%-90%之间，则按照一赔三顺延免费保修期；若开机率低于 85%，则应无条件为采购人更换新机，因更换新机产生的任何费用均由中标供应商承担与采购人无关，并且根据新机合格验收之日起重新计算免费保修期，以及需赔偿给采购人造成的损失。注：年开机率=（365-停机天数）/365）</w:t>
      </w:r>
    </w:p>
    <w:p w14:paraId="713B96A4">
      <w:pPr>
        <w:spacing w:after="60" w:line="360" w:lineRule="auto"/>
        <w:ind w:firstLine="420" w:firstLineChars="200"/>
        <w:jc w:val="left"/>
        <w:rPr>
          <w:rFonts w:hint="eastAsia" w:cs="仿宋" w:asciiTheme="minorEastAsia" w:hAnsiTheme="minorEastAsia" w:eastAsiaTheme="minorEastAsia"/>
          <w:szCs w:val="21"/>
        </w:rPr>
      </w:pPr>
      <w:r>
        <w:rPr>
          <w:rFonts w:hint="eastAsia" w:cs="仿宋" w:asciiTheme="minorEastAsia" w:hAnsiTheme="minorEastAsia" w:eastAsiaTheme="minorEastAsia"/>
          <w:szCs w:val="21"/>
        </w:rPr>
        <w:t>（4）响应时间：采购人在使用设备过程中出现问题，要求中标供应商在接报后1小时内响应，24小时内技术人员到现场,36小时内解决问题（不可抗力情况除外）。如故障不能排除，中标供应商在2日内提供现场服务，待产品运行正常后撤离现场。消耗品和零配件供应及时，特殊情况下可提供备用机供采购人使用。</w:t>
      </w:r>
    </w:p>
    <w:p w14:paraId="160F0040">
      <w:pPr>
        <w:spacing w:after="60" w:line="360" w:lineRule="auto"/>
        <w:ind w:firstLine="420" w:firstLineChars="200"/>
        <w:jc w:val="left"/>
        <w:rPr>
          <w:rFonts w:hint="eastAsia" w:cs="仿宋" w:asciiTheme="minorEastAsia" w:hAnsiTheme="minorEastAsia" w:eastAsiaTheme="minorEastAsia"/>
          <w:szCs w:val="21"/>
        </w:rPr>
      </w:pPr>
      <w:r>
        <w:rPr>
          <w:rFonts w:hint="eastAsia" w:cs="仿宋" w:asciiTheme="minorEastAsia" w:hAnsiTheme="minorEastAsia" w:eastAsiaTheme="minorEastAsia"/>
          <w:szCs w:val="21"/>
        </w:rPr>
        <w:t>11、违约责任：</w:t>
      </w:r>
    </w:p>
    <w:p w14:paraId="588955AA">
      <w:pPr>
        <w:spacing w:after="60" w:line="360" w:lineRule="auto"/>
        <w:ind w:firstLine="420" w:firstLineChars="200"/>
        <w:jc w:val="left"/>
        <w:rPr>
          <w:rFonts w:hint="eastAsia" w:cs="仿宋" w:asciiTheme="minorEastAsia" w:hAnsiTheme="minorEastAsia" w:eastAsiaTheme="minorEastAsia"/>
          <w:szCs w:val="21"/>
        </w:rPr>
      </w:pPr>
      <w:r>
        <w:rPr>
          <w:rFonts w:hint="eastAsia" w:cs="仿宋" w:asciiTheme="minorEastAsia" w:hAnsiTheme="minorEastAsia" w:eastAsiaTheme="minorEastAsia"/>
          <w:szCs w:val="21"/>
        </w:rPr>
        <w:t>（1）中标供应商所交的产品品种、规格、型号、质量不符合同规定标准的，采购人有权拒绝收货，中标供应商向采购人偿付项目采购金额千分之二十的违约金；造成严重后果的，根据《深圳经济特区政府采购条例》第五十七条第（二）款规定，由主管部门对中标供应商进行处罚，并且采购人有权解除合同。</w:t>
      </w:r>
    </w:p>
    <w:p w14:paraId="27A8405D">
      <w:pPr>
        <w:spacing w:after="60" w:line="360" w:lineRule="auto"/>
        <w:ind w:firstLine="420" w:firstLineChars="200"/>
        <w:jc w:val="left"/>
        <w:rPr>
          <w:rFonts w:hint="eastAsia" w:cs="仿宋" w:asciiTheme="minorEastAsia" w:hAnsiTheme="minorEastAsia" w:eastAsiaTheme="minorEastAsia"/>
          <w:szCs w:val="21"/>
        </w:rPr>
      </w:pPr>
      <w:r>
        <w:rPr>
          <w:rFonts w:hint="eastAsia" w:cs="仿宋" w:asciiTheme="minorEastAsia" w:hAnsiTheme="minorEastAsia" w:eastAsiaTheme="minorEastAsia"/>
          <w:szCs w:val="21"/>
        </w:rPr>
        <w:t>（2）中标供应商若不能交付产品，采购人有权选择解除合同并扣取中标供应商投标时交纳的履约保证金，造成严重后果的，根据《深圳经济特区政府采购条例》第五十七条第（二）款规定，由主管部门对中标供应商进行处罚。</w:t>
      </w:r>
    </w:p>
    <w:p w14:paraId="7CB9EEF2">
      <w:pPr>
        <w:spacing w:after="60" w:line="360" w:lineRule="auto"/>
        <w:ind w:firstLine="420" w:firstLineChars="200"/>
        <w:jc w:val="left"/>
        <w:rPr>
          <w:rFonts w:hint="eastAsia" w:cs="仿宋" w:asciiTheme="minorEastAsia" w:hAnsiTheme="minorEastAsia" w:eastAsiaTheme="minorEastAsia"/>
          <w:szCs w:val="21"/>
        </w:rPr>
      </w:pPr>
      <w:r>
        <w:rPr>
          <w:rFonts w:hint="eastAsia" w:cs="仿宋" w:asciiTheme="minorEastAsia" w:hAnsiTheme="minorEastAsia" w:eastAsiaTheme="minorEastAsia"/>
          <w:szCs w:val="21"/>
        </w:rPr>
        <w:t>（3）中标供应商逾期交付产品或安装调试，中标供应商向采购人每日偿付采购金额千分之五的违约金，如超过交货或安装调试期限 7日仍未交货或安装调试，采购人有权解除合同。</w:t>
      </w:r>
    </w:p>
    <w:p w14:paraId="0410BED7">
      <w:pPr>
        <w:spacing w:after="60" w:line="360" w:lineRule="auto"/>
        <w:ind w:firstLine="420" w:firstLineChars="200"/>
        <w:jc w:val="left"/>
        <w:rPr>
          <w:rFonts w:hint="eastAsia" w:cs="仿宋" w:asciiTheme="minorEastAsia" w:hAnsiTheme="minorEastAsia" w:eastAsiaTheme="minorEastAsia"/>
          <w:szCs w:val="21"/>
        </w:rPr>
      </w:pPr>
      <w:r>
        <w:rPr>
          <w:rFonts w:hint="eastAsia" w:cs="仿宋" w:asciiTheme="minorEastAsia" w:hAnsiTheme="minorEastAsia" w:eastAsiaTheme="minorEastAsia"/>
          <w:szCs w:val="21"/>
        </w:rPr>
        <w:t>（4）中标供应商在一年内的不良服务率（指产品发生故障，没有合理的理由而未能在合同规定的时限内及时妥善处理，产生采购人有效投诉。）大于百分之三（以单台设备产品为单位），则采购人有权不再支付中标供应商__ %的合同余款。</w:t>
      </w:r>
    </w:p>
    <w:p w14:paraId="1175FA93">
      <w:pPr>
        <w:spacing w:after="60" w:line="360" w:lineRule="auto"/>
        <w:ind w:firstLine="420" w:firstLineChars="200"/>
        <w:jc w:val="left"/>
        <w:rPr>
          <w:rFonts w:hint="eastAsia" w:cs="仿宋" w:asciiTheme="minorEastAsia" w:hAnsiTheme="minorEastAsia" w:eastAsiaTheme="minorEastAsia"/>
          <w:szCs w:val="21"/>
        </w:rPr>
      </w:pPr>
      <w:r>
        <w:rPr>
          <w:rFonts w:hint="eastAsia" w:cs="仿宋" w:asciiTheme="minorEastAsia" w:hAnsiTheme="minorEastAsia" w:eastAsiaTheme="minorEastAsia"/>
          <w:szCs w:val="21"/>
        </w:rPr>
        <w:t>（5）如中标供应商未按照本合同约定的时间提供服务，中标供应商应承担逾期服务的违约责任，每逾期一天按合同总价款的千分之五支付逾期违约金，不足一天按一天算，并赔偿采购人因此造成的实际经济损失。</w:t>
      </w:r>
    </w:p>
    <w:p w14:paraId="761AA347">
      <w:pPr>
        <w:spacing w:after="60" w:line="360" w:lineRule="auto"/>
        <w:ind w:firstLine="420" w:firstLineChars="200"/>
        <w:jc w:val="left"/>
        <w:rPr>
          <w:rFonts w:hint="eastAsia" w:cs="仿宋" w:asciiTheme="minorEastAsia" w:hAnsiTheme="minorEastAsia" w:eastAsiaTheme="minorEastAsia"/>
          <w:szCs w:val="21"/>
        </w:rPr>
      </w:pPr>
      <w:r>
        <w:rPr>
          <w:rFonts w:hint="eastAsia" w:cs="仿宋" w:asciiTheme="minorEastAsia" w:hAnsiTheme="minorEastAsia" w:eastAsiaTheme="minorEastAsia"/>
          <w:szCs w:val="21"/>
        </w:rPr>
        <w:t>12、保证供应仪器的维修与配件，为保证设备正常运行，卖方应在中国境内方便的地方设置备件库，存入所有必须的备件，并保证十年以上的配件及耗材供应期。</w:t>
      </w:r>
    </w:p>
    <w:p w14:paraId="76F6DEBD">
      <w:pPr>
        <w:pStyle w:val="7"/>
        <w:widowControl/>
        <w:spacing w:after="25" w:line="360" w:lineRule="auto"/>
        <w:ind w:left="426" w:firstLine="0" w:firstLineChars="0"/>
        <w:jc w:val="left"/>
        <w:rPr>
          <w:rFonts w:hint="eastAsia" w:asciiTheme="minorEastAsia" w:hAnsiTheme="minorEastAsia"/>
          <w:color w:val="000000"/>
          <w:szCs w:val="21"/>
        </w:rPr>
      </w:pPr>
      <w:r>
        <w:rPr>
          <w:rFonts w:hint="eastAsia" w:cs="仿宋" w:asciiTheme="minorEastAsia" w:hAnsiTheme="minorEastAsia"/>
          <w:szCs w:val="21"/>
        </w:rPr>
        <w:t>13、运输及包装方式的要求：本次采购的设备和材料必须是全新的，所有设备运输到达施工场地时的包装必须是原厂完整的。</w:t>
      </w:r>
    </w:p>
    <w:p w14:paraId="77CBF3EA">
      <w:pPr>
        <w:pStyle w:val="7"/>
        <w:widowControl/>
        <w:spacing w:after="25" w:line="360" w:lineRule="auto"/>
        <w:ind w:left="426" w:firstLine="0" w:firstLineChars="0"/>
        <w:jc w:val="left"/>
        <w:rPr>
          <w:rFonts w:hint="eastAsia" w:ascii="宋体" w:hAnsi="宋体"/>
          <w:color w:val="000000"/>
          <w:szCs w:val="21"/>
        </w:rPr>
      </w:pPr>
    </w:p>
    <w:p w14:paraId="66595091">
      <w:pPr>
        <w:spacing w:after="60" w:line="360" w:lineRule="auto"/>
        <w:jc w:val="center"/>
        <w:rPr>
          <w:b/>
          <w:color w:val="FF0000"/>
          <w:sz w:val="28"/>
          <w:szCs w:val="28"/>
        </w:rPr>
      </w:pPr>
      <w:r>
        <w:rPr>
          <w:rFonts w:hint="eastAsia"/>
          <w:b/>
          <w:color w:val="FF0000"/>
          <w:sz w:val="28"/>
          <w:szCs w:val="28"/>
        </w:rPr>
        <w:t>（技术要求部分）</w:t>
      </w:r>
    </w:p>
    <w:p w14:paraId="0B74AE8F">
      <w:pPr>
        <w:pStyle w:val="7"/>
        <w:numPr>
          <w:ilvl w:val="0"/>
          <w:numId w:val="4"/>
        </w:numPr>
        <w:autoSpaceDE w:val="0"/>
        <w:autoSpaceDN w:val="0"/>
        <w:adjustRightInd w:val="0"/>
        <w:spacing w:after="60" w:line="360" w:lineRule="auto"/>
        <w:ind w:firstLineChars="0"/>
        <w:jc w:val="left"/>
        <w:rPr>
          <w:rFonts w:ascii="宋体" w:cs="宋体" w:hAnsiTheme="minorHAnsi"/>
          <w:b/>
          <w:color w:val="000000"/>
          <w:kern w:val="0"/>
          <w:szCs w:val="21"/>
        </w:rPr>
      </w:pPr>
      <w:r>
        <w:rPr>
          <w:rFonts w:hint="eastAsia" w:ascii="宋体" w:cs="宋体" w:hAnsiTheme="minorHAnsi"/>
          <w:b/>
          <w:color w:val="000000"/>
          <w:kern w:val="0"/>
          <w:szCs w:val="21"/>
        </w:rPr>
        <w:t>配置清单</w:t>
      </w:r>
    </w:p>
    <w:tbl>
      <w:tblPr>
        <w:tblStyle w:val="3"/>
        <w:tblW w:w="8330" w:type="dxa"/>
        <w:tblInd w:w="0" w:type="dxa"/>
        <w:tblLayout w:type="fixed"/>
        <w:tblCellMar>
          <w:top w:w="0" w:type="dxa"/>
          <w:left w:w="108" w:type="dxa"/>
          <w:bottom w:w="0" w:type="dxa"/>
          <w:right w:w="108" w:type="dxa"/>
        </w:tblCellMar>
      </w:tblPr>
      <w:tblGrid>
        <w:gridCol w:w="1179"/>
        <w:gridCol w:w="1906"/>
        <w:gridCol w:w="1701"/>
        <w:gridCol w:w="1843"/>
        <w:gridCol w:w="1701"/>
      </w:tblGrid>
      <w:tr w14:paraId="7D3699DC">
        <w:tblPrEx>
          <w:tblCellMar>
            <w:top w:w="0" w:type="dxa"/>
            <w:left w:w="108" w:type="dxa"/>
            <w:bottom w:w="0" w:type="dxa"/>
            <w:right w:w="108" w:type="dxa"/>
          </w:tblCellMar>
        </w:tblPrEx>
        <w:trPr>
          <w:trHeight w:val="90" w:hRule="atLeast"/>
        </w:trPr>
        <w:tc>
          <w:tcPr>
            <w:tcW w:w="8330"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595C4C">
            <w:pPr>
              <w:widowControl/>
              <w:spacing w:after="60"/>
              <w:jc w:val="center"/>
              <w:textAlignment w:val="center"/>
              <w:rPr>
                <w:rFonts w:hint="eastAsia" w:cs="微软雅黑" w:asciiTheme="minorEastAsia" w:hAnsiTheme="minorEastAsia" w:eastAsiaTheme="minorEastAsia"/>
                <w:b/>
                <w:bCs/>
                <w:color w:val="000000"/>
                <w:szCs w:val="21"/>
              </w:rPr>
            </w:pPr>
            <w:r>
              <w:rPr>
                <w:rFonts w:hint="eastAsia" w:cs="微软雅黑" w:asciiTheme="minorEastAsia" w:hAnsiTheme="minorEastAsia" w:eastAsiaTheme="minorEastAsia"/>
                <w:b/>
                <w:bCs/>
                <w:color w:val="000000"/>
                <w:kern w:val="0"/>
                <w:szCs w:val="21"/>
                <w:lang w:bidi="ar"/>
              </w:rPr>
              <w:t>窗帘、隔帘配置汇总表</w:t>
            </w:r>
          </w:p>
        </w:tc>
      </w:tr>
      <w:tr w14:paraId="08FB9318">
        <w:tblPrEx>
          <w:tblCellMar>
            <w:top w:w="0" w:type="dxa"/>
            <w:left w:w="108" w:type="dxa"/>
            <w:bottom w:w="0" w:type="dxa"/>
            <w:right w:w="108" w:type="dxa"/>
          </w:tblCellMar>
        </w:tblPrEx>
        <w:trPr>
          <w:trHeight w:val="480" w:hRule="atLeast"/>
        </w:trPr>
        <w:tc>
          <w:tcPr>
            <w:tcW w:w="11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B98D5A">
            <w:pPr>
              <w:widowControl/>
              <w:spacing w:after="60"/>
              <w:jc w:val="center"/>
              <w:textAlignment w:val="center"/>
              <w:rPr>
                <w:rFonts w:hint="eastAsia" w:cs="微软雅黑" w:asciiTheme="minorEastAsia" w:hAnsiTheme="minorEastAsia" w:eastAsiaTheme="minorEastAsia"/>
                <w:b/>
                <w:bCs/>
                <w:color w:val="000000"/>
                <w:szCs w:val="21"/>
              </w:rPr>
            </w:pPr>
            <w:r>
              <w:rPr>
                <w:rFonts w:hint="eastAsia" w:cs="微软雅黑" w:asciiTheme="minorEastAsia" w:hAnsiTheme="minorEastAsia" w:eastAsiaTheme="minorEastAsia"/>
                <w:b/>
                <w:bCs/>
                <w:color w:val="000000"/>
                <w:kern w:val="0"/>
                <w:szCs w:val="21"/>
                <w:bdr w:val="single" w:color="000000" w:sz="4" w:space="0"/>
                <w:shd w:val="clear" w:color="auto" w:fill="FFFFFF"/>
                <w:lang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0" cy="219075"/>
                  <wp:effectExtent l="0" t="0" r="0" b="0"/>
                  <wp:wrapNone/>
                  <wp:docPr id="1" name="图片_160"/>
                  <wp:cNvGraphicFramePr/>
                  <a:graphic xmlns:a="http://schemas.openxmlformats.org/drawingml/2006/main">
                    <a:graphicData uri="http://schemas.openxmlformats.org/drawingml/2006/picture">
                      <pic:pic xmlns:pic="http://schemas.openxmlformats.org/drawingml/2006/picture">
                        <pic:nvPicPr>
                          <pic:cNvPr id="1" name="图片_160"/>
                          <pic:cNvPicPr/>
                        </pic:nvPicPr>
                        <pic:blipFill>
                          <a:blip r:embed="rId6"/>
                          <a:stretch>
                            <a:fillRect/>
                          </a:stretch>
                        </pic:blipFill>
                        <pic:spPr>
                          <a:xfrm>
                            <a:off x="0" y="0"/>
                            <a:ext cx="0" cy="219075"/>
                          </a:xfrm>
                          <a:prstGeom prst="rect">
                            <a:avLst/>
                          </a:prstGeom>
                          <a:noFill/>
                          <a:ln>
                            <a:noFill/>
                          </a:ln>
                        </pic:spPr>
                      </pic:pic>
                    </a:graphicData>
                  </a:graphic>
                </wp:anchor>
              </w:drawing>
            </w:r>
            <w:r>
              <w:rPr>
                <w:rFonts w:hint="eastAsia" w:cs="微软雅黑" w:asciiTheme="minorEastAsia" w:hAnsiTheme="minorEastAsia" w:eastAsiaTheme="minorEastAsia"/>
                <w:b/>
                <w:bCs/>
                <w:color w:val="000000"/>
                <w:kern w:val="0"/>
                <w:szCs w:val="21"/>
                <w:bdr w:val="single" w:color="000000" w:sz="4" w:space="0"/>
                <w:shd w:val="clear" w:color="auto" w:fill="FFFFFF"/>
                <w:lang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0" cy="219075"/>
                  <wp:effectExtent l="0" t="0" r="0" b="0"/>
                  <wp:wrapNone/>
                  <wp:docPr id="3" name="图片_160_SpCnt_1"/>
                  <wp:cNvGraphicFramePr/>
                  <a:graphic xmlns:a="http://schemas.openxmlformats.org/drawingml/2006/main">
                    <a:graphicData uri="http://schemas.openxmlformats.org/drawingml/2006/picture">
                      <pic:pic xmlns:pic="http://schemas.openxmlformats.org/drawingml/2006/picture">
                        <pic:nvPicPr>
                          <pic:cNvPr id="3" name="图片_160_SpCnt_1"/>
                          <pic:cNvPicPr/>
                        </pic:nvPicPr>
                        <pic:blipFill>
                          <a:blip r:embed="rId6"/>
                          <a:stretch>
                            <a:fillRect/>
                          </a:stretch>
                        </pic:blipFill>
                        <pic:spPr>
                          <a:xfrm>
                            <a:off x="0" y="0"/>
                            <a:ext cx="0" cy="219075"/>
                          </a:xfrm>
                          <a:prstGeom prst="rect">
                            <a:avLst/>
                          </a:prstGeom>
                          <a:noFill/>
                          <a:ln>
                            <a:noFill/>
                          </a:ln>
                        </pic:spPr>
                      </pic:pic>
                    </a:graphicData>
                  </a:graphic>
                </wp:anchor>
              </w:drawing>
            </w:r>
            <w:r>
              <w:rPr>
                <w:rFonts w:hint="eastAsia" w:cs="微软雅黑" w:asciiTheme="minorEastAsia" w:hAnsiTheme="minorEastAsia" w:eastAsiaTheme="minorEastAsia"/>
                <w:b/>
                <w:bCs/>
                <w:color w:val="000000"/>
                <w:kern w:val="0"/>
                <w:szCs w:val="21"/>
                <w:lang w:bidi="ar"/>
              </w:rPr>
              <w:t>品类</w:t>
            </w:r>
          </w:p>
        </w:tc>
        <w:tc>
          <w:tcPr>
            <w:tcW w:w="19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707610">
            <w:pPr>
              <w:widowControl/>
              <w:spacing w:after="60"/>
              <w:jc w:val="center"/>
              <w:textAlignment w:val="center"/>
              <w:rPr>
                <w:rFonts w:hint="eastAsia" w:cs="微软雅黑" w:asciiTheme="minorEastAsia" w:hAnsiTheme="minorEastAsia" w:eastAsiaTheme="minorEastAsia"/>
                <w:color w:val="000000"/>
                <w:szCs w:val="21"/>
              </w:rPr>
            </w:pPr>
            <w:r>
              <w:rPr>
                <w:rFonts w:hint="eastAsia" w:cs="微软雅黑" w:asciiTheme="minorEastAsia" w:hAnsiTheme="minorEastAsia" w:eastAsiaTheme="minorEastAsia"/>
                <w:color w:val="000000"/>
                <w:kern w:val="0"/>
                <w:szCs w:val="21"/>
                <w:lang w:bidi="ar"/>
              </w:rPr>
              <w:t>布帘（米）</w:t>
            </w: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6DF869">
            <w:pPr>
              <w:widowControl/>
              <w:spacing w:after="60"/>
              <w:jc w:val="center"/>
              <w:textAlignment w:val="center"/>
              <w:rPr>
                <w:rFonts w:hint="eastAsia" w:cs="微软雅黑" w:asciiTheme="minorEastAsia" w:hAnsiTheme="minorEastAsia" w:eastAsiaTheme="minorEastAsia"/>
                <w:color w:val="000000"/>
                <w:szCs w:val="21"/>
              </w:rPr>
            </w:pPr>
            <w:r>
              <w:rPr>
                <w:rFonts w:hint="eastAsia" w:cs="微软雅黑" w:asciiTheme="minorEastAsia" w:hAnsiTheme="minorEastAsia" w:eastAsiaTheme="minorEastAsia"/>
                <w:color w:val="000000"/>
                <w:kern w:val="0"/>
                <w:szCs w:val="21"/>
                <w:lang w:bidi="ar"/>
              </w:rPr>
              <w:t>隔帘（米）</w:t>
            </w: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DFC19E">
            <w:pPr>
              <w:widowControl/>
              <w:spacing w:after="60"/>
              <w:jc w:val="center"/>
              <w:textAlignment w:val="center"/>
              <w:rPr>
                <w:rFonts w:hint="eastAsia" w:cs="微软雅黑" w:asciiTheme="minorEastAsia" w:hAnsiTheme="minorEastAsia" w:eastAsiaTheme="minorEastAsia"/>
                <w:color w:val="000000"/>
                <w:szCs w:val="21"/>
              </w:rPr>
            </w:pPr>
            <w:r>
              <w:rPr>
                <w:rFonts w:hint="eastAsia" w:cs="微软雅黑" w:asciiTheme="minorEastAsia" w:hAnsiTheme="minorEastAsia" w:eastAsiaTheme="minorEastAsia"/>
                <w:color w:val="000000"/>
                <w:kern w:val="0"/>
                <w:szCs w:val="21"/>
                <w:lang w:bidi="ar"/>
              </w:rPr>
              <w:t>轨道（米）</w:t>
            </w: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138C57">
            <w:pPr>
              <w:widowControl/>
              <w:spacing w:after="60"/>
              <w:jc w:val="center"/>
              <w:textAlignment w:val="center"/>
              <w:rPr>
                <w:rFonts w:hint="eastAsia" w:cs="微软雅黑" w:asciiTheme="minorEastAsia" w:hAnsiTheme="minorEastAsia" w:eastAsiaTheme="minorEastAsia"/>
                <w:color w:val="000000"/>
                <w:szCs w:val="21"/>
              </w:rPr>
            </w:pPr>
            <w:r>
              <w:rPr>
                <w:rFonts w:hint="eastAsia" w:cs="微软雅黑" w:asciiTheme="minorEastAsia" w:hAnsiTheme="minorEastAsia" w:eastAsiaTheme="minorEastAsia"/>
                <w:color w:val="000000"/>
                <w:kern w:val="0"/>
                <w:szCs w:val="21"/>
                <w:lang w:bidi="ar"/>
              </w:rPr>
              <w:t>布带挂钩（米）</w:t>
            </w:r>
          </w:p>
        </w:tc>
      </w:tr>
      <w:tr w14:paraId="3831C91D">
        <w:tblPrEx>
          <w:tblCellMar>
            <w:top w:w="0" w:type="dxa"/>
            <w:left w:w="108" w:type="dxa"/>
            <w:bottom w:w="0" w:type="dxa"/>
            <w:right w:w="108" w:type="dxa"/>
          </w:tblCellMar>
        </w:tblPrEx>
        <w:trPr>
          <w:trHeight w:val="440" w:hRule="atLeast"/>
        </w:trPr>
        <w:tc>
          <w:tcPr>
            <w:tcW w:w="11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3646ADA5">
            <w:pPr>
              <w:widowControl/>
              <w:spacing w:after="60"/>
              <w:jc w:val="center"/>
              <w:textAlignment w:val="bottom"/>
              <w:rPr>
                <w:rFonts w:hint="eastAsia" w:cs="微软雅黑" w:asciiTheme="minorEastAsia" w:hAnsiTheme="minorEastAsia" w:eastAsiaTheme="minorEastAsia"/>
                <w:b/>
                <w:bCs/>
                <w:color w:val="000000"/>
                <w:szCs w:val="21"/>
              </w:rPr>
            </w:pPr>
            <w:r>
              <w:rPr>
                <w:rFonts w:hint="eastAsia" w:cs="微软雅黑" w:asciiTheme="minorEastAsia" w:hAnsiTheme="minorEastAsia" w:eastAsiaTheme="minorEastAsia"/>
                <w:b/>
                <w:bCs/>
                <w:color w:val="000000"/>
                <w:kern w:val="0"/>
                <w:szCs w:val="21"/>
                <w:lang w:bidi="ar"/>
              </w:rPr>
              <w:t>数量合计</w:t>
            </w:r>
          </w:p>
        </w:tc>
        <w:tc>
          <w:tcPr>
            <w:tcW w:w="19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806912">
            <w:pPr>
              <w:widowControl/>
              <w:spacing w:after="60"/>
              <w:jc w:val="center"/>
              <w:textAlignment w:val="center"/>
              <w:rPr>
                <w:rFonts w:hint="eastAsia" w:cs="微软雅黑" w:asciiTheme="minorEastAsia" w:hAnsiTheme="minorEastAsia" w:eastAsiaTheme="minorEastAsia"/>
                <w:color w:val="000000"/>
                <w:szCs w:val="21"/>
              </w:rPr>
            </w:pPr>
            <w:r>
              <w:rPr>
                <w:rFonts w:hint="eastAsia" w:cs="微软雅黑" w:asciiTheme="minorEastAsia" w:hAnsiTheme="minorEastAsia" w:eastAsiaTheme="minorEastAsia"/>
                <w:color w:val="000000"/>
                <w:kern w:val="0"/>
                <w:szCs w:val="21"/>
                <w:lang w:bidi="ar"/>
              </w:rPr>
              <w:t xml:space="preserve">4533.56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BBCB1">
            <w:pPr>
              <w:widowControl/>
              <w:spacing w:after="60"/>
              <w:jc w:val="center"/>
              <w:textAlignment w:val="center"/>
              <w:rPr>
                <w:rFonts w:hint="eastAsia" w:cs="微软雅黑" w:asciiTheme="minorEastAsia" w:hAnsiTheme="minorEastAsia" w:eastAsiaTheme="minorEastAsia"/>
                <w:color w:val="000000"/>
                <w:szCs w:val="21"/>
              </w:rPr>
            </w:pPr>
            <w:r>
              <w:rPr>
                <w:rFonts w:hint="eastAsia" w:cs="微软雅黑" w:asciiTheme="minorEastAsia" w:hAnsiTheme="minorEastAsia" w:eastAsiaTheme="minorEastAsia"/>
                <w:color w:val="000000"/>
                <w:kern w:val="0"/>
                <w:szCs w:val="21"/>
                <w:lang w:bidi="ar"/>
              </w:rPr>
              <w:t xml:space="preserve">1928.20 </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2B462">
            <w:pPr>
              <w:widowControl/>
              <w:spacing w:after="60"/>
              <w:jc w:val="center"/>
              <w:textAlignment w:val="center"/>
              <w:rPr>
                <w:rFonts w:hint="eastAsia" w:cs="微软雅黑" w:asciiTheme="minorEastAsia" w:hAnsiTheme="minorEastAsia" w:eastAsiaTheme="minorEastAsia"/>
                <w:color w:val="000000"/>
                <w:szCs w:val="21"/>
              </w:rPr>
            </w:pPr>
            <w:r>
              <w:rPr>
                <w:rFonts w:hint="eastAsia" w:cs="微软雅黑" w:asciiTheme="minorEastAsia" w:hAnsiTheme="minorEastAsia" w:eastAsiaTheme="minorEastAsia"/>
                <w:color w:val="000000"/>
                <w:kern w:val="0"/>
                <w:szCs w:val="21"/>
                <w:lang w:bidi="ar"/>
              </w:rPr>
              <w:t xml:space="preserve">3379.18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EE487">
            <w:pPr>
              <w:widowControl/>
              <w:spacing w:after="60"/>
              <w:jc w:val="center"/>
              <w:textAlignment w:val="center"/>
              <w:rPr>
                <w:rFonts w:hint="eastAsia" w:cs="微软雅黑" w:asciiTheme="minorEastAsia" w:hAnsiTheme="minorEastAsia" w:eastAsiaTheme="minorEastAsia"/>
                <w:color w:val="000000"/>
                <w:szCs w:val="21"/>
              </w:rPr>
            </w:pPr>
            <w:r>
              <w:rPr>
                <w:rFonts w:hint="eastAsia" w:cs="微软雅黑" w:asciiTheme="minorEastAsia" w:hAnsiTheme="minorEastAsia" w:eastAsiaTheme="minorEastAsia"/>
                <w:color w:val="000000"/>
                <w:kern w:val="0"/>
                <w:szCs w:val="21"/>
                <w:lang w:bidi="ar"/>
              </w:rPr>
              <w:t xml:space="preserve">6461.76 </w:t>
            </w:r>
          </w:p>
        </w:tc>
      </w:tr>
      <w:tr w14:paraId="2FA76AC3">
        <w:tblPrEx>
          <w:tblCellMar>
            <w:top w:w="0" w:type="dxa"/>
            <w:left w:w="108" w:type="dxa"/>
            <w:bottom w:w="0" w:type="dxa"/>
            <w:right w:w="108" w:type="dxa"/>
          </w:tblCellMar>
        </w:tblPrEx>
        <w:trPr>
          <w:trHeight w:val="440" w:hRule="atLeast"/>
        </w:trPr>
        <w:tc>
          <w:tcPr>
            <w:tcW w:w="117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68FD2E9B">
            <w:pPr>
              <w:widowControl/>
              <w:spacing w:after="60"/>
              <w:jc w:val="center"/>
              <w:textAlignment w:val="bottom"/>
              <w:rPr>
                <w:rFonts w:hint="eastAsia" w:cs="微软雅黑" w:asciiTheme="minorEastAsia" w:hAnsiTheme="minorEastAsia" w:eastAsiaTheme="minorEastAsia"/>
                <w:b/>
                <w:bCs/>
                <w:color w:val="000000"/>
                <w:kern w:val="0"/>
                <w:szCs w:val="21"/>
                <w:lang w:bidi="ar"/>
              </w:rPr>
            </w:pPr>
            <w:r>
              <w:rPr>
                <w:rFonts w:hint="eastAsia" w:cs="微软雅黑" w:asciiTheme="minorEastAsia" w:hAnsiTheme="minorEastAsia" w:eastAsiaTheme="minorEastAsia"/>
                <w:b/>
                <w:bCs/>
                <w:color w:val="000000"/>
                <w:kern w:val="0"/>
                <w:szCs w:val="21"/>
                <w:lang w:bidi="ar"/>
              </w:rPr>
              <w:t>单价</w:t>
            </w:r>
          </w:p>
          <w:p w14:paraId="53F1DEAD">
            <w:pPr>
              <w:widowControl/>
              <w:spacing w:after="60"/>
              <w:jc w:val="center"/>
              <w:textAlignment w:val="bottom"/>
              <w:rPr>
                <w:rFonts w:hint="eastAsia" w:cs="微软雅黑" w:asciiTheme="minorEastAsia" w:hAnsiTheme="minorEastAsia" w:eastAsiaTheme="minorEastAsia"/>
                <w:b/>
                <w:bCs/>
                <w:color w:val="000000"/>
                <w:szCs w:val="21"/>
              </w:rPr>
            </w:pPr>
            <w:r>
              <w:rPr>
                <w:rFonts w:hint="eastAsia" w:cs="微软雅黑" w:asciiTheme="minorEastAsia" w:hAnsiTheme="minorEastAsia" w:eastAsiaTheme="minorEastAsia"/>
                <w:b/>
                <w:bCs/>
                <w:color w:val="000000"/>
                <w:kern w:val="0"/>
                <w:szCs w:val="21"/>
                <w:lang w:bidi="ar"/>
              </w:rPr>
              <w:t>限价（元）</w:t>
            </w:r>
          </w:p>
        </w:tc>
        <w:tc>
          <w:tcPr>
            <w:tcW w:w="19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F8820C">
            <w:pPr>
              <w:widowControl/>
              <w:spacing w:after="60"/>
              <w:jc w:val="center"/>
              <w:textAlignment w:val="center"/>
              <w:rPr>
                <w:rFonts w:hint="eastAsia" w:cs="微软雅黑" w:asciiTheme="minorEastAsia" w:hAnsiTheme="minorEastAsia" w:eastAsiaTheme="minorEastAsia"/>
                <w:color w:val="000000"/>
                <w:szCs w:val="21"/>
              </w:rPr>
            </w:pPr>
            <w:r>
              <w:rPr>
                <w:rFonts w:hint="eastAsia" w:cs="微软雅黑" w:asciiTheme="minorEastAsia" w:hAnsiTheme="minorEastAsia" w:eastAsiaTheme="minorEastAsia"/>
                <w:color w:val="000000"/>
                <w:kern w:val="0"/>
                <w:szCs w:val="21"/>
                <w:lang w:bidi="ar"/>
              </w:rPr>
              <w:t xml:space="preserve">120.00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1A8C0">
            <w:pPr>
              <w:widowControl/>
              <w:spacing w:after="60"/>
              <w:jc w:val="center"/>
              <w:textAlignment w:val="center"/>
              <w:rPr>
                <w:rFonts w:hint="eastAsia" w:cs="微软雅黑" w:asciiTheme="minorEastAsia" w:hAnsiTheme="minorEastAsia" w:eastAsiaTheme="minorEastAsia"/>
                <w:color w:val="000000"/>
                <w:szCs w:val="21"/>
              </w:rPr>
            </w:pPr>
            <w:r>
              <w:rPr>
                <w:rFonts w:hint="eastAsia" w:cs="微软雅黑" w:asciiTheme="minorEastAsia" w:hAnsiTheme="minorEastAsia" w:eastAsiaTheme="minorEastAsia"/>
                <w:color w:val="000000"/>
                <w:kern w:val="0"/>
                <w:szCs w:val="21"/>
                <w:lang w:bidi="ar"/>
              </w:rPr>
              <w:t xml:space="preserve">50.00 </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3B5E7">
            <w:pPr>
              <w:widowControl/>
              <w:spacing w:after="60"/>
              <w:jc w:val="center"/>
              <w:textAlignment w:val="center"/>
              <w:rPr>
                <w:rFonts w:hint="eastAsia" w:cs="微软雅黑" w:asciiTheme="minorEastAsia" w:hAnsiTheme="minorEastAsia" w:eastAsiaTheme="minorEastAsia"/>
                <w:color w:val="000000"/>
                <w:szCs w:val="21"/>
              </w:rPr>
            </w:pPr>
            <w:r>
              <w:rPr>
                <w:rFonts w:hint="eastAsia" w:cs="微软雅黑" w:asciiTheme="minorEastAsia" w:hAnsiTheme="minorEastAsia" w:eastAsiaTheme="minorEastAsia"/>
                <w:color w:val="000000"/>
                <w:kern w:val="0"/>
                <w:szCs w:val="21"/>
                <w:lang w:bidi="ar"/>
              </w:rPr>
              <w:t xml:space="preserve">30.00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6304A">
            <w:pPr>
              <w:widowControl/>
              <w:spacing w:after="60"/>
              <w:jc w:val="center"/>
              <w:textAlignment w:val="center"/>
              <w:rPr>
                <w:rFonts w:hint="eastAsia" w:cs="微软雅黑" w:asciiTheme="minorEastAsia" w:hAnsiTheme="minorEastAsia" w:eastAsiaTheme="minorEastAsia"/>
                <w:color w:val="000000"/>
                <w:szCs w:val="21"/>
              </w:rPr>
            </w:pPr>
            <w:r>
              <w:rPr>
                <w:rFonts w:hint="eastAsia" w:cs="微软雅黑" w:asciiTheme="minorEastAsia" w:hAnsiTheme="minorEastAsia" w:eastAsiaTheme="minorEastAsia"/>
                <w:color w:val="000000"/>
                <w:kern w:val="0"/>
                <w:szCs w:val="21"/>
                <w:lang w:bidi="ar"/>
              </w:rPr>
              <w:t xml:space="preserve">8.00 </w:t>
            </w:r>
          </w:p>
        </w:tc>
      </w:tr>
    </w:tbl>
    <w:p w14:paraId="44B799A0">
      <w:pPr>
        <w:autoSpaceDE w:val="0"/>
        <w:autoSpaceDN w:val="0"/>
        <w:adjustRightInd w:val="0"/>
        <w:spacing w:after="60" w:line="360" w:lineRule="auto"/>
        <w:ind w:firstLine="424" w:firstLineChars="201"/>
        <w:jc w:val="left"/>
        <w:rPr>
          <w:rFonts w:ascii="宋体" w:cs="宋体" w:hAnsiTheme="minorHAnsi"/>
          <w:b/>
          <w:color w:val="000000"/>
          <w:kern w:val="0"/>
          <w:szCs w:val="21"/>
        </w:rPr>
      </w:pPr>
      <w:bookmarkStart w:id="12" w:name="OLE_LINK5"/>
      <w:bookmarkStart w:id="13" w:name="OLE_LINK6"/>
      <w:r>
        <w:rPr>
          <w:rFonts w:hint="eastAsia" w:asciiTheme="minorEastAsia" w:hAnsiTheme="minorEastAsia" w:eastAsiaTheme="minorEastAsia"/>
          <w:b/>
          <w:bCs/>
          <w:szCs w:val="21"/>
        </w:rPr>
        <w:t>注：本项目投标总价控制金额为793,500.00元，投标总价或单价报价超出控制金额（或单价限价）的将被当作无效投标处理。</w:t>
      </w:r>
      <w:bookmarkEnd w:id="12"/>
    </w:p>
    <w:bookmarkEnd w:id="13"/>
    <w:p w14:paraId="528D6059">
      <w:pPr>
        <w:autoSpaceDE w:val="0"/>
        <w:autoSpaceDN w:val="0"/>
        <w:adjustRightInd w:val="0"/>
        <w:spacing w:after="60" w:line="360" w:lineRule="auto"/>
        <w:ind w:firstLine="424" w:firstLineChars="201"/>
        <w:jc w:val="left"/>
        <w:rPr>
          <w:rFonts w:ascii="宋体" w:cs="宋体" w:hAnsiTheme="minorHAnsi"/>
          <w:b/>
          <w:color w:val="000000"/>
          <w:kern w:val="0"/>
          <w:szCs w:val="21"/>
        </w:rPr>
      </w:pPr>
      <w:r>
        <w:rPr>
          <w:rFonts w:hint="eastAsia" w:ascii="宋体" w:cs="宋体" w:hAnsiTheme="minorHAnsi"/>
          <w:b/>
          <w:color w:val="000000"/>
          <w:kern w:val="0"/>
          <w:szCs w:val="21"/>
        </w:rPr>
        <w:t>注意事项：</w:t>
      </w:r>
    </w:p>
    <w:p w14:paraId="14B60C47">
      <w:pPr>
        <w:pStyle w:val="7"/>
        <w:numPr>
          <w:ilvl w:val="0"/>
          <w:numId w:val="5"/>
        </w:numPr>
        <w:autoSpaceDE w:val="0"/>
        <w:autoSpaceDN w:val="0"/>
        <w:adjustRightInd w:val="0"/>
        <w:spacing w:after="60" w:line="360" w:lineRule="auto"/>
        <w:ind w:left="0" w:firstLine="424" w:firstLineChars="202"/>
        <w:jc w:val="left"/>
        <w:rPr>
          <w:rFonts w:hint="eastAsia" w:cs="宋体" w:asciiTheme="minorEastAsia" w:hAnsiTheme="minorEastAsia"/>
          <w:color w:val="000000"/>
          <w:kern w:val="0"/>
          <w:szCs w:val="21"/>
        </w:rPr>
      </w:pPr>
      <w:r>
        <w:rPr>
          <w:rFonts w:hint="eastAsia" w:cs="宋体" w:asciiTheme="minorEastAsia" w:hAnsiTheme="minorEastAsia"/>
          <w:color w:val="000000"/>
          <w:kern w:val="0"/>
          <w:szCs w:val="21"/>
        </w:rPr>
        <w:t xml:space="preserve">招标人提供的清单中材料所涉及品牌或型号（如有），仅供投标人参考。投标人在投标时可以选用其它品牌，但所选用的品牌产品要在实质上相当于或不低于参照品牌技术性能的要求，并且使采购人满意。 </w:t>
      </w:r>
    </w:p>
    <w:p w14:paraId="2701C062">
      <w:pPr>
        <w:pStyle w:val="7"/>
        <w:numPr>
          <w:ilvl w:val="0"/>
          <w:numId w:val="5"/>
        </w:numPr>
        <w:autoSpaceDE w:val="0"/>
        <w:autoSpaceDN w:val="0"/>
        <w:adjustRightInd w:val="0"/>
        <w:spacing w:after="60" w:line="360" w:lineRule="auto"/>
        <w:ind w:left="0" w:firstLine="424" w:firstLineChars="202"/>
        <w:jc w:val="left"/>
        <w:rPr>
          <w:rFonts w:hint="eastAsia" w:cs="宋体" w:asciiTheme="minorEastAsia" w:hAnsiTheme="minorEastAsia"/>
          <w:color w:val="000000"/>
          <w:kern w:val="0"/>
          <w:szCs w:val="21"/>
        </w:rPr>
      </w:pPr>
      <w:r>
        <w:rPr>
          <w:rFonts w:hint="eastAsia" w:cs="宋体" w:asciiTheme="minorEastAsia" w:hAnsiTheme="minorEastAsia"/>
          <w:color w:val="000000"/>
          <w:kern w:val="0"/>
          <w:szCs w:val="21"/>
        </w:rPr>
        <w:t>提供相同品牌产品且通过资格审查、符合性审查的不同投标人参加同一合同项下投标的，按一家投标人计算，评审后得分最高的同品牌投标人获得中标人推荐资格;评审得分相同的，以投标报价最低的获得中标人推荐资格。</w:t>
      </w:r>
    </w:p>
    <w:p w14:paraId="093E391C">
      <w:pPr>
        <w:pStyle w:val="7"/>
        <w:numPr>
          <w:ilvl w:val="0"/>
          <w:numId w:val="5"/>
        </w:numPr>
        <w:autoSpaceDE w:val="0"/>
        <w:autoSpaceDN w:val="0"/>
        <w:adjustRightInd w:val="0"/>
        <w:spacing w:after="60" w:line="360" w:lineRule="auto"/>
        <w:ind w:left="0" w:firstLine="424" w:firstLineChars="202"/>
        <w:jc w:val="left"/>
        <w:rPr>
          <w:rFonts w:hint="eastAsia" w:cs="宋体" w:asciiTheme="minorEastAsia" w:hAnsiTheme="minorEastAsia"/>
          <w:color w:val="000000"/>
          <w:kern w:val="0"/>
          <w:szCs w:val="21"/>
        </w:rPr>
      </w:pPr>
      <w:r>
        <w:rPr>
          <w:rFonts w:hint="eastAsia" w:cs="宋体" w:asciiTheme="minorEastAsia" w:hAnsiTheme="minorEastAsia"/>
          <w:color w:val="000000"/>
          <w:kern w:val="0"/>
          <w:szCs w:val="21"/>
        </w:rPr>
        <w:t>非单一产品采购项目，采购人应当根据采购项目技术构成、产品价格比重等合理确定核心产品，并在招标文件中载明。多家投标人提供的核心产品品牌相同的，按第2条款规定处理。</w:t>
      </w:r>
    </w:p>
    <w:p w14:paraId="3321A1EB">
      <w:pPr>
        <w:pStyle w:val="7"/>
        <w:numPr>
          <w:ilvl w:val="0"/>
          <w:numId w:val="5"/>
        </w:numPr>
        <w:autoSpaceDE w:val="0"/>
        <w:autoSpaceDN w:val="0"/>
        <w:adjustRightInd w:val="0"/>
        <w:spacing w:after="60" w:line="360" w:lineRule="auto"/>
        <w:ind w:left="0" w:firstLine="424" w:firstLineChars="202"/>
        <w:jc w:val="left"/>
        <w:rPr>
          <w:rFonts w:hint="eastAsia" w:cs="宋体" w:asciiTheme="minorEastAsia" w:hAnsiTheme="minorEastAsia"/>
          <w:color w:val="000000"/>
          <w:kern w:val="0"/>
          <w:szCs w:val="21"/>
        </w:rPr>
      </w:pPr>
      <w:r>
        <w:rPr>
          <w:rFonts w:hint="eastAsia" w:cs="宋体" w:asciiTheme="minorEastAsia" w:hAnsiTheme="minorEastAsia"/>
          <w:color w:val="000000"/>
          <w:kern w:val="0"/>
          <w:szCs w:val="21"/>
        </w:rPr>
        <w:t>标注 ★ 号的条款为重要技术要求，投标文件中对标注 ★ 号的条款不响应或任何的不满足（负偏离），将导致废标。</w:t>
      </w:r>
    </w:p>
    <w:p w14:paraId="2C4D776F">
      <w:pPr>
        <w:pStyle w:val="7"/>
        <w:numPr>
          <w:ilvl w:val="0"/>
          <w:numId w:val="5"/>
        </w:numPr>
        <w:autoSpaceDE w:val="0"/>
        <w:autoSpaceDN w:val="0"/>
        <w:adjustRightInd w:val="0"/>
        <w:spacing w:after="60" w:line="360" w:lineRule="auto"/>
        <w:ind w:left="0" w:firstLine="424" w:firstLineChars="202"/>
        <w:jc w:val="left"/>
      </w:pPr>
      <w:r>
        <w:rPr>
          <w:rFonts w:hint="eastAsia" w:cs="宋体" w:asciiTheme="minorEastAsia" w:hAnsiTheme="minorEastAsia"/>
          <w:color w:val="000000"/>
          <w:kern w:val="0"/>
          <w:szCs w:val="21"/>
        </w:rPr>
        <w:t xml:space="preserve">以下内容若有标注“▲”的条款均为非不可偏离条款，仅作为综合评分时的重要依据。 </w:t>
      </w:r>
    </w:p>
    <w:p w14:paraId="32EBA69B">
      <w:pPr>
        <w:pStyle w:val="8"/>
        <w:rPr>
          <w:rFonts w:ascii="宋体" w:cs="宋体" w:hAnsiTheme="minorHAnsi"/>
          <w:b/>
          <w:color w:val="000000"/>
          <w:kern w:val="0"/>
          <w:szCs w:val="21"/>
        </w:rPr>
      </w:pPr>
      <w:r>
        <w:rPr>
          <w:rFonts w:hint="eastAsia" w:ascii="宋体" w:cs="宋体" w:hAnsiTheme="minorHAnsi"/>
          <w:b/>
          <w:color w:val="000000"/>
          <w:kern w:val="0"/>
          <w:szCs w:val="21"/>
        </w:rPr>
        <w:t>（二）设备清单及参数要求：</w:t>
      </w:r>
    </w:p>
    <w:tbl>
      <w:tblPr>
        <w:tblStyle w:val="3"/>
        <w:tblW w:w="9350" w:type="dxa"/>
        <w:jc w:val="center"/>
        <w:tblLayout w:type="fixed"/>
        <w:tblCellMar>
          <w:top w:w="0" w:type="dxa"/>
          <w:left w:w="108" w:type="dxa"/>
          <w:bottom w:w="0" w:type="dxa"/>
          <w:right w:w="108" w:type="dxa"/>
        </w:tblCellMar>
      </w:tblPr>
      <w:tblGrid>
        <w:gridCol w:w="700"/>
        <w:gridCol w:w="4389"/>
        <w:gridCol w:w="4261"/>
      </w:tblGrid>
      <w:tr w14:paraId="3ADCD171">
        <w:tblPrEx>
          <w:tblCellMar>
            <w:top w:w="0" w:type="dxa"/>
            <w:left w:w="108" w:type="dxa"/>
            <w:bottom w:w="0" w:type="dxa"/>
            <w:right w:w="108" w:type="dxa"/>
          </w:tblCellMar>
        </w:tblPrEx>
        <w:trPr>
          <w:trHeight w:val="40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D4F4F1" w:themeFill="accent5" w:themeFillTint="32"/>
            <w:noWrap/>
            <w:vAlign w:val="center"/>
          </w:tcPr>
          <w:p w14:paraId="15635483">
            <w:pPr>
              <w:widowControl/>
              <w:spacing w:after="60"/>
              <w:jc w:val="center"/>
              <w:textAlignment w:val="center"/>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序号</w:t>
            </w:r>
          </w:p>
        </w:tc>
        <w:tc>
          <w:tcPr>
            <w:tcW w:w="4389" w:type="dxa"/>
            <w:tcBorders>
              <w:top w:val="single" w:color="000000" w:sz="4" w:space="0"/>
              <w:left w:val="single" w:color="000000" w:sz="4" w:space="0"/>
              <w:bottom w:val="single" w:color="000000" w:sz="4" w:space="0"/>
              <w:right w:val="single" w:color="000000" w:sz="4" w:space="0"/>
            </w:tcBorders>
            <w:shd w:val="clear" w:color="auto" w:fill="D4F4F1" w:themeFill="accent5" w:themeFillTint="32"/>
            <w:noWrap/>
            <w:vAlign w:val="center"/>
          </w:tcPr>
          <w:p w14:paraId="1EADF504">
            <w:pPr>
              <w:widowControl/>
              <w:spacing w:after="60"/>
              <w:jc w:val="center"/>
              <w:textAlignment w:val="center"/>
              <w:rPr>
                <w:rFonts w:hint="eastAsia" w:cs="宋体" w:asciiTheme="minorEastAsia" w:hAnsiTheme="minorEastAsia" w:eastAsiaTheme="minorEastAsia"/>
                <w:szCs w:val="21"/>
              </w:rPr>
            </w:pPr>
            <w:r>
              <w:rPr>
                <w:rFonts w:hint="eastAsia" w:cs="宋体" w:asciiTheme="minorEastAsia" w:hAnsiTheme="minorEastAsia" w:eastAsiaTheme="minorEastAsia"/>
                <w:b/>
                <w:bCs/>
                <w:szCs w:val="21"/>
              </w:rPr>
              <w:t>窗帘参数</w:t>
            </w:r>
          </w:p>
        </w:tc>
        <w:tc>
          <w:tcPr>
            <w:tcW w:w="4261" w:type="dxa"/>
            <w:tcBorders>
              <w:top w:val="single" w:color="000000" w:sz="4" w:space="0"/>
              <w:left w:val="single" w:color="000000" w:sz="4" w:space="0"/>
              <w:bottom w:val="single" w:color="000000" w:sz="4" w:space="0"/>
              <w:right w:val="single" w:color="000000" w:sz="4" w:space="0"/>
            </w:tcBorders>
            <w:shd w:val="clear" w:color="auto" w:fill="D4F4F1" w:themeFill="accent5" w:themeFillTint="32"/>
            <w:noWrap/>
            <w:vAlign w:val="center"/>
          </w:tcPr>
          <w:p w14:paraId="129D629D">
            <w:pPr>
              <w:widowControl/>
              <w:spacing w:after="60"/>
              <w:jc w:val="center"/>
              <w:textAlignment w:val="center"/>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标准</w:t>
            </w:r>
          </w:p>
        </w:tc>
      </w:tr>
      <w:tr w14:paraId="23862F1F">
        <w:tblPrEx>
          <w:tblCellMar>
            <w:top w:w="0" w:type="dxa"/>
            <w:left w:w="108" w:type="dxa"/>
            <w:bottom w:w="0" w:type="dxa"/>
            <w:right w:w="108" w:type="dxa"/>
          </w:tblCellMar>
        </w:tblPrEx>
        <w:trPr>
          <w:trHeight w:val="40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B9C90">
            <w:pPr>
              <w:widowControl/>
              <w:spacing w:after="60"/>
              <w:jc w:val="center"/>
              <w:textAlignment w:val="center"/>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1</w:t>
            </w:r>
          </w:p>
        </w:tc>
        <w:tc>
          <w:tcPr>
            <w:tcW w:w="4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22937">
            <w:pPr>
              <w:widowControl/>
              <w:spacing w:after="60"/>
              <w:jc w:val="left"/>
              <w:textAlignment w:val="center"/>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纤维含量：100%聚酯纤维；</w:t>
            </w:r>
          </w:p>
        </w:tc>
        <w:tc>
          <w:tcPr>
            <w:tcW w:w="4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3E1D8">
            <w:pPr>
              <w:widowControl/>
              <w:spacing w:after="60"/>
              <w:jc w:val="left"/>
              <w:textAlignment w:val="center"/>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FZ/T01057-2007,</w:t>
            </w:r>
          </w:p>
          <w:p w14:paraId="123C0485">
            <w:pPr>
              <w:widowControl/>
              <w:spacing w:after="60"/>
              <w:jc w:val="left"/>
              <w:textAlignment w:val="center"/>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GB/T2910.24-2009</w:t>
            </w:r>
          </w:p>
        </w:tc>
      </w:tr>
      <w:tr w14:paraId="7AD00104">
        <w:tblPrEx>
          <w:tblCellMar>
            <w:top w:w="0" w:type="dxa"/>
            <w:left w:w="108" w:type="dxa"/>
            <w:bottom w:w="0" w:type="dxa"/>
            <w:right w:w="108" w:type="dxa"/>
          </w:tblCellMar>
        </w:tblPrEx>
        <w:trPr>
          <w:trHeight w:val="40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A72B4">
            <w:pPr>
              <w:widowControl/>
              <w:spacing w:after="60"/>
              <w:jc w:val="center"/>
              <w:textAlignment w:val="center"/>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2</w:t>
            </w:r>
          </w:p>
        </w:tc>
        <w:tc>
          <w:tcPr>
            <w:tcW w:w="4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F574F">
            <w:pPr>
              <w:widowControl/>
              <w:spacing w:after="60"/>
              <w:jc w:val="left"/>
              <w:textAlignment w:val="center"/>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pH值：4.0~7.5；</w:t>
            </w:r>
          </w:p>
        </w:tc>
        <w:tc>
          <w:tcPr>
            <w:tcW w:w="4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5252D">
            <w:pPr>
              <w:widowControl/>
              <w:spacing w:after="60"/>
              <w:jc w:val="left"/>
              <w:textAlignment w:val="center"/>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GB/T7573-2009</w:t>
            </w:r>
          </w:p>
        </w:tc>
      </w:tr>
      <w:tr w14:paraId="71A8D58E">
        <w:tblPrEx>
          <w:tblCellMar>
            <w:top w:w="0" w:type="dxa"/>
            <w:left w:w="108" w:type="dxa"/>
            <w:bottom w:w="0" w:type="dxa"/>
            <w:right w:w="108" w:type="dxa"/>
          </w:tblCellMar>
        </w:tblPrEx>
        <w:trPr>
          <w:trHeight w:val="40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3F635">
            <w:pPr>
              <w:widowControl/>
              <w:spacing w:after="60"/>
              <w:jc w:val="center"/>
              <w:textAlignment w:val="center"/>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3</w:t>
            </w:r>
          </w:p>
        </w:tc>
        <w:tc>
          <w:tcPr>
            <w:tcW w:w="4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91D8E">
            <w:pPr>
              <w:widowControl/>
              <w:spacing w:after="60"/>
              <w:jc w:val="left"/>
              <w:textAlignment w:val="center"/>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甲醛含量：未检出；</w:t>
            </w:r>
          </w:p>
        </w:tc>
        <w:tc>
          <w:tcPr>
            <w:tcW w:w="4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FA34F">
            <w:pPr>
              <w:widowControl/>
              <w:spacing w:after="60"/>
              <w:jc w:val="left"/>
              <w:textAlignment w:val="center"/>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GB/T2912.1-2009</w:t>
            </w:r>
          </w:p>
        </w:tc>
      </w:tr>
      <w:tr w14:paraId="2C67A775">
        <w:tblPrEx>
          <w:tblCellMar>
            <w:top w:w="0" w:type="dxa"/>
            <w:left w:w="108" w:type="dxa"/>
            <w:bottom w:w="0" w:type="dxa"/>
            <w:right w:w="108" w:type="dxa"/>
          </w:tblCellMar>
        </w:tblPrEx>
        <w:trPr>
          <w:trHeight w:val="40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589D7">
            <w:pPr>
              <w:widowControl/>
              <w:spacing w:after="60"/>
              <w:jc w:val="center"/>
              <w:textAlignment w:val="center"/>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4</w:t>
            </w:r>
          </w:p>
        </w:tc>
        <w:tc>
          <w:tcPr>
            <w:tcW w:w="4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5F49D">
            <w:pPr>
              <w:widowControl/>
              <w:spacing w:after="60"/>
              <w:jc w:val="left"/>
              <w:textAlignment w:val="center"/>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耐水色牢度：变色：4-5级；沾色：4-5级；</w:t>
            </w:r>
          </w:p>
        </w:tc>
        <w:tc>
          <w:tcPr>
            <w:tcW w:w="4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62073">
            <w:pPr>
              <w:widowControl/>
              <w:spacing w:after="60"/>
              <w:jc w:val="left"/>
              <w:textAlignment w:val="center"/>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GB/T5713-2013</w:t>
            </w:r>
          </w:p>
        </w:tc>
      </w:tr>
      <w:tr w14:paraId="09132607">
        <w:tblPrEx>
          <w:tblCellMar>
            <w:top w:w="0" w:type="dxa"/>
            <w:left w:w="108" w:type="dxa"/>
            <w:bottom w:w="0" w:type="dxa"/>
            <w:right w:w="108" w:type="dxa"/>
          </w:tblCellMar>
        </w:tblPrEx>
        <w:trPr>
          <w:trHeight w:val="40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FF884">
            <w:pPr>
              <w:widowControl/>
              <w:spacing w:after="60"/>
              <w:jc w:val="center"/>
              <w:textAlignment w:val="center"/>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5</w:t>
            </w:r>
          </w:p>
        </w:tc>
        <w:tc>
          <w:tcPr>
            <w:tcW w:w="4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D9E97">
            <w:pPr>
              <w:widowControl/>
              <w:spacing w:after="60"/>
              <w:jc w:val="left"/>
              <w:textAlignment w:val="center"/>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耐酸汗渍色牢度：变色：4-5级；沾色：4-5级；</w:t>
            </w:r>
          </w:p>
        </w:tc>
        <w:tc>
          <w:tcPr>
            <w:tcW w:w="4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A015D">
            <w:pPr>
              <w:widowControl/>
              <w:spacing w:after="60"/>
              <w:jc w:val="left"/>
              <w:textAlignment w:val="center"/>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GB/T3922-2013</w:t>
            </w:r>
          </w:p>
        </w:tc>
      </w:tr>
      <w:tr w14:paraId="2C7A7C5F">
        <w:tblPrEx>
          <w:tblCellMar>
            <w:top w:w="0" w:type="dxa"/>
            <w:left w:w="108" w:type="dxa"/>
            <w:bottom w:w="0" w:type="dxa"/>
            <w:right w:w="108" w:type="dxa"/>
          </w:tblCellMar>
        </w:tblPrEx>
        <w:trPr>
          <w:trHeight w:val="40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69AD5">
            <w:pPr>
              <w:widowControl/>
              <w:spacing w:after="60"/>
              <w:jc w:val="center"/>
              <w:textAlignment w:val="center"/>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6</w:t>
            </w:r>
          </w:p>
        </w:tc>
        <w:tc>
          <w:tcPr>
            <w:tcW w:w="4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EB160">
            <w:pPr>
              <w:widowControl/>
              <w:spacing w:after="60"/>
              <w:jc w:val="left"/>
              <w:textAlignment w:val="center"/>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耐碱汗渍色牢度：变色：4-5级；沾色：4-5级；</w:t>
            </w:r>
          </w:p>
        </w:tc>
        <w:tc>
          <w:tcPr>
            <w:tcW w:w="4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77B1B">
            <w:pPr>
              <w:widowControl/>
              <w:spacing w:after="60"/>
              <w:jc w:val="left"/>
              <w:textAlignment w:val="center"/>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GB/T3922-2013</w:t>
            </w:r>
          </w:p>
        </w:tc>
      </w:tr>
      <w:tr w14:paraId="5668C089">
        <w:tblPrEx>
          <w:tblCellMar>
            <w:top w:w="0" w:type="dxa"/>
            <w:left w:w="108" w:type="dxa"/>
            <w:bottom w:w="0" w:type="dxa"/>
            <w:right w:w="108" w:type="dxa"/>
          </w:tblCellMar>
        </w:tblPrEx>
        <w:trPr>
          <w:trHeight w:val="40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21FE0">
            <w:pPr>
              <w:widowControl/>
              <w:spacing w:after="60"/>
              <w:jc w:val="center"/>
              <w:textAlignment w:val="center"/>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7</w:t>
            </w:r>
          </w:p>
        </w:tc>
        <w:tc>
          <w:tcPr>
            <w:tcW w:w="4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DCCA2">
            <w:pPr>
              <w:widowControl/>
              <w:spacing w:after="60"/>
              <w:jc w:val="left"/>
              <w:textAlignment w:val="center"/>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耐干摩擦色牢度：沾色：4-5级；</w:t>
            </w:r>
          </w:p>
        </w:tc>
        <w:tc>
          <w:tcPr>
            <w:tcW w:w="4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05139">
            <w:pPr>
              <w:widowControl/>
              <w:spacing w:after="60"/>
              <w:jc w:val="left"/>
              <w:textAlignment w:val="center"/>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GB/T3920-2008</w:t>
            </w:r>
          </w:p>
        </w:tc>
      </w:tr>
      <w:tr w14:paraId="0F17BD3C">
        <w:tblPrEx>
          <w:tblCellMar>
            <w:top w:w="0" w:type="dxa"/>
            <w:left w:w="108" w:type="dxa"/>
            <w:bottom w:w="0" w:type="dxa"/>
            <w:right w:w="108" w:type="dxa"/>
          </w:tblCellMar>
        </w:tblPrEx>
        <w:trPr>
          <w:trHeight w:val="40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F36E4">
            <w:pPr>
              <w:widowControl/>
              <w:spacing w:after="60"/>
              <w:jc w:val="center"/>
              <w:textAlignment w:val="center"/>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8</w:t>
            </w:r>
          </w:p>
        </w:tc>
        <w:tc>
          <w:tcPr>
            <w:tcW w:w="4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98A9D">
            <w:pPr>
              <w:widowControl/>
              <w:spacing w:after="60"/>
              <w:jc w:val="left"/>
              <w:textAlignment w:val="center"/>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异味：无异味；</w:t>
            </w:r>
          </w:p>
        </w:tc>
        <w:tc>
          <w:tcPr>
            <w:tcW w:w="4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7954E">
            <w:pPr>
              <w:widowControl/>
              <w:spacing w:after="60"/>
              <w:jc w:val="left"/>
              <w:textAlignment w:val="center"/>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GB18401-2010 条款6.7</w:t>
            </w:r>
          </w:p>
        </w:tc>
      </w:tr>
      <w:tr w14:paraId="6A10E95D">
        <w:tblPrEx>
          <w:tblCellMar>
            <w:top w:w="0" w:type="dxa"/>
            <w:left w:w="108" w:type="dxa"/>
            <w:bottom w:w="0" w:type="dxa"/>
            <w:right w:w="108" w:type="dxa"/>
          </w:tblCellMar>
        </w:tblPrEx>
        <w:trPr>
          <w:trHeight w:val="40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36FDB">
            <w:pPr>
              <w:widowControl/>
              <w:spacing w:after="60"/>
              <w:jc w:val="center"/>
              <w:textAlignment w:val="center"/>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9</w:t>
            </w:r>
          </w:p>
        </w:tc>
        <w:tc>
          <w:tcPr>
            <w:tcW w:w="4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6DBDC">
            <w:pPr>
              <w:widowControl/>
              <w:spacing w:after="60"/>
              <w:jc w:val="left"/>
              <w:textAlignment w:val="center"/>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可分解致癌芳香胺</w:t>
            </w:r>
            <w:r>
              <w:rPr>
                <w:rFonts w:hint="eastAsia" w:cs="宋体" w:asciiTheme="minorEastAsia" w:hAnsiTheme="minorEastAsia" w:eastAsiaTheme="minorEastAsia"/>
                <w:color w:val="FF0000"/>
                <w:kern w:val="0"/>
                <w:szCs w:val="21"/>
                <w:highlight w:val="yellow"/>
                <w:lang w:bidi="ar"/>
              </w:rPr>
              <w:t>染料</w:t>
            </w:r>
            <w:r>
              <w:rPr>
                <w:rFonts w:hint="eastAsia" w:cs="宋体" w:asciiTheme="minorEastAsia" w:hAnsiTheme="minorEastAsia" w:eastAsiaTheme="minorEastAsia"/>
                <w:kern w:val="0"/>
                <w:szCs w:val="21"/>
                <w:lang w:bidi="ar"/>
              </w:rPr>
              <w:t>（24种）：未检出；</w:t>
            </w:r>
          </w:p>
        </w:tc>
        <w:tc>
          <w:tcPr>
            <w:tcW w:w="4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D3C58">
            <w:pPr>
              <w:widowControl/>
              <w:spacing w:after="60"/>
              <w:jc w:val="left"/>
              <w:textAlignment w:val="center"/>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GB/T17592-2011</w:t>
            </w:r>
          </w:p>
        </w:tc>
      </w:tr>
      <w:tr w14:paraId="4974B900">
        <w:tblPrEx>
          <w:tblCellMar>
            <w:top w:w="0" w:type="dxa"/>
            <w:left w:w="108" w:type="dxa"/>
            <w:bottom w:w="0" w:type="dxa"/>
            <w:right w:w="108" w:type="dxa"/>
          </w:tblCellMar>
        </w:tblPrEx>
        <w:trPr>
          <w:trHeight w:val="40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5761E">
            <w:pPr>
              <w:widowControl/>
              <w:spacing w:after="60"/>
              <w:jc w:val="center"/>
              <w:textAlignment w:val="center"/>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10</w:t>
            </w:r>
          </w:p>
        </w:tc>
        <w:tc>
          <w:tcPr>
            <w:tcW w:w="4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134DE">
            <w:pPr>
              <w:widowControl/>
              <w:spacing w:after="60"/>
              <w:jc w:val="left"/>
              <w:textAlignment w:val="center"/>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克重：</w:t>
            </w:r>
            <w:r>
              <w:rPr>
                <w:rFonts w:cs="Arial" w:asciiTheme="minorEastAsia" w:hAnsiTheme="minorEastAsia" w:eastAsiaTheme="minorEastAsia"/>
                <w:kern w:val="0"/>
                <w:szCs w:val="21"/>
                <w:lang w:bidi="ar"/>
              </w:rPr>
              <w:t>≥</w:t>
            </w:r>
            <w:r>
              <w:rPr>
                <w:rFonts w:hint="eastAsia" w:cs="宋体" w:asciiTheme="minorEastAsia" w:hAnsiTheme="minorEastAsia" w:eastAsiaTheme="minorEastAsia"/>
                <w:kern w:val="0"/>
                <w:szCs w:val="21"/>
                <w:lang w:bidi="ar"/>
              </w:rPr>
              <w:t>230g/㎡；</w:t>
            </w:r>
          </w:p>
        </w:tc>
        <w:tc>
          <w:tcPr>
            <w:tcW w:w="4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5E590">
            <w:pPr>
              <w:widowControl/>
              <w:spacing w:after="60"/>
              <w:jc w:val="left"/>
              <w:textAlignment w:val="center"/>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GB/T4669-2008</w:t>
            </w:r>
          </w:p>
        </w:tc>
      </w:tr>
      <w:tr w14:paraId="13B52CD8">
        <w:tblPrEx>
          <w:tblCellMar>
            <w:top w:w="0" w:type="dxa"/>
            <w:left w:w="108" w:type="dxa"/>
            <w:bottom w:w="0" w:type="dxa"/>
            <w:right w:w="108" w:type="dxa"/>
          </w:tblCellMar>
        </w:tblPrEx>
        <w:trPr>
          <w:trHeight w:val="375"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A203A">
            <w:pPr>
              <w:widowControl/>
              <w:spacing w:after="60"/>
              <w:jc w:val="center"/>
              <w:textAlignment w:val="center"/>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11</w:t>
            </w:r>
          </w:p>
        </w:tc>
        <w:tc>
          <w:tcPr>
            <w:tcW w:w="4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301C6">
            <w:pPr>
              <w:widowControl/>
              <w:spacing w:after="60"/>
              <w:jc w:val="left"/>
              <w:textAlignment w:val="center"/>
              <w:rPr>
                <w:rFonts w:hint="eastAsia" w:cs="宋体" w:asciiTheme="minorEastAsia" w:hAnsiTheme="minorEastAsia" w:eastAsiaTheme="minorEastAsia"/>
                <w:szCs w:val="21"/>
              </w:rPr>
            </w:pPr>
            <w:r>
              <w:rPr>
                <w:rFonts w:hint="eastAsia" w:cs="宋体" w:asciiTheme="minorEastAsia" w:hAnsiTheme="minorEastAsia" w:eastAsiaTheme="minorEastAsia"/>
                <w:b/>
                <w:bCs/>
                <w:color w:val="FF0000"/>
                <w:kern w:val="0"/>
                <w:szCs w:val="21"/>
                <w:highlight w:val="yellow"/>
                <w:lang w:bidi="ar"/>
              </w:rPr>
              <w:t>邻</w:t>
            </w:r>
            <w:r>
              <w:rPr>
                <w:rFonts w:hint="eastAsia" w:cs="宋体" w:asciiTheme="minorEastAsia" w:hAnsiTheme="minorEastAsia" w:eastAsiaTheme="minorEastAsia"/>
                <w:kern w:val="0"/>
                <w:szCs w:val="21"/>
                <w:lang w:bidi="ar"/>
              </w:rPr>
              <w:t>苯二甲酸酯：未检出；</w:t>
            </w:r>
          </w:p>
        </w:tc>
        <w:tc>
          <w:tcPr>
            <w:tcW w:w="4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7E551">
            <w:pPr>
              <w:widowControl/>
              <w:spacing w:after="60"/>
              <w:jc w:val="left"/>
              <w:textAlignment w:val="center"/>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GB/T20388-2016</w:t>
            </w:r>
          </w:p>
        </w:tc>
      </w:tr>
      <w:tr w14:paraId="696C7433">
        <w:tblPrEx>
          <w:tblCellMar>
            <w:top w:w="0" w:type="dxa"/>
            <w:left w:w="108" w:type="dxa"/>
            <w:bottom w:w="0" w:type="dxa"/>
            <w:right w:w="108" w:type="dxa"/>
          </w:tblCellMar>
        </w:tblPrEx>
        <w:trPr>
          <w:trHeight w:val="40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61AD5">
            <w:pPr>
              <w:widowControl/>
              <w:spacing w:after="60"/>
              <w:jc w:val="center"/>
              <w:textAlignment w:val="center"/>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12</w:t>
            </w:r>
          </w:p>
        </w:tc>
        <w:tc>
          <w:tcPr>
            <w:tcW w:w="4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03858">
            <w:pPr>
              <w:widowControl/>
              <w:spacing w:after="60"/>
              <w:jc w:val="left"/>
              <w:textAlignment w:val="center"/>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致敏染料：未检出；</w:t>
            </w:r>
          </w:p>
        </w:tc>
        <w:tc>
          <w:tcPr>
            <w:tcW w:w="4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E4F13">
            <w:pPr>
              <w:widowControl/>
              <w:spacing w:after="60"/>
              <w:jc w:val="left"/>
              <w:textAlignment w:val="center"/>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GB/T20383-2006</w:t>
            </w:r>
          </w:p>
        </w:tc>
      </w:tr>
      <w:tr w14:paraId="00837EE3">
        <w:tblPrEx>
          <w:tblCellMar>
            <w:top w:w="0" w:type="dxa"/>
            <w:left w:w="108" w:type="dxa"/>
            <w:bottom w:w="0" w:type="dxa"/>
            <w:right w:w="108" w:type="dxa"/>
          </w:tblCellMar>
        </w:tblPrEx>
        <w:trPr>
          <w:trHeight w:val="1255"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2C2BD">
            <w:pPr>
              <w:widowControl/>
              <w:spacing w:after="60"/>
              <w:jc w:val="center"/>
              <w:textAlignment w:val="center"/>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13▲</w:t>
            </w:r>
          </w:p>
        </w:tc>
        <w:tc>
          <w:tcPr>
            <w:tcW w:w="4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589F3">
            <w:pPr>
              <w:widowControl/>
              <w:spacing w:after="60"/>
              <w:jc w:val="left"/>
              <w:textAlignment w:val="center"/>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可萃取重金属含量：铬（六价）：未检出；铜：＜0.3mg/kg；镍：未检出；锑：＜0.6mg/kg；砷：未检出；铅：未检出；镉：未检出；汞：未检出；钴：未检出；铬：未检出。</w:t>
            </w:r>
          </w:p>
        </w:tc>
        <w:tc>
          <w:tcPr>
            <w:tcW w:w="4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A1F72">
            <w:pPr>
              <w:widowControl/>
              <w:spacing w:after="60"/>
              <w:jc w:val="left"/>
              <w:textAlignment w:val="center"/>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GB/T17593.2-2007,</w:t>
            </w:r>
          </w:p>
          <w:p w14:paraId="34C53A7F">
            <w:pPr>
              <w:widowControl/>
              <w:spacing w:after="60"/>
              <w:jc w:val="left"/>
              <w:textAlignment w:val="center"/>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GB/T17593.3-2006,</w:t>
            </w:r>
          </w:p>
          <w:p w14:paraId="0D61EB10">
            <w:pPr>
              <w:widowControl/>
              <w:spacing w:after="60"/>
              <w:jc w:val="left"/>
              <w:textAlignment w:val="center"/>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GB/T17593.4-2006.</w:t>
            </w:r>
          </w:p>
        </w:tc>
      </w:tr>
      <w:tr w14:paraId="58511DCC">
        <w:tblPrEx>
          <w:tblCellMar>
            <w:top w:w="0" w:type="dxa"/>
            <w:left w:w="108" w:type="dxa"/>
            <w:bottom w:w="0" w:type="dxa"/>
            <w:right w:w="108" w:type="dxa"/>
          </w:tblCellMar>
        </w:tblPrEx>
        <w:trPr>
          <w:trHeight w:val="40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7752C">
            <w:pPr>
              <w:widowControl/>
              <w:spacing w:after="60"/>
              <w:jc w:val="center"/>
              <w:textAlignment w:val="center"/>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14</w:t>
            </w:r>
          </w:p>
        </w:tc>
        <w:tc>
          <w:tcPr>
            <w:tcW w:w="4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7075A">
            <w:pPr>
              <w:widowControl/>
              <w:spacing w:after="60"/>
              <w:jc w:val="left"/>
              <w:textAlignment w:val="center"/>
              <w:rPr>
                <w:rFonts w:hint="eastAsia" w:cs="宋体" w:asciiTheme="minorEastAsia" w:hAnsiTheme="minorEastAsia" w:eastAsiaTheme="minorEastAsia"/>
                <w:szCs w:val="21"/>
              </w:rPr>
            </w:pPr>
            <w:r>
              <w:rPr>
                <w:rFonts w:hint="eastAsia" w:cs="宋体" w:asciiTheme="minorEastAsia" w:hAnsiTheme="minorEastAsia" w:eastAsiaTheme="minorEastAsia"/>
                <w:b/>
                <w:bCs/>
                <w:color w:val="FF0000"/>
                <w:kern w:val="0"/>
                <w:szCs w:val="21"/>
                <w:highlight w:val="yellow"/>
                <w:lang w:bidi="ar"/>
              </w:rPr>
              <w:t>邻</w:t>
            </w:r>
            <w:r>
              <w:rPr>
                <w:rFonts w:hint="eastAsia" w:cs="宋体" w:asciiTheme="minorEastAsia" w:hAnsiTheme="minorEastAsia" w:eastAsiaTheme="minorEastAsia"/>
                <w:kern w:val="0"/>
                <w:szCs w:val="21"/>
                <w:lang w:bidi="ar"/>
              </w:rPr>
              <w:t>苯基苯酚：未检出；</w:t>
            </w:r>
          </w:p>
        </w:tc>
        <w:tc>
          <w:tcPr>
            <w:tcW w:w="4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2025A">
            <w:pPr>
              <w:widowControl/>
              <w:spacing w:after="60"/>
              <w:jc w:val="left"/>
              <w:textAlignment w:val="center"/>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GB/T20386-2006</w:t>
            </w:r>
          </w:p>
        </w:tc>
      </w:tr>
      <w:tr w14:paraId="1AFED5DC">
        <w:tblPrEx>
          <w:tblCellMar>
            <w:top w:w="0" w:type="dxa"/>
            <w:left w:w="108" w:type="dxa"/>
            <w:bottom w:w="0" w:type="dxa"/>
            <w:right w:w="108" w:type="dxa"/>
          </w:tblCellMar>
        </w:tblPrEx>
        <w:trPr>
          <w:trHeight w:val="40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0F28D">
            <w:pPr>
              <w:widowControl/>
              <w:spacing w:after="60"/>
              <w:jc w:val="center"/>
              <w:textAlignment w:val="center"/>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15</w:t>
            </w:r>
          </w:p>
        </w:tc>
        <w:tc>
          <w:tcPr>
            <w:tcW w:w="4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5E416">
            <w:pPr>
              <w:widowControl/>
              <w:spacing w:after="60"/>
              <w:jc w:val="left"/>
              <w:textAlignment w:val="center"/>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氯化苯和氯化甲苯总量：未检出；</w:t>
            </w:r>
          </w:p>
        </w:tc>
        <w:tc>
          <w:tcPr>
            <w:tcW w:w="4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C0A2B">
            <w:pPr>
              <w:widowControl/>
              <w:spacing w:after="60"/>
              <w:jc w:val="left"/>
              <w:textAlignment w:val="center"/>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GB/T20384-2006</w:t>
            </w:r>
          </w:p>
        </w:tc>
      </w:tr>
      <w:tr w14:paraId="0DD5A4CE">
        <w:tblPrEx>
          <w:tblCellMar>
            <w:top w:w="0" w:type="dxa"/>
            <w:left w:w="108" w:type="dxa"/>
            <w:bottom w:w="0" w:type="dxa"/>
            <w:right w:w="108" w:type="dxa"/>
          </w:tblCellMar>
        </w:tblPrEx>
        <w:trPr>
          <w:trHeight w:val="40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F2247">
            <w:pPr>
              <w:widowControl/>
              <w:spacing w:after="60"/>
              <w:jc w:val="center"/>
              <w:textAlignment w:val="center"/>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16</w:t>
            </w:r>
          </w:p>
        </w:tc>
        <w:tc>
          <w:tcPr>
            <w:tcW w:w="4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2D0F8">
            <w:pPr>
              <w:widowControl/>
              <w:spacing w:after="60"/>
              <w:jc w:val="left"/>
              <w:textAlignment w:val="center"/>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四氯苯酚：未检出；</w:t>
            </w:r>
          </w:p>
        </w:tc>
        <w:tc>
          <w:tcPr>
            <w:tcW w:w="4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75F09">
            <w:pPr>
              <w:widowControl/>
              <w:spacing w:after="60"/>
              <w:jc w:val="left"/>
              <w:textAlignment w:val="center"/>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GB/T18414-2006</w:t>
            </w:r>
          </w:p>
        </w:tc>
      </w:tr>
      <w:tr w14:paraId="5E70E951">
        <w:tblPrEx>
          <w:tblCellMar>
            <w:top w:w="0" w:type="dxa"/>
            <w:left w:w="108" w:type="dxa"/>
            <w:bottom w:w="0" w:type="dxa"/>
            <w:right w:w="108" w:type="dxa"/>
          </w:tblCellMar>
        </w:tblPrEx>
        <w:trPr>
          <w:trHeight w:val="40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01FB8">
            <w:pPr>
              <w:widowControl/>
              <w:spacing w:after="60"/>
              <w:jc w:val="center"/>
              <w:textAlignment w:val="center"/>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17</w:t>
            </w:r>
          </w:p>
        </w:tc>
        <w:tc>
          <w:tcPr>
            <w:tcW w:w="4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DA81D">
            <w:pPr>
              <w:widowControl/>
              <w:spacing w:after="60"/>
              <w:jc w:val="left"/>
              <w:textAlignment w:val="center"/>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五氯苯酚：未检出；</w:t>
            </w:r>
          </w:p>
        </w:tc>
        <w:tc>
          <w:tcPr>
            <w:tcW w:w="4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74B50">
            <w:pPr>
              <w:widowControl/>
              <w:spacing w:after="60"/>
              <w:jc w:val="left"/>
              <w:textAlignment w:val="center"/>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GB/T18414-2006</w:t>
            </w:r>
          </w:p>
        </w:tc>
      </w:tr>
      <w:tr w14:paraId="1317DA03">
        <w:tblPrEx>
          <w:tblCellMar>
            <w:top w:w="0" w:type="dxa"/>
            <w:left w:w="108" w:type="dxa"/>
            <w:bottom w:w="0" w:type="dxa"/>
            <w:right w:w="108" w:type="dxa"/>
          </w:tblCellMar>
        </w:tblPrEx>
        <w:trPr>
          <w:trHeight w:val="40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3BD8B">
            <w:pPr>
              <w:widowControl/>
              <w:spacing w:after="60"/>
              <w:jc w:val="center"/>
              <w:textAlignment w:val="center"/>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18</w:t>
            </w:r>
          </w:p>
        </w:tc>
        <w:tc>
          <w:tcPr>
            <w:tcW w:w="4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B38C5">
            <w:pPr>
              <w:widowControl/>
              <w:spacing w:after="60"/>
              <w:jc w:val="left"/>
              <w:textAlignment w:val="center"/>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总铅含量：未检出；</w:t>
            </w:r>
          </w:p>
        </w:tc>
        <w:tc>
          <w:tcPr>
            <w:tcW w:w="4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D84AE">
            <w:pPr>
              <w:widowControl/>
              <w:spacing w:after="60"/>
              <w:jc w:val="left"/>
              <w:textAlignment w:val="center"/>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GB/T30157-2013</w:t>
            </w:r>
          </w:p>
        </w:tc>
      </w:tr>
      <w:tr w14:paraId="437030A0">
        <w:tblPrEx>
          <w:tblCellMar>
            <w:top w:w="0" w:type="dxa"/>
            <w:left w:w="108" w:type="dxa"/>
            <w:bottom w:w="0" w:type="dxa"/>
            <w:right w:w="108" w:type="dxa"/>
          </w:tblCellMar>
        </w:tblPrEx>
        <w:trPr>
          <w:trHeight w:val="40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34D8E">
            <w:pPr>
              <w:widowControl/>
              <w:spacing w:after="60"/>
              <w:jc w:val="center"/>
              <w:textAlignment w:val="center"/>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19</w:t>
            </w:r>
          </w:p>
        </w:tc>
        <w:tc>
          <w:tcPr>
            <w:tcW w:w="4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2F75C">
            <w:pPr>
              <w:widowControl/>
              <w:spacing w:after="60"/>
              <w:jc w:val="left"/>
              <w:textAlignment w:val="center"/>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总镉含量：未检出；</w:t>
            </w:r>
          </w:p>
        </w:tc>
        <w:tc>
          <w:tcPr>
            <w:tcW w:w="4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855CB">
            <w:pPr>
              <w:widowControl/>
              <w:spacing w:after="60"/>
              <w:jc w:val="left"/>
              <w:textAlignment w:val="center"/>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GB/T30157-2013</w:t>
            </w:r>
          </w:p>
        </w:tc>
      </w:tr>
      <w:tr w14:paraId="745AE49A">
        <w:tblPrEx>
          <w:tblCellMar>
            <w:top w:w="0" w:type="dxa"/>
            <w:left w:w="108" w:type="dxa"/>
            <w:bottom w:w="0" w:type="dxa"/>
            <w:right w:w="108" w:type="dxa"/>
          </w:tblCellMar>
        </w:tblPrEx>
        <w:trPr>
          <w:trHeight w:val="40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648D6">
            <w:pPr>
              <w:widowControl/>
              <w:spacing w:after="60"/>
              <w:jc w:val="center"/>
              <w:textAlignment w:val="center"/>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20</w:t>
            </w:r>
          </w:p>
        </w:tc>
        <w:tc>
          <w:tcPr>
            <w:tcW w:w="4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50400">
            <w:pPr>
              <w:widowControl/>
              <w:spacing w:after="60"/>
              <w:jc w:val="left"/>
              <w:textAlignment w:val="center"/>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致癌染料：未检出；</w:t>
            </w:r>
          </w:p>
        </w:tc>
        <w:tc>
          <w:tcPr>
            <w:tcW w:w="4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727B3">
            <w:pPr>
              <w:widowControl/>
              <w:spacing w:after="60"/>
              <w:jc w:val="left"/>
              <w:textAlignment w:val="center"/>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GB/T20382-2006</w:t>
            </w:r>
          </w:p>
        </w:tc>
      </w:tr>
      <w:tr w14:paraId="4CE7E1AB">
        <w:tblPrEx>
          <w:tblCellMar>
            <w:top w:w="0" w:type="dxa"/>
            <w:left w:w="108" w:type="dxa"/>
            <w:bottom w:w="0" w:type="dxa"/>
            <w:right w:w="108" w:type="dxa"/>
          </w:tblCellMar>
        </w:tblPrEx>
        <w:trPr>
          <w:trHeight w:val="40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0DB55">
            <w:pPr>
              <w:widowControl/>
              <w:spacing w:after="60"/>
              <w:jc w:val="center"/>
              <w:textAlignment w:val="center"/>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21</w:t>
            </w:r>
          </w:p>
        </w:tc>
        <w:tc>
          <w:tcPr>
            <w:tcW w:w="4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B4197">
            <w:pPr>
              <w:widowControl/>
              <w:spacing w:after="60"/>
              <w:jc w:val="left"/>
              <w:textAlignment w:val="center"/>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耐唾液色牢度：变色：4-5级；沾色：4-5级；</w:t>
            </w:r>
          </w:p>
        </w:tc>
        <w:tc>
          <w:tcPr>
            <w:tcW w:w="4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02569">
            <w:pPr>
              <w:widowControl/>
              <w:spacing w:after="60"/>
              <w:jc w:val="left"/>
              <w:textAlignment w:val="center"/>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GB/T18886-2019</w:t>
            </w:r>
          </w:p>
        </w:tc>
      </w:tr>
      <w:tr w14:paraId="5D31508B">
        <w:tblPrEx>
          <w:tblCellMar>
            <w:top w:w="0" w:type="dxa"/>
            <w:left w:w="108" w:type="dxa"/>
            <w:bottom w:w="0" w:type="dxa"/>
            <w:right w:w="108" w:type="dxa"/>
          </w:tblCellMar>
        </w:tblPrEx>
        <w:trPr>
          <w:trHeight w:val="40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9439F">
            <w:pPr>
              <w:widowControl/>
              <w:spacing w:after="60"/>
              <w:jc w:val="center"/>
              <w:textAlignment w:val="center"/>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22</w:t>
            </w:r>
          </w:p>
        </w:tc>
        <w:tc>
          <w:tcPr>
            <w:tcW w:w="4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4172F">
            <w:pPr>
              <w:widowControl/>
              <w:spacing w:after="60"/>
              <w:jc w:val="left"/>
              <w:textAlignment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耐热压色牢度：潮压变色：4-5级；潮压沾色：4-5级</w:t>
            </w:r>
          </w:p>
        </w:tc>
        <w:tc>
          <w:tcPr>
            <w:tcW w:w="4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A399F">
            <w:pPr>
              <w:widowControl/>
              <w:spacing w:after="60"/>
              <w:jc w:val="left"/>
              <w:textAlignment w:val="center"/>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GB/T6152-1997</w:t>
            </w:r>
          </w:p>
        </w:tc>
      </w:tr>
      <w:tr w14:paraId="6727047F">
        <w:tblPrEx>
          <w:tblCellMar>
            <w:top w:w="0" w:type="dxa"/>
            <w:left w:w="108" w:type="dxa"/>
            <w:bottom w:w="0" w:type="dxa"/>
            <w:right w:w="108" w:type="dxa"/>
          </w:tblCellMar>
        </w:tblPrEx>
        <w:trPr>
          <w:trHeight w:val="40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BBEC9">
            <w:pPr>
              <w:widowControl/>
              <w:spacing w:after="60"/>
              <w:jc w:val="center"/>
              <w:textAlignment w:val="center"/>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23▲</w:t>
            </w:r>
          </w:p>
        </w:tc>
        <w:tc>
          <w:tcPr>
            <w:tcW w:w="4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2FA24">
            <w:pPr>
              <w:widowControl/>
              <w:spacing w:after="60"/>
              <w:jc w:val="left"/>
              <w:textAlignment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电荷面密度（洗前）（μC/㎡）：＜0.3</w:t>
            </w:r>
          </w:p>
        </w:tc>
        <w:tc>
          <w:tcPr>
            <w:tcW w:w="4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2F7BE">
            <w:pPr>
              <w:widowControl/>
              <w:spacing w:after="60"/>
              <w:jc w:val="left"/>
              <w:textAlignment w:val="center"/>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GB/T1273.2-2021</w:t>
            </w:r>
          </w:p>
        </w:tc>
      </w:tr>
      <w:tr w14:paraId="33616213">
        <w:tblPrEx>
          <w:tblCellMar>
            <w:top w:w="0" w:type="dxa"/>
            <w:left w:w="108" w:type="dxa"/>
            <w:bottom w:w="0" w:type="dxa"/>
            <w:right w:w="108" w:type="dxa"/>
          </w:tblCellMar>
        </w:tblPrEx>
        <w:trPr>
          <w:trHeight w:val="40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4591F">
            <w:pPr>
              <w:widowControl/>
              <w:spacing w:after="60"/>
              <w:jc w:val="center"/>
              <w:textAlignment w:val="center"/>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24▲</w:t>
            </w:r>
          </w:p>
        </w:tc>
        <w:tc>
          <w:tcPr>
            <w:tcW w:w="4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BE40F">
            <w:pPr>
              <w:widowControl/>
              <w:spacing w:after="60"/>
              <w:jc w:val="left"/>
              <w:textAlignment w:val="center"/>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厚度：0.55±0.05mm；</w:t>
            </w:r>
          </w:p>
        </w:tc>
        <w:tc>
          <w:tcPr>
            <w:tcW w:w="4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8FF93">
            <w:pPr>
              <w:widowControl/>
              <w:spacing w:after="60"/>
              <w:jc w:val="left"/>
              <w:textAlignment w:val="center"/>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GB/T3820-1997</w:t>
            </w:r>
          </w:p>
        </w:tc>
      </w:tr>
      <w:tr w14:paraId="7766970D">
        <w:tblPrEx>
          <w:tblCellMar>
            <w:top w:w="0" w:type="dxa"/>
            <w:left w:w="108" w:type="dxa"/>
            <w:bottom w:w="0" w:type="dxa"/>
            <w:right w:w="108" w:type="dxa"/>
          </w:tblCellMar>
        </w:tblPrEx>
        <w:trPr>
          <w:trHeight w:val="40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C4B2B">
            <w:pPr>
              <w:widowControl/>
              <w:spacing w:after="60"/>
              <w:jc w:val="center"/>
              <w:textAlignment w:val="center"/>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25</w:t>
            </w:r>
          </w:p>
        </w:tc>
        <w:tc>
          <w:tcPr>
            <w:tcW w:w="4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C896A">
            <w:pPr>
              <w:widowControl/>
              <w:spacing w:after="60"/>
              <w:jc w:val="left"/>
              <w:textAlignment w:val="center"/>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透气率55（±5）mm/s；</w:t>
            </w:r>
          </w:p>
        </w:tc>
        <w:tc>
          <w:tcPr>
            <w:tcW w:w="4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0645A">
            <w:pPr>
              <w:widowControl/>
              <w:spacing w:after="60"/>
              <w:jc w:val="left"/>
              <w:textAlignment w:val="center"/>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GB/T5453-1997</w:t>
            </w:r>
          </w:p>
        </w:tc>
      </w:tr>
      <w:tr w14:paraId="7894BF63">
        <w:tblPrEx>
          <w:tblCellMar>
            <w:top w:w="0" w:type="dxa"/>
            <w:left w:w="108" w:type="dxa"/>
            <w:bottom w:w="0" w:type="dxa"/>
            <w:right w:w="108" w:type="dxa"/>
          </w:tblCellMar>
        </w:tblPrEx>
        <w:trPr>
          <w:trHeight w:val="40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DBD11">
            <w:pPr>
              <w:widowControl/>
              <w:spacing w:after="60"/>
              <w:jc w:val="center"/>
              <w:textAlignment w:val="center"/>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26▲</w:t>
            </w:r>
          </w:p>
        </w:tc>
        <w:tc>
          <w:tcPr>
            <w:tcW w:w="4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B0C04">
            <w:pPr>
              <w:widowControl/>
              <w:spacing w:after="60"/>
              <w:jc w:val="left"/>
              <w:textAlignment w:val="center"/>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耐磨性能：＞10000次；</w:t>
            </w:r>
          </w:p>
        </w:tc>
        <w:tc>
          <w:tcPr>
            <w:tcW w:w="4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8E34D">
            <w:pPr>
              <w:widowControl/>
              <w:spacing w:after="60"/>
              <w:jc w:val="left"/>
              <w:textAlignment w:val="center"/>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GB/T21196.2-2007</w:t>
            </w:r>
          </w:p>
        </w:tc>
      </w:tr>
      <w:tr w14:paraId="6AAAFFA7">
        <w:tblPrEx>
          <w:tblCellMar>
            <w:top w:w="0" w:type="dxa"/>
            <w:left w:w="108" w:type="dxa"/>
            <w:bottom w:w="0" w:type="dxa"/>
            <w:right w:w="108" w:type="dxa"/>
          </w:tblCellMar>
        </w:tblPrEx>
        <w:trPr>
          <w:trHeight w:val="40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F1E91">
            <w:pPr>
              <w:widowControl/>
              <w:spacing w:after="60"/>
              <w:jc w:val="center"/>
              <w:textAlignment w:val="center"/>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27</w:t>
            </w:r>
          </w:p>
        </w:tc>
        <w:tc>
          <w:tcPr>
            <w:tcW w:w="4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49D49">
            <w:pPr>
              <w:widowControl/>
              <w:spacing w:after="60"/>
              <w:jc w:val="left"/>
              <w:textAlignment w:val="center"/>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酚黄变：变色：4-5级</w:t>
            </w:r>
          </w:p>
        </w:tc>
        <w:tc>
          <w:tcPr>
            <w:tcW w:w="4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2AFB1">
            <w:pPr>
              <w:widowControl/>
              <w:spacing w:after="60"/>
              <w:jc w:val="left"/>
              <w:textAlignment w:val="center"/>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GB/T29778-2013</w:t>
            </w:r>
          </w:p>
        </w:tc>
      </w:tr>
      <w:tr w14:paraId="484F608E">
        <w:tblPrEx>
          <w:tblCellMar>
            <w:top w:w="0" w:type="dxa"/>
            <w:left w:w="108" w:type="dxa"/>
            <w:bottom w:w="0" w:type="dxa"/>
            <w:right w:w="108" w:type="dxa"/>
          </w:tblCellMar>
        </w:tblPrEx>
        <w:trPr>
          <w:trHeight w:val="40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E8827">
            <w:pPr>
              <w:widowControl/>
              <w:spacing w:after="60"/>
              <w:jc w:val="center"/>
              <w:textAlignment w:val="center"/>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28</w:t>
            </w:r>
          </w:p>
        </w:tc>
        <w:tc>
          <w:tcPr>
            <w:tcW w:w="4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A1BE1">
            <w:pPr>
              <w:widowControl/>
              <w:spacing w:after="60"/>
              <w:jc w:val="left"/>
              <w:textAlignment w:val="center"/>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水洗尺寸变化率：经向：-1.0~+1.0；</w:t>
            </w:r>
          </w:p>
          <w:p w14:paraId="36EC6D2B">
            <w:pPr>
              <w:widowControl/>
              <w:spacing w:after="60"/>
              <w:jc w:val="left"/>
              <w:textAlignment w:val="center"/>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纬向：-1.0~+1.0；</w:t>
            </w:r>
          </w:p>
        </w:tc>
        <w:tc>
          <w:tcPr>
            <w:tcW w:w="4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4C9B6">
            <w:pPr>
              <w:widowControl/>
              <w:spacing w:after="60"/>
              <w:jc w:val="left"/>
              <w:textAlignment w:val="center"/>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GB/T8628-2013,GB/T8629-2017,</w:t>
            </w:r>
          </w:p>
          <w:p w14:paraId="495B22B5">
            <w:pPr>
              <w:widowControl/>
              <w:spacing w:after="60"/>
              <w:jc w:val="left"/>
              <w:textAlignment w:val="center"/>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GB/T8630-2013</w:t>
            </w:r>
          </w:p>
        </w:tc>
      </w:tr>
      <w:tr w14:paraId="669B2F89">
        <w:tblPrEx>
          <w:tblCellMar>
            <w:top w:w="0" w:type="dxa"/>
            <w:left w:w="108" w:type="dxa"/>
            <w:bottom w:w="0" w:type="dxa"/>
            <w:right w:w="108" w:type="dxa"/>
          </w:tblCellMar>
        </w:tblPrEx>
        <w:trPr>
          <w:trHeight w:val="40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80985">
            <w:pPr>
              <w:widowControl/>
              <w:spacing w:after="60"/>
              <w:jc w:val="center"/>
              <w:textAlignment w:val="center"/>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29</w:t>
            </w:r>
          </w:p>
        </w:tc>
        <w:tc>
          <w:tcPr>
            <w:tcW w:w="4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1F64E">
            <w:pPr>
              <w:widowControl/>
              <w:spacing w:after="60"/>
              <w:jc w:val="left"/>
              <w:textAlignment w:val="center"/>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干洗尺寸变化率：经向：-1.0~+1.0；</w:t>
            </w:r>
          </w:p>
          <w:p w14:paraId="79E2D0A5">
            <w:pPr>
              <w:widowControl/>
              <w:spacing w:after="60"/>
              <w:jc w:val="left"/>
              <w:textAlignment w:val="center"/>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纬向：-1.0~+1.0；</w:t>
            </w:r>
          </w:p>
        </w:tc>
        <w:tc>
          <w:tcPr>
            <w:tcW w:w="4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B40A2">
            <w:pPr>
              <w:widowControl/>
              <w:spacing w:after="60"/>
              <w:jc w:val="left"/>
              <w:textAlignment w:val="center"/>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FZ/T80007.3-2006</w:t>
            </w:r>
          </w:p>
        </w:tc>
      </w:tr>
      <w:tr w14:paraId="738D9423">
        <w:tblPrEx>
          <w:tblCellMar>
            <w:top w:w="0" w:type="dxa"/>
            <w:left w:w="108" w:type="dxa"/>
            <w:bottom w:w="0" w:type="dxa"/>
            <w:right w:w="108" w:type="dxa"/>
          </w:tblCellMar>
        </w:tblPrEx>
        <w:trPr>
          <w:trHeight w:val="82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B8CCF">
            <w:pPr>
              <w:widowControl/>
              <w:spacing w:after="60"/>
              <w:jc w:val="center"/>
              <w:textAlignment w:val="center"/>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30</w:t>
            </w:r>
          </w:p>
        </w:tc>
        <w:tc>
          <w:tcPr>
            <w:tcW w:w="4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5CC93">
            <w:pPr>
              <w:widowControl/>
              <w:spacing w:after="60"/>
              <w:jc w:val="left"/>
              <w:textAlignment w:val="center"/>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耐皂洗色牢度：变色：4-5级；沾色：4-5级；</w:t>
            </w:r>
          </w:p>
        </w:tc>
        <w:tc>
          <w:tcPr>
            <w:tcW w:w="4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5E20B">
            <w:pPr>
              <w:widowControl/>
              <w:spacing w:after="60"/>
              <w:jc w:val="left"/>
              <w:textAlignment w:val="center"/>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GB/T3921-2008</w:t>
            </w:r>
          </w:p>
        </w:tc>
      </w:tr>
      <w:tr w14:paraId="0A60E426">
        <w:tblPrEx>
          <w:tblCellMar>
            <w:top w:w="0" w:type="dxa"/>
            <w:left w:w="108" w:type="dxa"/>
            <w:bottom w:w="0" w:type="dxa"/>
            <w:right w:w="108" w:type="dxa"/>
          </w:tblCellMar>
        </w:tblPrEx>
        <w:trPr>
          <w:trHeight w:val="82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9023F">
            <w:pPr>
              <w:widowControl/>
              <w:spacing w:after="60"/>
              <w:jc w:val="center"/>
              <w:textAlignment w:val="center"/>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31</w:t>
            </w:r>
          </w:p>
        </w:tc>
        <w:tc>
          <w:tcPr>
            <w:tcW w:w="4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7E45B">
            <w:pPr>
              <w:widowControl/>
              <w:spacing w:after="60"/>
              <w:jc w:val="left"/>
              <w:textAlignment w:val="center"/>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耐湿摩擦色牢度：沾色：4-5级；</w:t>
            </w:r>
          </w:p>
        </w:tc>
        <w:tc>
          <w:tcPr>
            <w:tcW w:w="4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05D1D">
            <w:pPr>
              <w:widowControl/>
              <w:spacing w:after="60"/>
              <w:jc w:val="left"/>
              <w:textAlignment w:val="center"/>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GB/T3920-2008</w:t>
            </w:r>
          </w:p>
        </w:tc>
      </w:tr>
      <w:tr w14:paraId="33E05BD6">
        <w:tblPrEx>
          <w:tblCellMar>
            <w:top w:w="0" w:type="dxa"/>
            <w:left w:w="108" w:type="dxa"/>
            <w:bottom w:w="0" w:type="dxa"/>
            <w:right w:w="108" w:type="dxa"/>
          </w:tblCellMar>
        </w:tblPrEx>
        <w:trPr>
          <w:trHeight w:val="40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D4BA3">
            <w:pPr>
              <w:widowControl/>
              <w:spacing w:after="60"/>
              <w:jc w:val="center"/>
              <w:textAlignment w:val="center"/>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32</w:t>
            </w:r>
          </w:p>
        </w:tc>
        <w:tc>
          <w:tcPr>
            <w:tcW w:w="4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B9124">
            <w:pPr>
              <w:widowControl/>
              <w:spacing w:after="60"/>
              <w:jc w:val="left"/>
              <w:textAlignment w:val="center"/>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耐光色牢度：变色（深色）4级；</w:t>
            </w:r>
          </w:p>
        </w:tc>
        <w:tc>
          <w:tcPr>
            <w:tcW w:w="4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C059F">
            <w:pPr>
              <w:widowControl/>
              <w:spacing w:after="60"/>
              <w:jc w:val="left"/>
              <w:textAlignment w:val="center"/>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GB/T8427-2019方法3</w:t>
            </w:r>
          </w:p>
        </w:tc>
      </w:tr>
      <w:tr w14:paraId="0F14B039">
        <w:tblPrEx>
          <w:tblCellMar>
            <w:top w:w="0" w:type="dxa"/>
            <w:left w:w="108" w:type="dxa"/>
            <w:bottom w:w="0" w:type="dxa"/>
            <w:right w:w="108" w:type="dxa"/>
          </w:tblCellMar>
        </w:tblPrEx>
        <w:trPr>
          <w:trHeight w:val="40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FE7A0">
            <w:pPr>
              <w:widowControl/>
              <w:spacing w:after="60"/>
              <w:jc w:val="center"/>
              <w:textAlignment w:val="center"/>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33</w:t>
            </w:r>
          </w:p>
        </w:tc>
        <w:tc>
          <w:tcPr>
            <w:tcW w:w="4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5C6E8">
            <w:pPr>
              <w:widowControl/>
              <w:spacing w:after="60"/>
              <w:jc w:val="left"/>
              <w:textAlignment w:val="center"/>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耐酸斑色牢度：变色：4-5级；</w:t>
            </w:r>
          </w:p>
        </w:tc>
        <w:tc>
          <w:tcPr>
            <w:tcW w:w="4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C8DB1">
            <w:pPr>
              <w:widowControl/>
              <w:spacing w:after="60"/>
              <w:jc w:val="left"/>
              <w:textAlignment w:val="center"/>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GB/T5715-2013</w:t>
            </w:r>
          </w:p>
        </w:tc>
      </w:tr>
      <w:tr w14:paraId="49C5EEBD">
        <w:tblPrEx>
          <w:tblCellMar>
            <w:top w:w="0" w:type="dxa"/>
            <w:left w:w="108" w:type="dxa"/>
            <w:bottom w:w="0" w:type="dxa"/>
            <w:right w:w="108" w:type="dxa"/>
          </w:tblCellMar>
        </w:tblPrEx>
        <w:trPr>
          <w:trHeight w:val="40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923EB">
            <w:pPr>
              <w:widowControl/>
              <w:spacing w:after="60"/>
              <w:jc w:val="center"/>
              <w:textAlignment w:val="center"/>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34</w:t>
            </w:r>
          </w:p>
        </w:tc>
        <w:tc>
          <w:tcPr>
            <w:tcW w:w="4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3C478">
            <w:pPr>
              <w:widowControl/>
              <w:spacing w:after="60"/>
              <w:jc w:val="left"/>
              <w:textAlignment w:val="center"/>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顶破强力≥2500N；</w:t>
            </w:r>
          </w:p>
        </w:tc>
        <w:tc>
          <w:tcPr>
            <w:tcW w:w="4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4D7C2">
            <w:pPr>
              <w:widowControl/>
              <w:spacing w:after="60"/>
              <w:jc w:val="left"/>
              <w:textAlignment w:val="center"/>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GB/T19976-2005</w:t>
            </w:r>
          </w:p>
        </w:tc>
      </w:tr>
      <w:tr w14:paraId="5E187DAE">
        <w:tblPrEx>
          <w:tblCellMar>
            <w:top w:w="0" w:type="dxa"/>
            <w:left w:w="108" w:type="dxa"/>
            <w:bottom w:w="0" w:type="dxa"/>
            <w:right w:w="108" w:type="dxa"/>
          </w:tblCellMar>
        </w:tblPrEx>
        <w:trPr>
          <w:trHeight w:val="40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4AA84">
            <w:pPr>
              <w:widowControl/>
              <w:spacing w:after="60"/>
              <w:jc w:val="center"/>
              <w:textAlignment w:val="center"/>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35▲</w:t>
            </w:r>
          </w:p>
        </w:tc>
        <w:tc>
          <w:tcPr>
            <w:tcW w:w="4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E6C56">
            <w:pPr>
              <w:widowControl/>
              <w:spacing w:after="60"/>
              <w:jc w:val="left"/>
              <w:textAlignment w:val="center"/>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密度（根/10cm）：</w:t>
            </w:r>
          </w:p>
          <w:p w14:paraId="16BEE5AD">
            <w:pPr>
              <w:widowControl/>
              <w:spacing w:after="60"/>
              <w:jc w:val="left"/>
              <w:textAlignment w:val="center"/>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经向：1480±5；纬向：660±5；</w:t>
            </w:r>
          </w:p>
        </w:tc>
        <w:tc>
          <w:tcPr>
            <w:tcW w:w="4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DEDCC">
            <w:pPr>
              <w:widowControl/>
              <w:spacing w:after="60"/>
              <w:jc w:val="left"/>
              <w:textAlignment w:val="center"/>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GB/T4668-1995</w:t>
            </w:r>
          </w:p>
        </w:tc>
      </w:tr>
      <w:tr w14:paraId="1D1F03EB">
        <w:tblPrEx>
          <w:tblCellMar>
            <w:top w:w="0" w:type="dxa"/>
            <w:left w:w="108" w:type="dxa"/>
            <w:bottom w:w="0" w:type="dxa"/>
            <w:right w:w="108" w:type="dxa"/>
          </w:tblCellMar>
        </w:tblPrEx>
        <w:trPr>
          <w:trHeight w:val="40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A5C7E">
            <w:pPr>
              <w:widowControl/>
              <w:spacing w:after="60"/>
              <w:jc w:val="center"/>
              <w:textAlignment w:val="center"/>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36▲</w:t>
            </w:r>
          </w:p>
        </w:tc>
        <w:tc>
          <w:tcPr>
            <w:tcW w:w="4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B3745">
            <w:pPr>
              <w:widowControl/>
              <w:spacing w:after="60"/>
              <w:jc w:val="left"/>
              <w:textAlignment w:val="center"/>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线密度（tex）：</w:t>
            </w:r>
          </w:p>
          <w:p w14:paraId="0CE448AE">
            <w:pPr>
              <w:widowControl/>
              <w:spacing w:after="60"/>
              <w:jc w:val="left"/>
              <w:textAlignment w:val="center"/>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经纱：R9(±2）；纬纱：R17.1（±2）；</w:t>
            </w:r>
          </w:p>
        </w:tc>
        <w:tc>
          <w:tcPr>
            <w:tcW w:w="4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5035E">
            <w:pPr>
              <w:widowControl/>
              <w:spacing w:after="60"/>
              <w:jc w:val="left"/>
              <w:textAlignment w:val="center"/>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GB/T29256.5-2012 A法</w:t>
            </w:r>
          </w:p>
        </w:tc>
      </w:tr>
      <w:tr w14:paraId="68D6501E">
        <w:tblPrEx>
          <w:tblCellMar>
            <w:top w:w="0" w:type="dxa"/>
            <w:left w:w="108" w:type="dxa"/>
            <w:bottom w:w="0" w:type="dxa"/>
            <w:right w:w="108" w:type="dxa"/>
          </w:tblCellMar>
        </w:tblPrEx>
        <w:trPr>
          <w:trHeight w:val="40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60EE2">
            <w:pPr>
              <w:widowControl/>
              <w:spacing w:after="60"/>
              <w:jc w:val="center"/>
              <w:textAlignment w:val="center"/>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37</w:t>
            </w:r>
          </w:p>
        </w:tc>
        <w:tc>
          <w:tcPr>
            <w:tcW w:w="4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5DD01">
            <w:pPr>
              <w:widowControl/>
              <w:spacing w:after="60"/>
              <w:jc w:val="left"/>
              <w:textAlignment w:val="center"/>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洗涤干燥后外观平整度：≥4级；</w:t>
            </w:r>
          </w:p>
        </w:tc>
        <w:tc>
          <w:tcPr>
            <w:tcW w:w="4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C2E3B">
            <w:pPr>
              <w:widowControl/>
              <w:spacing w:after="60"/>
              <w:jc w:val="left"/>
              <w:textAlignment w:val="center"/>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GB/T13769-2009</w:t>
            </w:r>
          </w:p>
        </w:tc>
      </w:tr>
      <w:tr w14:paraId="1687DF4B">
        <w:tblPrEx>
          <w:tblCellMar>
            <w:top w:w="0" w:type="dxa"/>
            <w:left w:w="108" w:type="dxa"/>
            <w:bottom w:w="0" w:type="dxa"/>
            <w:right w:w="108" w:type="dxa"/>
          </w:tblCellMar>
        </w:tblPrEx>
        <w:trPr>
          <w:trHeight w:val="40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C8211">
            <w:pPr>
              <w:widowControl/>
              <w:spacing w:after="60"/>
              <w:jc w:val="center"/>
              <w:textAlignment w:val="center"/>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38</w:t>
            </w:r>
          </w:p>
        </w:tc>
        <w:tc>
          <w:tcPr>
            <w:tcW w:w="4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6809F">
            <w:pPr>
              <w:widowControl/>
              <w:spacing w:after="60"/>
              <w:jc w:val="left"/>
              <w:textAlignment w:val="center"/>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起毛起球：3-4级；</w:t>
            </w:r>
          </w:p>
        </w:tc>
        <w:tc>
          <w:tcPr>
            <w:tcW w:w="4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12150">
            <w:pPr>
              <w:widowControl/>
              <w:spacing w:after="60"/>
              <w:jc w:val="left"/>
              <w:textAlignment w:val="center"/>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GB/T4802.1-2008</w:t>
            </w:r>
          </w:p>
        </w:tc>
      </w:tr>
      <w:tr w14:paraId="335CFF3F">
        <w:tblPrEx>
          <w:tblCellMar>
            <w:top w:w="0" w:type="dxa"/>
            <w:left w:w="108" w:type="dxa"/>
            <w:bottom w:w="0" w:type="dxa"/>
            <w:right w:w="108" w:type="dxa"/>
          </w:tblCellMar>
        </w:tblPrEx>
        <w:trPr>
          <w:trHeight w:val="40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E02EE">
            <w:pPr>
              <w:widowControl/>
              <w:spacing w:after="60"/>
              <w:jc w:val="center"/>
              <w:textAlignment w:val="center"/>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39</w:t>
            </w:r>
          </w:p>
        </w:tc>
        <w:tc>
          <w:tcPr>
            <w:tcW w:w="4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357A0">
            <w:pPr>
              <w:widowControl/>
              <w:spacing w:after="60"/>
              <w:jc w:val="left"/>
              <w:textAlignment w:val="center"/>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遮光率≥99%；</w:t>
            </w:r>
          </w:p>
        </w:tc>
        <w:tc>
          <w:tcPr>
            <w:tcW w:w="4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57602">
            <w:pPr>
              <w:widowControl/>
              <w:spacing w:after="60"/>
              <w:jc w:val="left"/>
              <w:textAlignment w:val="center"/>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FZ/T62025-2015附录A</w:t>
            </w:r>
          </w:p>
        </w:tc>
      </w:tr>
      <w:tr w14:paraId="21AB177E">
        <w:tblPrEx>
          <w:tblCellMar>
            <w:top w:w="0" w:type="dxa"/>
            <w:left w:w="108" w:type="dxa"/>
            <w:bottom w:w="0" w:type="dxa"/>
            <w:right w:w="108" w:type="dxa"/>
          </w:tblCellMar>
        </w:tblPrEx>
        <w:trPr>
          <w:trHeight w:val="40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8E988">
            <w:pPr>
              <w:widowControl/>
              <w:spacing w:after="60"/>
              <w:jc w:val="center"/>
              <w:textAlignment w:val="center"/>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40</w:t>
            </w:r>
          </w:p>
        </w:tc>
        <w:tc>
          <w:tcPr>
            <w:tcW w:w="4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3D17B">
            <w:pPr>
              <w:widowControl/>
              <w:spacing w:after="60"/>
              <w:jc w:val="left"/>
              <w:textAlignment w:val="center"/>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防紫外线性能：</w:t>
            </w:r>
          </w:p>
          <w:p w14:paraId="27E85C0A">
            <w:pPr>
              <w:widowControl/>
              <w:spacing w:after="60"/>
              <w:jc w:val="left"/>
              <w:textAlignment w:val="center"/>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UPF平均值：≥2000；</w:t>
            </w:r>
          </w:p>
          <w:p w14:paraId="181FA4F5">
            <w:pPr>
              <w:widowControl/>
              <w:spacing w:after="60"/>
              <w:jc w:val="left"/>
              <w:textAlignment w:val="center"/>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UPF紫外线防护系数：＞50；</w:t>
            </w:r>
          </w:p>
          <w:p w14:paraId="1107FCC2">
            <w:pPr>
              <w:widowControl/>
              <w:spacing w:after="60"/>
              <w:jc w:val="left"/>
              <w:textAlignment w:val="center"/>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UVA平均透射比：≤0.05%；</w:t>
            </w:r>
          </w:p>
          <w:p w14:paraId="7A786954">
            <w:pPr>
              <w:widowControl/>
              <w:spacing w:after="60"/>
              <w:jc w:val="left"/>
              <w:textAlignment w:val="center"/>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UVB平均透射比：≤0.05%；</w:t>
            </w:r>
          </w:p>
        </w:tc>
        <w:tc>
          <w:tcPr>
            <w:tcW w:w="4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DA6F6">
            <w:pPr>
              <w:widowControl/>
              <w:spacing w:after="60"/>
              <w:jc w:val="left"/>
              <w:textAlignment w:val="center"/>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GB/T18830-2009</w:t>
            </w:r>
          </w:p>
        </w:tc>
      </w:tr>
      <w:tr w14:paraId="79C57834">
        <w:tblPrEx>
          <w:tblCellMar>
            <w:top w:w="0" w:type="dxa"/>
            <w:left w:w="108" w:type="dxa"/>
            <w:bottom w:w="0" w:type="dxa"/>
            <w:right w:w="108" w:type="dxa"/>
          </w:tblCellMar>
        </w:tblPrEx>
        <w:trPr>
          <w:trHeight w:val="49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0F472">
            <w:pPr>
              <w:widowControl/>
              <w:spacing w:after="60"/>
              <w:jc w:val="center"/>
              <w:textAlignment w:val="center"/>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41</w:t>
            </w:r>
          </w:p>
        </w:tc>
        <w:tc>
          <w:tcPr>
            <w:tcW w:w="4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E91AF">
            <w:pPr>
              <w:widowControl/>
              <w:spacing w:after="60"/>
              <w:jc w:val="left"/>
              <w:textAlignment w:val="center"/>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耐次氯酸盐漂白色牢度：变色：4-5级；</w:t>
            </w:r>
          </w:p>
        </w:tc>
        <w:tc>
          <w:tcPr>
            <w:tcW w:w="4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79900">
            <w:pPr>
              <w:widowControl/>
              <w:spacing w:after="60"/>
              <w:jc w:val="left"/>
              <w:textAlignment w:val="center"/>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GB/T7069-1997</w:t>
            </w:r>
          </w:p>
        </w:tc>
      </w:tr>
      <w:tr w14:paraId="134BE065">
        <w:tblPrEx>
          <w:tblCellMar>
            <w:top w:w="0" w:type="dxa"/>
            <w:left w:w="108" w:type="dxa"/>
            <w:bottom w:w="0" w:type="dxa"/>
            <w:right w:w="108" w:type="dxa"/>
          </w:tblCellMar>
        </w:tblPrEx>
        <w:trPr>
          <w:trHeight w:val="795"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14F9D">
            <w:pPr>
              <w:widowControl/>
              <w:spacing w:after="60"/>
              <w:jc w:val="center"/>
              <w:textAlignment w:val="center"/>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42▲</w:t>
            </w:r>
          </w:p>
        </w:tc>
        <w:tc>
          <w:tcPr>
            <w:tcW w:w="4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80316">
            <w:pPr>
              <w:widowControl/>
              <w:spacing w:after="60"/>
              <w:jc w:val="left"/>
              <w:textAlignment w:val="center"/>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负离子发生量：903（±5）个/cm³</w:t>
            </w:r>
          </w:p>
        </w:tc>
        <w:tc>
          <w:tcPr>
            <w:tcW w:w="4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B6705">
            <w:pPr>
              <w:widowControl/>
              <w:spacing w:after="60"/>
              <w:jc w:val="left"/>
              <w:textAlignment w:val="center"/>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GB/T30128-2013</w:t>
            </w:r>
          </w:p>
        </w:tc>
      </w:tr>
      <w:tr w14:paraId="7860BE45">
        <w:tblPrEx>
          <w:tblCellMar>
            <w:top w:w="0" w:type="dxa"/>
            <w:left w:w="108" w:type="dxa"/>
            <w:bottom w:w="0" w:type="dxa"/>
            <w:right w:w="108" w:type="dxa"/>
          </w:tblCellMar>
        </w:tblPrEx>
        <w:trPr>
          <w:trHeight w:val="40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C314C">
            <w:pPr>
              <w:widowControl/>
              <w:spacing w:after="60"/>
              <w:jc w:val="center"/>
              <w:textAlignment w:val="center"/>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43▲</w:t>
            </w:r>
          </w:p>
        </w:tc>
        <w:tc>
          <w:tcPr>
            <w:tcW w:w="4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C1533">
            <w:pPr>
              <w:widowControl/>
              <w:spacing w:after="60"/>
              <w:jc w:val="left"/>
              <w:textAlignment w:val="center"/>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抗菌性能：</w:t>
            </w:r>
          </w:p>
          <w:p w14:paraId="16362CEE">
            <w:pPr>
              <w:widowControl/>
              <w:spacing w:after="60"/>
              <w:jc w:val="left"/>
              <w:textAlignment w:val="center"/>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金黄色葡萄球菌（洗前）≥99%；</w:t>
            </w:r>
          </w:p>
          <w:p w14:paraId="3766736A">
            <w:pPr>
              <w:widowControl/>
              <w:spacing w:after="60"/>
              <w:jc w:val="left"/>
              <w:textAlignment w:val="center"/>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大肠杆菌（洗前）≥99%；</w:t>
            </w:r>
          </w:p>
          <w:p w14:paraId="706671E3">
            <w:pPr>
              <w:widowControl/>
              <w:spacing w:after="60"/>
              <w:jc w:val="left"/>
              <w:textAlignment w:val="center"/>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白色念珠菌（洗前）≥99%；</w:t>
            </w:r>
          </w:p>
          <w:p w14:paraId="252BFD24">
            <w:pPr>
              <w:widowControl/>
              <w:spacing w:after="60"/>
              <w:jc w:val="left"/>
              <w:textAlignment w:val="center"/>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肺炎克雷伯菌≥99%；</w:t>
            </w:r>
          </w:p>
          <w:p w14:paraId="239B024E">
            <w:pPr>
              <w:widowControl/>
              <w:spacing w:after="60"/>
              <w:jc w:val="left"/>
              <w:textAlignment w:val="center"/>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铜绿假单胞菌≥99%；</w:t>
            </w:r>
          </w:p>
        </w:tc>
        <w:tc>
          <w:tcPr>
            <w:tcW w:w="4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434F8">
            <w:pPr>
              <w:widowControl/>
              <w:spacing w:after="60"/>
              <w:jc w:val="left"/>
              <w:textAlignment w:val="center"/>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GB/T20944.3-2008</w:t>
            </w:r>
          </w:p>
        </w:tc>
      </w:tr>
      <w:tr w14:paraId="155781B2">
        <w:tblPrEx>
          <w:tblCellMar>
            <w:top w:w="0" w:type="dxa"/>
            <w:left w:w="108" w:type="dxa"/>
            <w:bottom w:w="0" w:type="dxa"/>
            <w:right w:w="108" w:type="dxa"/>
          </w:tblCellMar>
        </w:tblPrEx>
        <w:trPr>
          <w:trHeight w:val="40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05567">
            <w:pPr>
              <w:widowControl/>
              <w:spacing w:after="60"/>
              <w:jc w:val="center"/>
              <w:textAlignment w:val="center"/>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44▲</w:t>
            </w:r>
          </w:p>
        </w:tc>
        <w:tc>
          <w:tcPr>
            <w:tcW w:w="4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91F78">
            <w:pPr>
              <w:widowControl/>
              <w:spacing w:after="60"/>
              <w:jc w:val="left"/>
              <w:textAlignment w:val="center"/>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断裂强力：经向：≥1720N；纬向：≥1340N；</w:t>
            </w:r>
          </w:p>
          <w:p w14:paraId="19890A46">
            <w:pPr>
              <w:widowControl/>
              <w:spacing w:after="60"/>
              <w:jc w:val="left"/>
              <w:textAlignment w:val="center"/>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断裂延伸率：经向：≥41%；纬向：≥28%；</w:t>
            </w:r>
          </w:p>
        </w:tc>
        <w:tc>
          <w:tcPr>
            <w:tcW w:w="4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BE470">
            <w:pPr>
              <w:widowControl/>
              <w:spacing w:after="60"/>
              <w:jc w:val="left"/>
              <w:textAlignment w:val="center"/>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GB/T3923.1-2013</w:t>
            </w:r>
          </w:p>
        </w:tc>
      </w:tr>
      <w:tr w14:paraId="5569BDE4">
        <w:tblPrEx>
          <w:tblCellMar>
            <w:top w:w="0" w:type="dxa"/>
            <w:left w:w="108" w:type="dxa"/>
            <w:bottom w:w="0" w:type="dxa"/>
            <w:right w:w="108" w:type="dxa"/>
          </w:tblCellMar>
        </w:tblPrEx>
        <w:trPr>
          <w:trHeight w:val="40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73772">
            <w:pPr>
              <w:widowControl/>
              <w:spacing w:after="60"/>
              <w:jc w:val="center"/>
              <w:textAlignment w:val="center"/>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45▲</w:t>
            </w:r>
          </w:p>
        </w:tc>
        <w:tc>
          <w:tcPr>
            <w:tcW w:w="4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6E994">
            <w:pPr>
              <w:widowControl/>
              <w:spacing w:after="60"/>
              <w:jc w:val="left"/>
              <w:textAlignment w:val="center"/>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防霉等级：0级</w:t>
            </w:r>
          </w:p>
        </w:tc>
        <w:tc>
          <w:tcPr>
            <w:tcW w:w="4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BB274">
            <w:pPr>
              <w:widowControl/>
              <w:spacing w:after="60"/>
              <w:jc w:val="left"/>
              <w:textAlignment w:val="center"/>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GB/T24346-2009</w:t>
            </w:r>
          </w:p>
        </w:tc>
      </w:tr>
      <w:tr w14:paraId="6ED4B12E">
        <w:tblPrEx>
          <w:tblCellMar>
            <w:top w:w="0" w:type="dxa"/>
            <w:left w:w="108" w:type="dxa"/>
            <w:bottom w:w="0" w:type="dxa"/>
            <w:right w:w="108" w:type="dxa"/>
          </w:tblCellMar>
        </w:tblPrEx>
        <w:trPr>
          <w:trHeight w:val="150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6C50B">
            <w:pPr>
              <w:widowControl/>
              <w:spacing w:after="60"/>
              <w:jc w:val="center"/>
              <w:textAlignment w:val="center"/>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46▲</w:t>
            </w:r>
          </w:p>
        </w:tc>
        <w:tc>
          <w:tcPr>
            <w:tcW w:w="4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22272">
            <w:pPr>
              <w:widowControl/>
              <w:spacing w:after="60"/>
              <w:jc w:val="left"/>
              <w:textAlignment w:val="center"/>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垂直燃烧：</w:t>
            </w:r>
          </w:p>
          <w:p w14:paraId="2A503506">
            <w:pPr>
              <w:widowControl/>
              <w:spacing w:after="60"/>
              <w:jc w:val="left"/>
              <w:textAlignment w:val="center"/>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损毁长度：经向≤150mm；纬向≤150mm；</w:t>
            </w:r>
          </w:p>
          <w:p w14:paraId="620EF734">
            <w:pPr>
              <w:widowControl/>
              <w:spacing w:after="60"/>
              <w:jc w:val="left"/>
              <w:textAlignment w:val="center"/>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续燃时间：经向≤5s；纬向≤5s；</w:t>
            </w:r>
          </w:p>
          <w:p w14:paraId="732E5F6D">
            <w:pPr>
              <w:widowControl/>
              <w:spacing w:after="60"/>
              <w:jc w:val="left"/>
              <w:textAlignment w:val="center"/>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阴燃时间：经向≤5s；纬向≤5s；</w:t>
            </w:r>
          </w:p>
          <w:p w14:paraId="550FDB1F">
            <w:pPr>
              <w:widowControl/>
              <w:spacing w:after="60"/>
              <w:jc w:val="left"/>
              <w:textAlignment w:val="center"/>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燃烧滴落物未引起脱脂棉燃烧或阴燃；</w:t>
            </w:r>
          </w:p>
        </w:tc>
        <w:tc>
          <w:tcPr>
            <w:tcW w:w="4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61E49">
            <w:pPr>
              <w:widowControl/>
              <w:spacing w:after="60"/>
              <w:jc w:val="left"/>
              <w:textAlignment w:val="center"/>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GB/T5455-2014</w:t>
            </w:r>
          </w:p>
        </w:tc>
      </w:tr>
      <w:tr w14:paraId="7249442F">
        <w:tblPrEx>
          <w:tblCellMar>
            <w:top w:w="0" w:type="dxa"/>
            <w:left w:w="108" w:type="dxa"/>
            <w:bottom w:w="0" w:type="dxa"/>
            <w:right w:w="108" w:type="dxa"/>
          </w:tblCellMar>
        </w:tblPrEx>
        <w:trPr>
          <w:trHeight w:val="40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E29AB">
            <w:pPr>
              <w:widowControl/>
              <w:spacing w:after="60"/>
              <w:jc w:val="center"/>
              <w:textAlignment w:val="center"/>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47▲</w:t>
            </w:r>
          </w:p>
        </w:tc>
        <w:tc>
          <w:tcPr>
            <w:tcW w:w="4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17DFA">
            <w:pPr>
              <w:widowControl/>
              <w:spacing w:after="60"/>
              <w:jc w:val="left"/>
              <w:textAlignment w:val="center"/>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氧指数：</w:t>
            </w:r>
          </w:p>
          <w:p w14:paraId="7A3ADF92">
            <w:pPr>
              <w:widowControl/>
              <w:spacing w:after="60"/>
              <w:jc w:val="left"/>
              <w:textAlignment w:val="center"/>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经向≥32%；纬向≥32%</w:t>
            </w:r>
          </w:p>
        </w:tc>
        <w:tc>
          <w:tcPr>
            <w:tcW w:w="4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FD8B4">
            <w:pPr>
              <w:widowControl/>
              <w:spacing w:after="60"/>
              <w:jc w:val="left"/>
              <w:textAlignment w:val="center"/>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GB/T5454-1997</w:t>
            </w:r>
          </w:p>
        </w:tc>
      </w:tr>
      <w:tr w14:paraId="78154B79">
        <w:tblPrEx>
          <w:tblCellMar>
            <w:top w:w="0" w:type="dxa"/>
            <w:left w:w="108" w:type="dxa"/>
            <w:bottom w:w="0" w:type="dxa"/>
            <w:right w:w="108" w:type="dxa"/>
          </w:tblCellMar>
        </w:tblPrEx>
        <w:trPr>
          <w:trHeight w:val="400" w:hRule="atLeast"/>
          <w:jc w:val="center"/>
        </w:trPr>
        <w:tc>
          <w:tcPr>
            <w:tcW w:w="9350" w:type="dxa"/>
            <w:gridSpan w:val="3"/>
            <w:tcBorders>
              <w:top w:val="single" w:color="000000" w:sz="4" w:space="0"/>
              <w:left w:val="single" w:color="000000" w:sz="4" w:space="0"/>
              <w:bottom w:val="single" w:color="000000" w:sz="4" w:space="0"/>
              <w:right w:val="single" w:color="000000" w:sz="4" w:space="0"/>
            </w:tcBorders>
            <w:shd w:val="clear" w:color="auto" w:fill="D4F4F1" w:themeFill="accent5" w:themeFillTint="32"/>
            <w:noWrap/>
            <w:vAlign w:val="center"/>
          </w:tcPr>
          <w:p w14:paraId="7FC9B442">
            <w:pPr>
              <w:widowControl/>
              <w:spacing w:after="60"/>
              <w:jc w:val="left"/>
              <w:textAlignment w:val="center"/>
              <w:rPr>
                <w:rFonts w:hint="eastAsia" w:cs="宋体" w:asciiTheme="minorEastAsia" w:hAnsiTheme="minorEastAsia" w:eastAsiaTheme="minorEastAsia"/>
                <w:kern w:val="0"/>
                <w:szCs w:val="21"/>
                <w:lang w:bidi="ar"/>
              </w:rPr>
            </w:pPr>
            <w:r>
              <w:rPr>
                <w:rFonts w:hint="eastAsia" w:ascii="Times New Roman" w:hAnsiTheme="minorHAnsi" w:eastAsiaTheme="minorEastAsia" w:cstheme="minorBidi"/>
                <w:b/>
                <w:bCs/>
                <w:color w:val="FF0000"/>
                <w:szCs w:val="21"/>
                <w:highlight w:val="yellow"/>
              </w:rPr>
              <w:t>1-47项技术要求，需提供具有CMA和CNAS资质的检测机构出具的检测报告（需提供检测中心的CMA和CNAS证书复印件），如果提供多份检测报告，必须证明多份检测报告的面料为同一款面料（原件备查）</w:t>
            </w:r>
          </w:p>
        </w:tc>
      </w:tr>
      <w:tr w14:paraId="3BB67C95">
        <w:tblPrEx>
          <w:tblCellMar>
            <w:top w:w="0" w:type="dxa"/>
            <w:left w:w="108" w:type="dxa"/>
            <w:bottom w:w="0" w:type="dxa"/>
            <w:right w:w="108" w:type="dxa"/>
          </w:tblCellMar>
        </w:tblPrEx>
        <w:trPr>
          <w:trHeight w:val="40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D4F4F1" w:themeFill="accent5" w:themeFillTint="32"/>
            <w:noWrap/>
            <w:vAlign w:val="center"/>
          </w:tcPr>
          <w:p w14:paraId="63FD58C4">
            <w:pPr>
              <w:widowControl/>
              <w:spacing w:after="60"/>
              <w:jc w:val="center"/>
              <w:textAlignment w:val="center"/>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序号</w:t>
            </w:r>
          </w:p>
        </w:tc>
        <w:tc>
          <w:tcPr>
            <w:tcW w:w="4389" w:type="dxa"/>
            <w:tcBorders>
              <w:top w:val="single" w:color="000000" w:sz="4" w:space="0"/>
              <w:left w:val="single" w:color="000000" w:sz="4" w:space="0"/>
              <w:bottom w:val="single" w:color="000000" w:sz="4" w:space="0"/>
              <w:right w:val="single" w:color="000000" w:sz="4" w:space="0"/>
            </w:tcBorders>
            <w:shd w:val="clear" w:color="auto" w:fill="D4F4F1" w:themeFill="accent5" w:themeFillTint="32"/>
            <w:noWrap/>
            <w:vAlign w:val="center"/>
          </w:tcPr>
          <w:p w14:paraId="09434221">
            <w:pPr>
              <w:widowControl/>
              <w:spacing w:after="60"/>
              <w:jc w:val="center"/>
              <w:textAlignment w:val="center"/>
              <w:rPr>
                <w:rFonts w:hint="eastAsia" w:cs="宋体" w:asciiTheme="minorEastAsia" w:hAnsiTheme="minorEastAsia" w:eastAsiaTheme="minorEastAsia"/>
                <w:szCs w:val="21"/>
              </w:rPr>
            </w:pPr>
            <w:r>
              <w:rPr>
                <w:rFonts w:hint="eastAsia" w:cs="宋体" w:asciiTheme="minorEastAsia" w:hAnsiTheme="minorEastAsia" w:eastAsiaTheme="minorEastAsia"/>
                <w:b/>
                <w:bCs/>
                <w:kern w:val="0"/>
                <w:szCs w:val="21"/>
                <w:lang w:bidi="ar"/>
              </w:rPr>
              <w:t>医用隔帘参数</w:t>
            </w:r>
          </w:p>
        </w:tc>
        <w:tc>
          <w:tcPr>
            <w:tcW w:w="4261" w:type="dxa"/>
            <w:tcBorders>
              <w:top w:val="single" w:color="000000" w:sz="4" w:space="0"/>
              <w:left w:val="single" w:color="000000" w:sz="4" w:space="0"/>
              <w:bottom w:val="single" w:color="000000" w:sz="4" w:space="0"/>
              <w:right w:val="single" w:color="000000" w:sz="4" w:space="0"/>
            </w:tcBorders>
            <w:shd w:val="clear" w:color="auto" w:fill="D4F4F1" w:themeFill="accent5" w:themeFillTint="32"/>
            <w:noWrap/>
            <w:vAlign w:val="center"/>
          </w:tcPr>
          <w:p w14:paraId="744CA72E">
            <w:pPr>
              <w:widowControl/>
              <w:spacing w:after="60"/>
              <w:jc w:val="center"/>
              <w:textAlignment w:val="center"/>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检测标准</w:t>
            </w:r>
          </w:p>
        </w:tc>
      </w:tr>
      <w:tr w14:paraId="01AC7226">
        <w:tblPrEx>
          <w:tblCellMar>
            <w:top w:w="0" w:type="dxa"/>
            <w:left w:w="108" w:type="dxa"/>
            <w:bottom w:w="0" w:type="dxa"/>
            <w:right w:w="108" w:type="dxa"/>
          </w:tblCellMar>
        </w:tblPrEx>
        <w:trPr>
          <w:trHeight w:val="40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6371E">
            <w:pPr>
              <w:widowControl/>
              <w:spacing w:after="60"/>
              <w:jc w:val="center"/>
              <w:textAlignment w:val="center"/>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1</w:t>
            </w:r>
          </w:p>
        </w:tc>
        <w:tc>
          <w:tcPr>
            <w:tcW w:w="4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D75AE">
            <w:pPr>
              <w:widowControl/>
              <w:spacing w:after="60"/>
              <w:jc w:val="left"/>
              <w:textAlignment w:val="center"/>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纤维含量：100%聚酯纤维；</w:t>
            </w:r>
          </w:p>
        </w:tc>
        <w:tc>
          <w:tcPr>
            <w:tcW w:w="4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870BF">
            <w:pPr>
              <w:widowControl/>
              <w:spacing w:after="60"/>
              <w:jc w:val="left"/>
              <w:textAlignment w:val="center"/>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FZ/T01057-2007,</w:t>
            </w:r>
          </w:p>
          <w:p w14:paraId="0BBA35BE">
            <w:pPr>
              <w:widowControl/>
              <w:spacing w:after="60"/>
              <w:jc w:val="left"/>
              <w:textAlignment w:val="center"/>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GB/T2910.24-2009</w:t>
            </w:r>
          </w:p>
        </w:tc>
      </w:tr>
      <w:tr w14:paraId="6C8ED55F">
        <w:tblPrEx>
          <w:tblCellMar>
            <w:top w:w="0" w:type="dxa"/>
            <w:left w:w="108" w:type="dxa"/>
            <w:bottom w:w="0" w:type="dxa"/>
            <w:right w:w="108" w:type="dxa"/>
          </w:tblCellMar>
        </w:tblPrEx>
        <w:trPr>
          <w:trHeight w:val="40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3D127">
            <w:pPr>
              <w:widowControl/>
              <w:spacing w:after="60"/>
              <w:jc w:val="center"/>
              <w:textAlignment w:val="center"/>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2</w:t>
            </w:r>
          </w:p>
        </w:tc>
        <w:tc>
          <w:tcPr>
            <w:tcW w:w="4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BAB99">
            <w:pPr>
              <w:widowControl/>
              <w:spacing w:after="60"/>
              <w:jc w:val="left"/>
              <w:textAlignment w:val="center"/>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pH值：4.0~7.5；</w:t>
            </w:r>
          </w:p>
        </w:tc>
        <w:tc>
          <w:tcPr>
            <w:tcW w:w="4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2E2AD">
            <w:pPr>
              <w:widowControl/>
              <w:spacing w:after="60"/>
              <w:jc w:val="left"/>
              <w:textAlignment w:val="center"/>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GB/T7573-2009</w:t>
            </w:r>
          </w:p>
        </w:tc>
      </w:tr>
      <w:tr w14:paraId="30C7EF8F">
        <w:tblPrEx>
          <w:tblCellMar>
            <w:top w:w="0" w:type="dxa"/>
            <w:left w:w="108" w:type="dxa"/>
            <w:bottom w:w="0" w:type="dxa"/>
            <w:right w:w="108" w:type="dxa"/>
          </w:tblCellMar>
        </w:tblPrEx>
        <w:trPr>
          <w:trHeight w:val="40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C8523">
            <w:pPr>
              <w:widowControl/>
              <w:spacing w:after="60"/>
              <w:jc w:val="center"/>
              <w:textAlignment w:val="center"/>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3</w:t>
            </w:r>
          </w:p>
        </w:tc>
        <w:tc>
          <w:tcPr>
            <w:tcW w:w="4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C71A6">
            <w:pPr>
              <w:widowControl/>
              <w:spacing w:after="60"/>
              <w:jc w:val="left"/>
              <w:textAlignment w:val="center"/>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甲醛含量：未检出；</w:t>
            </w:r>
          </w:p>
        </w:tc>
        <w:tc>
          <w:tcPr>
            <w:tcW w:w="4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0B04B">
            <w:pPr>
              <w:widowControl/>
              <w:spacing w:after="60"/>
              <w:jc w:val="left"/>
              <w:textAlignment w:val="center"/>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GB/T2912.1-2009</w:t>
            </w:r>
          </w:p>
        </w:tc>
      </w:tr>
      <w:tr w14:paraId="4AF3D342">
        <w:tblPrEx>
          <w:tblCellMar>
            <w:top w:w="0" w:type="dxa"/>
            <w:left w:w="108" w:type="dxa"/>
            <w:bottom w:w="0" w:type="dxa"/>
            <w:right w:w="108" w:type="dxa"/>
          </w:tblCellMar>
        </w:tblPrEx>
        <w:trPr>
          <w:trHeight w:val="40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E1147">
            <w:pPr>
              <w:widowControl/>
              <w:spacing w:after="60"/>
              <w:jc w:val="center"/>
              <w:textAlignment w:val="center"/>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4</w:t>
            </w:r>
          </w:p>
        </w:tc>
        <w:tc>
          <w:tcPr>
            <w:tcW w:w="4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9797B">
            <w:pPr>
              <w:widowControl/>
              <w:spacing w:after="60"/>
              <w:jc w:val="left"/>
              <w:textAlignment w:val="center"/>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耐水色牢度：变色：4-5级；沾色：4-5级；</w:t>
            </w:r>
          </w:p>
        </w:tc>
        <w:tc>
          <w:tcPr>
            <w:tcW w:w="4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62F5C">
            <w:pPr>
              <w:widowControl/>
              <w:spacing w:after="60"/>
              <w:jc w:val="left"/>
              <w:textAlignment w:val="center"/>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GB/T5713-2013</w:t>
            </w:r>
          </w:p>
        </w:tc>
      </w:tr>
      <w:tr w14:paraId="16A6A434">
        <w:tblPrEx>
          <w:tblCellMar>
            <w:top w:w="0" w:type="dxa"/>
            <w:left w:w="108" w:type="dxa"/>
            <w:bottom w:w="0" w:type="dxa"/>
            <w:right w:w="108" w:type="dxa"/>
          </w:tblCellMar>
        </w:tblPrEx>
        <w:trPr>
          <w:trHeight w:val="40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C67F7">
            <w:pPr>
              <w:widowControl/>
              <w:spacing w:after="60"/>
              <w:jc w:val="center"/>
              <w:textAlignment w:val="center"/>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5</w:t>
            </w:r>
          </w:p>
        </w:tc>
        <w:tc>
          <w:tcPr>
            <w:tcW w:w="4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D322B">
            <w:pPr>
              <w:widowControl/>
              <w:spacing w:after="60"/>
              <w:jc w:val="left"/>
              <w:textAlignment w:val="center"/>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耐酸汗渍色牢度：变色：4-5级；沾色：4-5级；</w:t>
            </w:r>
          </w:p>
        </w:tc>
        <w:tc>
          <w:tcPr>
            <w:tcW w:w="4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A6162">
            <w:pPr>
              <w:widowControl/>
              <w:spacing w:after="60"/>
              <w:jc w:val="left"/>
              <w:textAlignment w:val="center"/>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GB/T3922-2013</w:t>
            </w:r>
          </w:p>
        </w:tc>
      </w:tr>
      <w:tr w14:paraId="01D35053">
        <w:tblPrEx>
          <w:tblCellMar>
            <w:top w:w="0" w:type="dxa"/>
            <w:left w:w="108" w:type="dxa"/>
            <w:bottom w:w="0" w:type="dxa"/>
            <w:right w:w="108" w:type="dxa"/>
          </w:tblCellMar>
        </w:tblPrEx>
        <w:trPr>
          <w:trHeight w:val="40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609D4">
            <w:pPr>
              <w:widowControl/>
              <w:spacing w:after="60"/>
              <w:jc w:val="center"/>
              <w:textAlignment w:val="center"/>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6</w:t>
            </w:r>
          </w:p>
        </w:tc>
        <w:tc>
          <w:tcPr>
            <w:tcW w:w="4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3C091">
            <w:pPr>
              <w:widowControl/>
              <w:spacing w:after="60"/>
              <w:jc w:val="left"/>
              <w:textAlignment w:val="center"/>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耐碱汗渍色牢度：变色：4-5级；沾色：4-5级；</w:t>
            </w:r>
          </w:p>
        </w:tc>
        <w:tc>
          <w:tcPr>
            <w:tcW w:w="4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F3726">
            <w:pPr>
              <w:widowControl/>
              <w:spacing w:after="60"/>
              <w:jc w:val="left"/>
              <w:textAlignment w:val="center"/>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GB/T3922-2013</w:t>
            </w:r>
          </w:p>
        </w:tc>
      </w:tr>
      <w:tr w14:paraId="1642282F">
        <w:tblPrEx>
          <w:tblCellMar>
            <w:top w:w="0" w:type="dxa"/>
            <w:left w:w="108" w:type="dxa"/>
            <w:bottom w:w="0" w:type="dxa"/>
            <w:right w:w="108" w:type="dxa"/>
          </w:tblCellMar>
        </w:tblPrEx>
        <w:trPr>
          <w:trHeight w:val="40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D3760">
            <w:pPr>
              <w:widowControl/>
              <w:spacing w:after="60"/>
              <w:jc w:val="center"/>
              <w:textAlignment w:val="center"/>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7</w:t>
            </w:r>
          </w:p>
        </w:tc>
        <w:tc>
          <w:tcPr>
            <w:tcW w:w="4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232B2">
            <w:pPr>
              <w:widowControl/>
              <w:spacing w:after="60"/>
              <w:jc w:val="left"/>
              <w:textAlignment w:val="center"/>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耐干摩擦色牢度：沾色：4-5级；</w:t>
            </w:r>
          </w:p>
        </w:tc>
        <w:tc>
          <w:tcPr>
            <w:tcW w:w="4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FB8D1">
            <w:pPr>
              <w:widowControl/>
              <w:spacing w:after="60"/>
              <w:jc w:val="left"/>
              <w:textAlignment w:val="center"/>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GB/T3920-2008</w:t>
            </w:r>
          </w:p>
        </w:tc>
      </w:tr>
      <w:tr w14:paraId="2EE2823E">
        <w:tblPrEx>
          <w:tblCellMar>
            <w:top w:w="0" w:type="dxa"/>
            <w:left w:w="108" w:type="dxa"/>
            <w:bottom w:w="0" w:type="dxa"/>
            <w:right w:w="108" w:type="dxa"/>
          </w:tblCellMar>
        </w:tblPrEx>
        <w:trPr>
          <w:trHeight w:val="40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C491A">
            <w:pPr>
              <w:widowControl/>
              <w:spacing w:after="60"/>
              <w:jc w:val="center"/>
              <w:textAlignment w:val="center"/>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8</w:t>
            </w:r>
          </w:p>
        </w:tc>
        <w:tc>
          <w:tcPr>
            <w:tcW w:w="4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D1C80">
            <w:pPr>
              <w:widowControl/>
              <w:spacing w:after="60"/>
              <w:jc w:val="left"/>
              <w:textAlignment w:val="center"/>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异味：无异味；</w:t>
            </w:r>
          </w:p>
        </w:tc>
        <w:tc>
          <w:tcPr>
            <w:tcW w:w="4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B1ADD">
            <w:pPr>
              <w:widowControl/>
              <w:spacing w:after="60"/>
              <w:jc w:val="left"/>
              <w:textAlignment w:val="center"/>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GB18401-2010 条款6.7</w:t>
            </w:r>
          </w:p>
        </w:tc>
      </w:tr>
      <w:tr w14:paraId="581DFEA4">
        <w:tblPrEx>
          <w:tblCellMar>
            <w:top w:w="0" w:type="dxa"/>
            <w:left w:w="108" w:type="dxa"/>
            <w:bottom w:w="0" w:type="dxa"/>
            <w:right w:w="108" w:type="dxa"/>
          </w:tblCellMar>
        </w:tblPrEx>
        <w:trPr>
          <w:trHeight w:val="40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B59A4">
            <w:pPr>
              <w:widowControl/>
              <w:spacing w:after="60"/>
              <w:jc w:val="center"/>
              <w:textAlignment w:val="center"/>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9</w:t>
            </w:r>
          </w:p>
        </w:tc>
        <w:tc>
          <w:tcPr>
            <w:tcW w:w="4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ACF9B">
            <w:pPr>
              <w:widowControl/>
              <w:spacing w:after="60"/>
              <w:jc w:val="left"/>
              <w:textAlignment w:val="center"/>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可分解致癌芳香胺</w:t>
            </w:r>
            <w:r>
              <w:rPr>
                <w:rFonts w:hint="eastAsia" w:cs="宋体" w:asciiTheme="minorEastAsia" w:hAnsiTheme="minorEastAsia" w:eastAsiaTheme="minorEastAsia"/>
                <w:b/>
                <w:bCs/>
                <w:color w:val="FF0000"/>
                <w:kern w:val="0"/>
                <w:szCs w:val="21"/>
                <w:highlight w:val="yellow"/>
                <w:lang w:bidi="ar"/>
              </w:rPr>
              <w:t>染料</w:t>
            </w:r>
            <w:r>
              <w:rPr>
                <w:rFonts w:hint="eastAsia" w:cs="宋体" w:asciiTheme="minorEastAsia" w:hAnsiTheme="minorEastAsia" w:eastAsiaTheme="minorEastAsia"/>
                <w:kern w:val="0"/>
                <w:szCs w:val="21"/>
                <w:lang w:bidi="ar"/>
              </w:rPr>
              <w:t>（24种）：未检出；</w:t>
            </w:r>
          </w:p>
        </w:tc>
        <w:tc>
          <w:tcPr>
            <w:tcW w:w="4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B3DC8">
            <w:pPr>
              <w:widowControl/>
              <w:spacing w:after="60"/>
              <w:jc w:val="left"/>
              <w:textAlignment w:val="center"/>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GB/T17592-2011</w:t>
            </w:r>
          </w:p>
        </w:tc>
      </w:tr>
      <w:tr w14:paraId="4EC20FE1">
        <w:tblPrEx>
          <w:tblCellMar>
            <w:top w:w="0" w:type="dxa"/>
            <w:left w:w="108" w:type="dxa"/>
            <w:bottom w:w="0" w:type="dxa"/>
            <w:right w:w="108" w:type="dxa"/>
          </w:tblCellMar>
        </w:tblPrEx>
        <w:trPr>
          <w:trHeight w:val="40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EC361">
            <w:pPr>
              <w:widowControl/>
              <w:spacing w:after="60"/>
              <w:jc w:val="center"/>
              <w:textAlignment w:val="center"/>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10▲</w:t>
            </w:r>
          </w:p>
        </w:tc>
        <w:tc>
          <w:tcPr>
            <w:tcW w:w="4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A25FF">
            <w:pPr>
              <w:widowControl/>
              <w:spacing w:after="60"/>
              <w:jc w:val="left"/>
              <w:textAlignment w:val="center"/>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克重：230（±5）g/㎡；</w:t>
            </w:r>
          </w:p>
        </w:tc>
        <w:tc>
          <w:tcPr>
            <w:tcW w:w="4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08599">
            <w:pPr>
              <w:widowControl/>
              <w:spacing w:after="60"/>
              <w:jc w:val="left"/>
              <w:textAlignment w:val="center"/>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GB/T4669-2008</w:t>
            </w:r>
          </w:p>
        </w:tc>
      </w:tr>
      <w:tr w14:paraId="747DCACD">
        <w:tblPrEx>
          <w:tblCellMar>
            <w:top w:w="0" w:type="dxa"/>
            <w:left w:w="108" w:type="dxa"/>
            <w:bottom w:w="0" w:type="dxa"/>
            <w:right w:w="108" w:type="dxa"/>
          </w:tblCellMar>
        </w:tblPrEx>
        <w:trPr>
          <w:trHeight w:val="375"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807A7">
            <w:pPr>
              <w:widowControl/>
              <w:spacing w:after="60"/>
              <w:jc w:val="center"/>
              <w:textAlignment w:val="center"/>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11</w:t>
            </w:r>
          </w:p>
        </w:tc>
        <w:tc>
          <w:tcPr>
            <w:tcW w:w="4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A4E23">
            <w:pPr>
              <w:widowControl/>
              <w:spacing w:after="60"/>
              <w:jc w:val="left"/>
              <w:textAlignment w:val="center"/>
              <w:rPr>
                <w:rFonts w:hint="eastAsia" w:cs="宋体" w:asciiTheme="minorEastAsia" w:hAnsiTheme="minorEastAsia" w:eastAsiaTheme="minorEastAsia"/>
                <w:szCs w:val="21"/>
              </w:rPr>
            </w:pPr>
            <w:r>
              <w:rPr>
                <w:rFonts w:hint="eastAsia" w:cs="宋体" w:asciiTheme="minorEastAsia" w:hAnsiTheme="minorEastAsia" w:eastAsiaTheme="minorEastAsia"/>
                <w:b/>
                <w:bCs/>
                <w:color w:val="FF0000"/>
                <w:kern w:val="0"/>
                <w:szCs w:val="21"/>
                <w:highlight w:val="yellow"/>
                <w:lang w:bidi="ar"/>
              </w:rPr>
              <w:t>邻</w:t>
            </w:r>
            <w:r>
              <w:rPr>
                <w:rFonts w:hint="eastAsia" w:cs="宋体" w:asciiTheme="minorEastAsia" w:hAnsiTheme="minorEastAsia" w:eastAsiaTheme="minorEastAsia"/>
                <w:kern w:val="0"/>
                <w:szCs w:val="21"/>
                <w:lang w:bidi="ar"/>
              </w:rPr>
              <w:t>苯二甲酸酯：未检出；</w:t>
            </w:r>
          </w:p>
        </w:tc>
        <w:tc>
          <w:tcPr>
            <w:tcW w:w="4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45E98">
            <w:pPr>
              <w:widowControl/>
              <w:spacing w:after="60"/>
              <w:jc w:val="left"/>
              <w:textAlignment w:val="center"/>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GB/T20388-2016</w:t>
            </w:r>
          </w:p>
        </w:tc>
      </w:tr>
      <w:tr w14:paraId="72E4EB64">
        <w:tblPrEx>
          <w:tblCellMar>
            <w:top w:w="0" w:type="dxa"/>
            <w:left w:w="108" w:type="dxa"/>
            <w:bottom w:w="0" w:type="dxa"/>
            <w:right w:w="108" w:type="dxa"/>
          </w:tblCellMar>
        </w:tblPrEx>
        <w:trPr>
          <w:trHeight w:val="40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A15A8">
            <w:pPr>
              <w:widowControl/>
              <w:spacing w:after="60"/>
              <w:jc w:val="center"/>
              <w:textAlignment w:val="center"/>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12</w:t>
            </w:r>
          </w:p>
        </w:tc>
        <w:tc>
          <w:tcPr>
            <w:tcW w:w="4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D9930">
            <w:pPr>
              <w:widowControl/>
              <w:spacing w:after="60"/>
              <w:jc w:val="left"/>
              <w:textAlignment w:val="center"/>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致敏染料：未检出；</w:t>
            </w:r>
          </w:p>
        </w:tc>
        <w:tc>
          <w:tcPr>
            <w:tcW w:w="4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A8108">
            <w:pPr>
              <w:widowControl/>
              <w:spacing w:after="60"/>
              <w:jc w:val="left"/>
              <w:textAlignment w:val="center"/>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GB/T20383-2006</w:t>
            </w:r>
          </w:p>
        </w:tc>
      </w:tr>
      <w:tr w14:paraId="65DB6380">
        <w:tblPrEx>
          <w:tblCellMar>
            <w:top w:w="0" w:type="dxa"/>
            <w:left w:w="108" w:type="dxa"/>
            <w:bottom w:w="0" w:type="dxa"/>
            <w:right w:w="108" w:type="dxa"/>
          </w:tblCellMar>
        </w:tblPrEx>
        <w:trPr>
          <w:trHeight w:val="9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75EAD">
            <w:pPr>
              <w:widowControl/>
              <w:spacing w:after="60"/>
              <w:jc w:val="center"/>
              <w:textAlignment w:val="center"/>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13▲</w:t>
            </w:r>
          </w:p>
        </w:tc>
        <w:tc>
          <w:tcPr>
            <w:tcW w:w="4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7FCB9">
            <w:pPr>
              <w:widowControl/>
              <w:spacing w:after="60"/>
              <w:jc w:val="left"/>
              <w:textAlignment w:val="center"/>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可萃取重金属含量：铬（六价）：未检出；铜：未检出；镍：未检出；锑：未检出；砷：未检出；铅：未检出；镉：未检出；汞：未检出；钴：未检出；铬：未检出。</w:t>
            </w:r>
          </w:p>
        </w:tc>
        <w:tc>
          <w:tcPr>
            <w:tcW w:w="4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711EF">
            <w:pPr>
              <w:widowControl/>
              <w:spacing w:after="60"/>
              <w:jc w:val="left"/>
              <w:textAlignment w:val="center"/>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GB/T17593.2-2007,</w:t>
            </w:r>
          </w:p>
          <w:p w14:paraId="7F57D7A9">
            <w:pPr>
              <w:widowControl/>
              <w:spacing w:after="60"/>
              <w:jc w:val="left"/>
              <w:textAlignment w:val="center"/>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GB/T17593.3-2006,</w:t>
            </w:r>
          </w:p>
          <w:p w14:paraId="67F9666D">
            <w:pPr>
              <w:widowControl/>
              <w:spacing w:after="60"/>
              <w:jc w:val="left"/>
              <w:textAlignment w:val="center"/>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GB/T17593.4-2006.</w:t>
            </w:r>
          </w:p>
        </w:tc>
      </w:tr>
      <w:tr w14:paraId="0B34E697">
        <w:tblPrEx>
          <w:tblCellMar>
            <w:top w:w="0" w:type="dxa"/>
            <w:left w:w="108" w:type="dxa"/>
            <w:bottom w:w="0" w:type="dxa"/>
            <w:right w:w="108" w:type="dxa"/>
          </w:tblCellMar>
        </w:tblPrEx>
        <w:trPr>
          <w:trHeight w:val="40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501AA">
            <w:pPr>
              <w:widowControl/>
              <w:spacing w:after="60"/>
              <w:jc w:val="center"/>
              <w:textAlignment w:val="center"/>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14</w:t>
            </w:r>
          </w:p>
        </w:tc>
        <w:tc>
          <w:tcPr>
            <w:tcW w:w="4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D9A46">
            <w:pPr>
              <w:widowControl/>
              <w:spacing w:after="60"/>
              <w:jc w:val="left"/>
              <w:textAlignment w:val="center"/>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邻苯基苯酚：未检出；</w:t>
            </w:r>
          </w:p>
        </w:tc>
        <w:tc>
          <w:tcPr>
            <w:tcW w:w="4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415CC">
            <w:pPr>
              <w:widowControl/>
              <w:spacing w:after="60"/>
              <w:jc w:val="left"/>
              <w:textAlignment w:val="center"/>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GB/T20386-2006</w:t>
            </w:r>
          </w:p>
        </w:tc>
      </w:tr>
      <w:tr w14:paraId="3D0AE929">
        <w:tblPrEx>
          <w:tblCellMar>
            <w:top w:w="0" w:type="dxa"/>
            <w:left w:w="108" w:type="dxa"/>
            <w:bottom w:w="0" w:type="dxa"/>
            <w:right w:w="108" w:type="dxa"/>
          </w:tblCellMar>
        </w:tblPrEx>
        <w:trPr>
          <w:trHeight w:val="40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EDA2B">
            <w:pPr>
              <w:widowControl/>
              <w:spacing w:after="60"/>
              <w:jc w:val="center"/>
              <w:textAlignment w:val="center"/>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15</w:t>
            </w:r>
          </w:p>
        </w:tc>
        <w:tc>
          <w:tcPr>
            <w:tcW w:w="4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456A6">
            <w:pPr>
              <w:widowControl/>
              <w:spacing w:after="60"/>
              <w:jc w:val="left"/>
              <w:textAlignment w:val="center"/>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氯化苯和氯化甲苯总量：未检出；</w:t>
            </w:r>
          </w:p>
        </w:tc>
        <w:tc>
          <w:tcPr>
            <w:tcW w:w="4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CEC87">
            <w:pPr>
              <w:widowControl/>
              <w:spacing w:after="60"/>
              <w:jc w:val="left"/>
              <w:textAlignment w:val="center"/>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GB/T20384-2006</w:t>
            </w:r>
          </w:p>
        </w:tc>
      </w:tr>
      <w:tr w14:paraId="7450A8F6">
        <w:tblPrEx>
          <w:tblCellMar>
            <w:top w:w="0" w:type="dxa"/>
            <w:left w:w="108" w:type="dxa"/>
            <w:bottom w:w="0" w:type="dxa"/>
            <w:right w:w="108" w:type="dxa"/>
          </w:tblCellMar>
        </w:tblPrEx>
        <w:trPr>
          <w:trHeight w:val="40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F95F2">
            <w:pPr>
              <w:widowControl/>
              <w:spacing w:after="60"/>
              <w:jc w:val="center"/>
              <w:textAlignment w:val="center"/>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16</w:t>
            </w:r>
          </w:p>
        </w:tc>
        <w:tc>
          <w:tcPr>
            <w:tcW w:w="4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84CC5">
            <w:pPr>
              <w:widowControl/>
              <w:spacing w:after="60"/>
              <w:jc w:val="left"/>
              <w:textAlignment w:val="center"/>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四氯苯酚：未检出；</w:t>
            </w:r>
          </w:p>
        </w:tc>
        <w:tc>
          <w:tcPr>
            <w:tcW w:w="4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5CB9A">
            <w:pPr>
              <w:widowControl/>
              <w:spacing w:after="60"/>
              <w:jc w:val="left"/>
              <w:textAlignment w:val="center"/>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GB/T18414-2006</w:t>
            </w:r>
          </w:p>
        </w:tc>
      </w:tr>
      <w:tr w14:paraId="7D91BFDD">
        <w:tblPrEx>
          <w:tblCellMar>
            <w:top w:w="0" w:type="dxa"/>
            <w:left w:w="108" w:type="dxa"/>
            <w:bottom w:w="0" w:type="dxa"/>
            <w:right w:w="108" w:type="dxa"/>
          </w:tblCellMar>
        </w:tblPrEx>
        <w:trPr>
          <w:trHeight w:val="40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ED349">
            <w:pPr>
              <w:widowControl/>
              <w:spacing w:after="60"/>
              <w:jc w:val="center"/>
              <w:textAlignment w:val="center"/>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17</w:t>
            </w:r>
          </w:p>
        </w:tc>
        <w:tc>
          <w:tcPr>
            <w:tcW w:w="4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C8358">
            <w:pPr>
              <w:widowControl/>
              <w:spacing w:after="60"/>
              <w:jc w:val="left"/>
              <w:textAlignment w:val="center"/>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五氯苯酚：未检出；</w:t>
            </w:r>
          </w:p>
        </w:tc>
        <w:tc>
          <w:tcPr>
            <w:tcW w:w="4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7890E">
            <w:pPr>
              <w:widowControl/>
              <w:spacing w:after="60"/>
              <w:jc w:val="left"/>
              <w:textAlignment w:val="center"/>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GB/T18414-2006</w:t>
            </w:r>
          </w:p>
        </w:tc>
      </w:tr>
      <w:tr w14:paraId="3004FF4D">
        <w:tblPrEx>
          <w:tblCellMar>
            <w:top w:w="0" w:type="dxa"/>
            <w:left w:w="108" w:type="dxa"/>
            <w:bottom w:w="0" w:type="dxa"/>
            <w:right w:w="108" w:type="dxa"/>
          </w:tblCellMar>
        </w:tblPrEx>
        <w:trPr>
          <w:trHeight w:val="40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A830F">
            <w:pPr>
              <w:widowControl/>
              <w:spacing w:after="60"/>
              <w:jc w:val="center"/>
              <w:textAlignment w:val="center"/>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18</w:t>
            </w:r>
          </w:p>
        </w:tc>
        <w:tc>
          <w:tcPr>
            <w:tcW w:w="4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2C75F">
            <w:pPr>
              <w:widowControl/>
              <w:spacing w:after="60"/>
              <w:jc w:val="left"/>
              <w:textAlignment w:val="center"/>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总铅含量：未检出；</w:t>
            </w:r>
          </w:p>
        </w:tc>
        <w:tc>
          <w:tcPr>
            <w:tcW w:w="4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730B9">
            <w:pPr>
              <w:widowControl/>
              <w:spacing w:after="60"/>
              <w:jc w:val="left"/>
              <w:textAlignment w:val="center"/>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GB/T30157-2013</w:t>
            </w:r>
          </w:p>
        </w:tc>
      </w:tr>
      <w:tr w14:paraId="14BB8F0C">
        <w:tblPrEx>
          <w:tblCellMar>
            <w:top w:w="0" w:type="dxa"/>
            <w:left w:w="108" w:type="dxa"/>
            <w:bottom w:w="0" w:type="dxa"/>
            <w:right w:w="108" w:type="dxa"/>
          </w:tblCellMar>
        </w:tblPrEx>
        <w:trPr>
          <w:trHeight w:val="40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2FB7F">
            <w:pPr>
              <w:widowControl/>
              <w:spacing w:after="60"/>
              <w:jc w:val="center"/>
              <w:textAlignment w:val="center"/>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19</w:t>
            </w:r>
          </w:p>
        </w:tc>
        <w:tc>
          <w:tcPr>
            <w:tcW w:w="4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71EC3">
            <w:pPr>
              <w:widowControl/>
              <w:spacing w:after="60"/>
              <w:jc w:val="left"/>
              <w:textAlignment w:val="center"/>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总镉含量：未检出；</w:t>
            </w:r>
          </w:p>
        </w:tc>
        <w:tc>
          <w:tcPr>
            <w:tcW w:w="4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400B3">
            <w:pPr>
              <w:widowControl/>
              <w:spacing w:after="60"/>
              <w:jc w:val="left"/>
              <w:textAlignment w:val="center"/>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GB/T30157-2013</w:t>
            </w:r>
          </w:p>
        </w:tc>
      </w:tr>
      <w:tr w14:paraId="1CCDCCF4">
        <w:tblPrEx>
          <w:tblCellMar>
            <w:top w:w="0" w:type="dxa"/>
            <w:left w:w="108" w:type="dxa"/>
            <w:bottom w:w="0" w:type="dxa"/>
            <w:right w:w="108" w:type="dxa"/>
          </w:tblCellMar>
        </w:tblPrEx>
        <w:trPr>
          <w:trHeight w:val="40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B85CA">
            <w:pPr>
              <w:widowControl/>
              <w:spacing w:after="60"/>
              <w:jc w:val="center"/>
              <w:textAlignment w:val="center"/>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20</w:t>
            </w:r>
          </w:p>
        </w:tc>
        <w:tc>
          <w:tcPr>
            <w:tcW w:w="4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88CB3">
            <w:pPr>
              <w:widowControl/>
              <w:spacing w:after="60"/>
              <w:jc w:val="left"/>
              <w:textAlignment w:val="center"/>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致癌染料：未检出；</w:t>
            </w:r>
          </w:p>
        </w:tc>
        <w:tc>
          <w:tcPr>
            <w:tcW w:w="4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A5B50">
            <w:pPr>
              <w:widowControl/>
              <w:spacing w:after="60"/>
              <w:jc w:val="left"/>
              <w:textAlignment w:val="center"/>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GB/T20382-2006</w:t>
            </w:r>
          </w:p>
        </w:tc>
      </w:tr>
      <w:tr w14:paraId="3514CB6A">
        <w:tblPrEx>
          <w:tblCellMar>
            <w:top w:w="0" w:type="dxa"/>
            <w:left w:w="108" w:type="dxa"/>
            <w:bottom w:w="0" w:type="dxa"/>
            <w:right w:w="108" w:type="dxa"/>
          </w:tblCellMar>
        </w:tblPrEx>
        <w:trPr>
          <w:trHeight w:val="40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C6BA8">
            <w:pPr>
              <w:widowControl/>
              <w:spacing w:after="60"/>
              <w:jc w:val="center"/>
              <w:textAlignment w:val="center"/>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21</w:t>
            </w:r>
          </w:p>
        </w:tc>
        <w:tc>
          <w:tcPr>
            <w:tcW w:w="4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ADCA8">
            <w:pPr>
              <w:widowControl/>
              <w:spacing w:after="60"/>
              <w:jc w:val="left"/>
              <w:textAlignment w:val="center"/>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耐唾液色牢度：变色：4-5级；沾色：4-5级；</w:t>
            </w:r>
          </w:p>
        </w:tc>
        <w:tc>
          <w:tcPr>
            <w:tcW w:w="4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FDD97">
            <w:pPr>
              <w:widowControl/>
              <w:spacing w:after="60"/>
              <w:jc w:val="left"/>
              <w:textAlignment w:val="center"/>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GB/T18886-2019</w:t>
            </w:r>
          </w:p>
        </w:tc>
      </w:tr>
      <w:tr w14:paraId="7AFB5805">
        <w:tblPrEx>
          <w:tblCellMar>
            <w:top w:w="0" w:type="dxa"/>
            <w:left w:w="108" w:type="dxa"/>
            <w:bottom w:w="0" w:type="dxa"/>
            <w:right w:w="108" w:type="dxa"/>
          </w:tblCellMar>
        </w:tblPrEx>
        <w:trPr>
          <w:trHeight w:val="40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C6803">
            <w:pPr>
              <w:widowControl/>
              <w:spacing w:after="60"/>
              <w:jc w:val="center"/>
              <w:textAlignment w:val="center"/>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22</w:t>
            </w:r>
          </w:p>
        </w:tc>
        <w:tc>
          <w:tcPr>
            <w:tcW w:w="4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F385F">
            <w:pPr>
              <w:widowControl/>
              <w:spacing w:after="60"/>
              <w:jc w:val="left"/>
              <w:textAlignment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耐热压色牢度：潮压变色：4-5级；潮压沾色：4-5级</w:t>
            </w:r>
          </w:p>
        </w:tc>
        <w:tc>
          <w:tcPr>
            <w:tcW w:w="4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262F7">
            <w:pPr>
              <w:widowControl/>
              <w:spacing w:after="60"/>
              <w:jc w:val="left"/>
              <w:textAlignment w:val="center"/>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GB/T6152-1997</w:t>
            </w:r>
          </w:p>
        </w:tc>
      </w:tr>
      <w:tr w14:paraId="27C0E670">
        <w:tblPrEx>
          <w:tblCellMar>
            <w:top w:w="0" w:type="dxa"/>
            <w:left w:w="108" w:type="dxa"/>
            <w:bottom w:w="0" w:type="dxa"/>
            <w:right w:w="108" w:type="dxa"/>
          </w:tblCellMar>
        </w:tblPrEx>
        <w:trPr>
          <w:trHeight w:val="40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CC429">
            <w:pPr>
              <w:widowControl/>
              <w:spacing w:after="60"/>
              <w:jc w:val="center"/>
              <w:textAlignment w:val="center"/>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23▲</w:t>
            </w:r>
          </w:p>
        </w:tc>
        <w:tc>
          <w:tcPr>
            <w:tcW w:w="4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E149D">
            <w:pPr>
              <w:widowControl/>
              <w:spacing w:after="60"/>
              <w:jc w:val="left"/>
              <w:textAlignment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电荷面密度（洗前）（μC/㎡）：＜0.2</w:t>
            </w:r>
          </w:p>
        </w:tc>
        <w:tc>
          <w:tcPr>
            <w:tcW w:w="4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99BF6">
            <w:pPr>
              <w:widowControl/>
              <w:spacing w:after="60"/>
              <w:jc w:val="left"/>
              <w:textAlignment w:val="center"/>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GB/T1273.2-2021</w:t>
            </w:r>
          </w:p>
        </w:tc>
      </w:tr>
      <w:tr w14:paraId="1D24FE84">
        <w:tblPrEx>
          <w:tblCellMar>
            <w:top w:w="0" w:type="dxa"/>
            <w:left w:w="108" w:type="dxa"/>
            <w:bottom w:w="0" w:type="dxa"/>
            <w:right w:w="108" w:type="dxa"/>
          </w:tblCellMar>
        </w:tblPrEx>
        <w:trPr>
          <w:trHeight w:val="40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527C3">
            <w:pPr>
              <w:widowControl/>
              <w:spacing w:after="60"/>
              <w:jc w:val="center"/>
              <w:textAlignment w:val="center"/>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24▲</w:t>
            </w:r>
          </w:p>
        </w:tc>
        <w:tc>
          <w:tcPr>
            <w:tcW w:w="4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32BD9">
            <w:pPr>
              <w:widowControl/>
              <w:spacing w:after="60"/>
              <w:jc w:val="left"/>
              <w:textAlignment w:val="center"/>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厚度：0.55±0.05mm；</w:t>
            </w:r>
          </w:p>
        </w:tc>
        <w:tc>
          <w:tcPr>
            <w:tcW w:w="4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5ECAA">
            <w:pPr>
              <w:widowControl/>
              <w:spacing w:after="60"/>
              <w:jc w:val="left"/>
              <w:textAlignment w:val="center"/>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GB/T3820-1997</w:t>
            </w:r>
          </w:p>
        </w:tc>
      </w:tr>
      <w:tr w14:paraId="053CC97B">
        <w:tblPrEx>
          <w:tblCellMar>
            <w:top w:w="0" w:type="dxa"/>
            <w:left w:w="108" w:type="dxa"/>
            <w:bottom w:w="0" w:type="dxa"/>
            <w:right w:w="108" w:type="dxa"/>
          </w:tblCellMar>
        </w:tblPrEx>
        <w:trPr>
          <w:trHeight w:val="40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4CFBE">
            <w:pPr>
              <w:widowControl/>
              <w:spacing w:after="60"/>
              <w:jc w:val="center"/>
              <w:textAlignment w:val="center"/>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25</w:t>
            </w:r>
          </w:p>
        </w:tc>
        <w:tc>
          <w:tcPr>
            <w:tcW w:w="4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271EE">
            <w:pPr>
              <w:widowControl/>
              <w:spacing w:after="60"/>
              <w:jc w:val="left"/>
              <w:textAlignment w:val="center"/>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透气率：505（±5）mm/s；</w:t>
            </w:r>
          </w:p>
        </w:tc>
        <w:tc>
          <w:tcPr>
            <w:tcW w:w="4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9A35B">
            <w:pPr>
              <w:widowControl/>
              <w:spacing w:after="60"/>
              <w:jc w:val="left"/>
              <w:textAlignment w:val="center"/>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GB/T5453-1997</w:t>
            </w:r>
          </w:p>
        </w:tc>
      </w:tr>
      <w:tr w14:paraId="4B4351F2">
        <w:tblPrEx>
          <w:tblCellMar>
            <w:top w:w="0" w:type="dxa"/>
            <w:left w:w="108" w:type="dxa"/>
            <w:bottom w:w="0" w:type="dxa"/>
            <w:right w:w="108" w:type="dxa"/>
          </w:tblCellMar>
        </w:tblPrEx>
        <w:trPr>
          <w:trHeight w:val="40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A2B0F">
            <w:pPr>
              <w:widowControl/>
              <w:spacing w:after="60"/>
              <w:jc w:val="center"/>
              <w:textAlignment w:val="center"/>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26▲</w:t>
            </w:r>
          </w:p>
        </w:tc>
        <w:tc>
          <w:tcPr>
            <w:tcW w:w="4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29AD8">
            <w:pPr>
              <w:widowControl/>
              <w:spacing w:after="60"/>
              <w:jc w:val="left"/>
              <w:textAlignment w:val="center"/>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耐磨性能：＞10000次；</w:t>
            </w:r>
          </w:p>
        </w:tc>
        <w:tc>
          <w:tcPr>
            <w:tcW w:w="4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B1362">
            <w:pPr>
              <w:widowControl/>
              <w:spacing w:after="60"/>
              <w:jc w:val="left"/>
              <w:textAlignment w:val="center"/>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GB/T21196.2-2007</w:t>
            </w:r>
          </w:p>
        </w:tc>
      </w:tr>
      <w:tr w14:paraId="098FEA97">
        <w:tblPrEx>
          <w:tblCellMar>
            <w:top w:w="0" w:type="dxa"/>
            <w:left w:w="108" w:type="dxa"/>
            <w:bottom w:w="0" w:type="dxa"/>
            <w:right w:w="108" w:type="dxa"/>
          </w:tblCellMar>
        </w:tblPrEx>
        <w:trPr>
          <w:trHeight w:val="40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B855B">
            <w:pPr>
              <w:widowControl/>
              <w:spacing w:after="60"/>
              <w:jc w:val="center"/>
              <w:textAlignment w:val="center"/>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27</w:t>
            </w:r>
          </w:p>
        </w:tc>
        <w:tc>
          <w:tcPr>
            <w:tcW w:w="4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7E918">
            <w:pPr>
              <w:widowControl/>
              <w:spacing w:after="60"/>
              <w:jc w:val="left"/>
              <w:textAlignment w:val="center"/>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酚黄变：变色：4-5级</w:t>
            </w:r>
          </w:p>
        </w:tc>
        <w:tc>
          <w:tcPr>
            <w:tcW w:w="4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6336F">
            <w:pPr>
              <w:widowControl/>
              <w:spacing w:after="60"/>
              <w:jc w:val="left"/>
              <w:textAlignment w:val="center"/>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GB/T29778-2013</w:t>
            </w:r>
          </w:p>
        </w:tc>
      </w:tr>
      <w:tr w14:paraId="0AFD94E4">
        <w:tblPrEx>
          <w:tblCellMar>
            <w:top w:w="0" w:type="dxa"/>
            <w:left w:w="108" w:type="dxa"/>
            <w:bottom w:w="0" w:type="dxa"/>
            <w:right w:w="108" w:type="dxa"/>
          </w:tblCellMar>
        </w:tblPrEx>
        <w:trPr>
          <w:trHeight w:val="40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75E59">
            <w:pPr>
              <w:widowControl/>
              <w:spacing w:after="60"/>
              <w:jc w:val="center"/>
              <w:textAlignment w:val="center"/>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28</w:t>
            </w:r>
          </w:p>
        </w:tc>
        <w:tc>
          <w:tcPr>
            <w:tcW w:w="4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B5EB7">
            <w:pPr>
              <w:widowControl/>
              <w:spacing w:after="60"/>
              <w:jc w:val="left"/>
              <w:textAlignment w:val="center"/>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水洗尺寸变化率：经向：-1.0~+1.0；</w:t>
            </w:r>
          </w:p>
          <w:p w14:paraId="624D58FC">
            <w:pPr>
              <w:widowControl/>
              <w:spacing w:after="60"/>
              <w:jc w:val="left"/>
              <w:textAlignment w:val="center"/>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纬向：-1.0~+1.0；</w:t>
            </w:r>
          </w:p>
        </w:tc>
        <w:tc>
          <w:tcPr>
            <w:tcW w:w="4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BB8D4">
            <w:pPr>
              <w:widowControl/>
              <w:spacing w:after="60"/>
              <w:jc w:val="left"/>
              <w:textAlignment w:val="center"/>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GB/T8628-2013,GB/T8629-2017,</w:t>
            </w:r>
          </w:p>
          <w:p w14:paraId="75CE6B76">
            <w:pPr>
              <w:widowControl/>
              <w:spacing w:after="60"/>
              <w:jc w:val="left"/>
              <w:textAlignment w:val="center"/>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GB/T8630-2013</w:t>
            </w:r>
          </w:p>
        </w:tc>
      </w:tr>
      <w:tr w14:paraId="2A452AE5">
        <w:tblPrEx>
          <w:tblCellMar>
            <w:top w:w="0" w:type="dxa"/>
            <w:left w:w="108" w:type="dxa"/>
            <w:bottom w:w="0" w:type="dxa"/>
            <w:right w:w="108" w:type="dxa"/>
          </w:tblCellMar>
        </w:tblPrEx>
        <w:trPr>
          <w:trHeight w:val="40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5AE98">
            <w:pPr>
              <w:widowControl/>
              <w:spacing w:after="60"/>
              <w:jc w:val="center"/>
              <w:textAlignment w:val="center"/>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29</w:t>
            </w:r>
          </w:p>
        </w:tc>
        <w:tc>
          <w:tcPr>
            <w:tcW w:w="4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7C6CD">
            <w:pPr>
              <w:widowControl/>
              <w:spacing w:after="60"/>
              <w:jc w:val="left"/>
              <w:textAlignment w:val="center"/>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干洗尺寸变化率：经向：-1.0~+1.0；</w:t>
            </w:r>
          </w:p>
          <w:p w14:paraId="1DA26830">
            <w:pPr>
              <w:widowControl/>
              <w:spacing w:after="60"/>
              <w:jc w:val="left"/>
              <w:textAlignment w:val="center"/>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纬向：-1.0~+1.0；</w:t>
            </w:r>
          </w:p>
        </w:tc>
        <w:tc>
          <w:tcPr>
            <w:tcW w:w="4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3B860">
            <w:pPr>
              <w:widowControl/>
              <w:spacing w:after="60"/>
              <w:jc w:val="left"/>
              <w:textAlignment w:val="center"/>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FZ/T80007.3-2006</w:t>
            </w:r>
          </w:p>
        </w:tc>
      </w:tr>
      <w:tr w14:paraId="35B52E87">
        <w:tblPrEx>
          <w:tblCellMar>
            <w:top w:w="0" w:type="dxa"/>
            <w:left w:w="108" w:type="dxa"/>
            <w:bottom w:w="0" w:type="dxa"/>
            <w:right w:w="108" w:type="dxa"/>
          </w:tblCellMar>
        </w:tblPrEx>
        <w:trPr>
          <w:trHeight w:val="82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B5BF3">
            <w:pPr>
              <w:widowControl/>
              <w:spacing w:after="60"/>
              <w:jc w:val="center"/>
              <w:textAlignment w:val="center"/>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30</w:t>
            </w:r>
          </w:p>
        </w:tc>
        <w:tc>
          <w:tcPr>
            <w:tcW w:w="4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33B11">
            <w:pPr>
              <w:widowControl/>
              <w:spacing w:after="60"/>
              <w:jc w:val="left"/>
              <w:textAlignment w:val="center"/>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耐皂洗色牢度：变色：4-5级；沾色：4-5级；</w:t>
            </w:r>
          </w:p>
        </w:tc>
        <w:tc>
          <w:tcPr>
            <w:tcW w:w="4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DC116">
            <w:pPr>
              <w:widowControl/>
              <w:spacing w:after="60"/>
              <w:jc w:val="left"/>
              <w:textAlignment w:val="center"/>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GB/T3921-2008</w:t>
            </w:r>
          </w:p>
        </w:tc>
      </w:tr>
      <w:tr w14:paraId="200FAB9A">
        <w:tblPrEx>
          <w:tblCellMar>
            <w:top w:w="0" w:type="dxa"/>
            <w:left w:w="108" w:type="dxa"/>
            <w:bottom w:w="0" w:type="dxa"/>
            <w:right w:w="108" w:type="dxa"/>
          </w:tblCellMar>
        </w:tblPrEx>
        <w:trPr>
          <w:trHeight w:val="495"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6BA1A">
            <w:pPr>
              <w:widowControl/>
              <w:spacing w:after="60"/>
              <w:jc w:val="center"/>
              <w:textAlignment w:val="center"/>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31</w:t>
            </w:r>
          </w:p>
        </w:tc>
        <w:tc>
          <w:tcPr>
            <w:tcW w:w="4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E2EBF">
            <w:pPr>
              <w:widowControl/>
              <w:spacing w:after="60"/>
              <w:jc w:val="left"/>
              <w:textAlignment w:val="center"/>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耐湿摩擦色牢度：沾色：4-5级；</w:t>
            </w:r>
          </w:p>
        </w:tc>
        <w:tc>
          <w:tcPr>
            <w:tcW w:w="4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40AD1">
            <w:pPr>
              <w:widowControl/>
              <w:spacing w:after="60"/>
              <w:jc w:val="left"/>
              <w:textAlignment w:val="center"/>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GB/T3920-2008</w:t>
            </w:r>
          </w:p>
        </w:tc>
      </w:tr>
      <w:tr w14:paraId="55058773">
        <w:tblPrEx>
          <w:tblCellMar>
            <w:top w:w="0" w:type="dxa"/>
            <w:left w:w="108" w:type="dxa"/>
            <w:bottom w:w="0" w:type="dxa"/>
            <w:right w:w="108" w:type="dxa"/>
          </w:tblCellMar>
        </w:tblPrEx>
        <w:trPr>
          <w:trHeight w:val="40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6E4DA">
            <w:pPr>
              <w:widowControl/>
              <w:spacing w:after="60"/>
              <w:jc w:val="center"/>
              <w:textAlignment w:val="center"/>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32</w:t>
            </w:r>
          </w:p>
        </w:tc>
        <w:tc>
          <w:tcPr>
            <w:tcW w:w="4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631A0">
            <w:pPr>
              <w:widowControl/>
              <w:spacing w:after="60"/>
              <w:jc w:val="left"/>
              <w:textAlignment w:val="center"/>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耐光色牢度：变色（浅色）3级；</w:t>
            </w:r>
          </w:p>
        </w:tc>
        <w:tc>
          <w:tcPr>
            <w:tcW w:w="4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A83F8">
            <w:pPr>
              <w:widowControl/>
              <w:spacing w:after="60"/>
              <w:jc w:val="left"/>
              <w:textAlignment w:val="center"/>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GB/T8427-2019方法3</w:t>
            </w:r>
          </w:p>
        </w:tc>
      </w:tr>
      <w:tr w14:paraId="4D4338E1">
        <w:tblPrEx>
          <w:tblCellMar>
            <w:top w:w="0" w:type="dxa"/>
            <w:left w:w="108" w:type="dxa"/>
            <w:bottom w:w="0" w:type="dxa"/>
            <w:right w:w="108" w:type="dxa"/>
          </w:tblCellMar>
        </w:tblPrEx>
        <w:trPr>
          <w:trHeight w:val="40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A361F">
            <w:pPr>
              <w:widowControl/>
              <w:spacing w:after="60"/>
              <w:jc w:val="center"/>
              <w:textAlignment w:val="center"/>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33</w:t>
            </w:r>
          </w:p>
        </w:tc>
        <w:tc>
          <w:tcPr>
            <w:tcW w:w="4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B19F3">
            <w:pPr>
              <w:widowControl/>
              <w:spacing w:after="60"/>
              <w:jc w:val="left"/>
              <w:textAlignment w:val="center"/>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耐酸斑色牢度：变色：4-5级；</w:t>
            </w:r>
          </w:p>
        </w:tc>
        <w:tc>
          <w:tcPr>
            <w:tcW w:w="4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F858C">
            <w:pPr>
              <w:widowControl/>
              <w:spacing w:after="60"/>
              <w:jc w:val="left"/>
              <w:textAlignment w:val="center"/>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GB/T5715-2013</w:t>
            </w:r>
          </w:p>
        </w:tc>
      </w:tr>
      <w:tr w14:paraId="3454C993">
        <w:tblPrEx>
          <w:tblCellMar>
            <w:top w:w="0" w:type="dxa"/>
            <w:left w:w="108" w:type="dxa"/>
            <w:bottom w:w="0" w:type="dxa"/>
            <w:right w:w="108" w:type="dxa"/>
          </w:tblCellMar>
        </w:tblPrEx>
        <w:trPr>
          <w:trHeight w:val="40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9F4AB">
            <w:pPr>
              <w:widowControl/>
              <w:spacing w:after="60"/>
              <w:jc w:val="center"/>
              <w:textAlignment w:val="center"/>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34</w:t>
            </w:r>
          </w:p>
        </w:tc>
        <w:tc>
          <w:tcPr>
            <w:tcW w:w="4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C114B">
            <w:pPr>
              <w:widowControl/>
              <w:spacing w:after="60"/>
              <w:jc w:val="left"/>
              <w:textAlignment w:val="center"/>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顶破强力≥1290N；</w:t>
            </w:r>
          </w:p>
        </w:tc>
        <w:tc>
          <w:tcPr>
            <w:tcW w:w="4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06DE4">
            <w:pPr>
              <w:widowControl/>
              <w:spacing w:after="60"/>
              <w:jc w:val="left"/>
              <w:textAlignment w:val="center"/>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GB/T19976-2005</w:t>
            </w:r>
          </w:p>
        </w:tc>
      </w:tr>
      <w:tr w14:paraId="3BEE7B5D">
        <w:tblPrEx>
          <w:tblCellMar>
            <w:top w:w="0" w:type="dxa"/>
            <w:left w:w="108" w:type="dxa"/>
            <w:bottom w:w="0" w:type="dxa"/>
            <w:right w:w="108" w:type="dxa"/>
          </w:tblCellMar>
        </w:tblPrEx>
        <w:trPr>
          <w:trHeight w:val="40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5EF15">
            <w:pPr>
              <w:widowControl/>
              <w:spacing w:after="60"/>
              <w:jc w:val="center"/>
              <w:textAlignment w:val="center"/>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35▲</w:t>
            </w:r>
          </w:p>
        </w:tc>
        <w:tc>
          <w:tcPr>
            <w:tcW w:w="4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1DAEF">
            <w:pPr>
              <w:widowControl/>
              <w:spacing w:after="60"/>
              <w:jc w:val="left"/>
              <w:textAlignment w:val="center"/>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密度：</w:t>
            </w:r>
          </w:p>
          <w:p w14:paraId="69E8E8A6">
            <w:pPr>
              <w:widowControl/>
              <w:spacing w:after="60"/>
              <w:jc w:val="left"/>
              <w:textAlignment w:val="center"/>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直向（横列/10cm）：82±5；</w:t>
            </w:r>
          </w:p>
          <w:p w14:paraId="273222BD">
            <w:pPr>
              <w:widowControl/>
              <w:spacing w:after="60"/>
              <w:jc w:val="left"/>
              <w:textAlignment w:val="center"/>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横向（纵列列/10cm）：112±5；</w:t>
            </w:r>
          </w:p>
        </w:tc>
        <w:tc>
          <w:tcPr>
            <w:tcW w:w="4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B7EDB">
            <w:pPr>
              <w:widowControl/>
              <w:spacing w:after="60"/>
              <w:jc w:val="left"/>
              <w:textAlignment w:val="center"/>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GB/T4668-1995</w:t>
            </w:r>
          </w:p>
        </w:tc>
      </w:tr>
      <w:tr w14:paraId="5EEED10C">
        <w:tblPrEx>
          <w:tblCellMar>
            <w:top w:w="0" w:type="dxa"/>
            <w:left w:w="108" w:type="dxa"/>
            <w:bottom w:w="0" w:type="dxa"/>
            <w:right w:w="108" w:type="dxa"/>
          </w:tblCellMar>
        </w:tblPrEx>
        <w:trPr>
          <w:trHeight w:val="40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F7687">
            <w:pPr>
              <w:widowControl/>
              <w:spacing w:after="60"/>
              <w:jc w:val="center"/>
              <w:textAlignment w:val="center"/>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36</w:t>
            </w:r>
          </w:p>
        </w:tc>
        <w:tc>
          <w:tcPr>
            <w:tcW w:w="4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2E76B">
            <w:pPr>
              <w:widowControl/>
              <w:spacing w:after="60"/>
              <w:jc w:val="left"/>
              <w:textAlignment w:val="center"/>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洗涤干燥后外观平整度：≥4级；</w:t>
            </w:r>
          </w:p>
        </w:tc>
        <w:tc>
          <w:tcPr>
            <w:tcW w:w="4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4CD90">
            <w:pPr>
              <w:widowControl/>
              <w:spacing w:after="60"/>
              <w:jc w:val="left"/>
              <w:textAlignment w:val="center"/>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GB/T13769-2009</w:t>
            </w:r>
          </w:p>
        </w:tc>
      </w:tr>
      <w:tr w14:paraId="3D6788AF">
        <w:tblPrEx>
          <w:tblCellMar>
            <w:top w:w="0" w:type="dxa"/>
            <w:left w:w="108" w:type="dxa"/>
            <w:bottom w:w="0" w:type="dxa"/>
            <w:right w:w="108" w:type="dxa"/>
          </w:tblCellMar>
        </w:tblPrEx>
        <w:trPr>
          <w:trHeight w:val="40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69AFF">
            <w:pPr>
              <w:widowControl/>
              <w:spacing w:after="60"/>
              <w:jc w:val="center"/>
              <w:textAlignment w:val="center"/>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37</w:t>
            </w:r>
          </w:p>
        </w:tc>
        <w:tc>
          <w:tcPr>
            <w:tcW w:w="4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4CFBF">
            <w:pPr>
              <w:widowControl/>
              <w:spacing w:after="60"/>
              <w:jc w:val="left"/>
              <w:textAlignment w:val="center"/>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起毛起球：4-5级；</w:t>
            </w:r>
          </w:p>
        </w:tc>
        <w:tc>
          <w:tcPr>
            <w:tcW w:w="4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2CB8B">
            <w:pPr>
              <w:widowControl/>
              <w:spacing w:after="60"/>
              <w:jc w:val="left"/>
              <w:textAlignment w:val="center"/>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GB/T4802.1-2008</w:t>
            </w:r>
          </w:p>
        </w:tc>
      </w:tr>
      <w:tr w14:paraId="37D53D98">
        <w:tblPrEx>
          <w:tblCellMar>
            <w:top w:w="0" w:type="dxa"/>
            <w:left w:w="108" w:type="dxa"/>
            <w:bottom w:w="0" w:type="dxa"/>
            <w:right w:w="108" w:type="dxa"/>
          </w:tblCellMar>
        </w:tblPrEx>
        <w:trPr>
          <w:trHeight w:val="40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37EB6">
            <w:pPr>
              <w:widowControl/>
              <w:spacing w:after="60"/>
              <w:jc w:val="center"/>
              <w:textAlignment w:val="center"/>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38▲</w:t>
            </w:r>
          </w:p>
        </w:tc>
        <w:tc>
          <w:tcPr>
            <w:tcW w:w="4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0DD7D">
            <w:pPr>
              <w:widowControl/>
              <w:spacing w:after="60"/>
              <w:jc w:val="left"/>
              <w:textAlignment w:val="center"/>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遮光率≥94%；</w:t>
            </w:r>
          </w:p>
        </w:tc>
        <w:tc>
          <w:tcPr>
            <w:tcW w:w="4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DE84A">
            <w:pPr>
              <w:widowControl/>
              <w:spacing w:after="60"/>
              <w:jc w:val="left"/>
              <w:textAlignment w:val="center"/>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FZ/T62025-2015附录A</w:t>
            </w:r>
          </w:p>
        </w:tc>
      </w:tr>
      <w:tr w14:paraId="79B0BBB7">
        <w:tblPrEx>
          <w:tblCellMar>
            <w:top w:w="0" w:type="dxa"/>
            <w:left w:w="108" w:type="dxa"/>
            <w:bottom w:w="0" w:type="dxa"/>
            <w:right w:w="108" w:type="dxa"/>
          </w:tblCellMar>
        </w:tblPrEx>
        <w:trPr>
          <w:trHeight w:val="40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8BA7A">
            <w:pPr>
              <w:widowControl/>
              <w:spacing w:after="60"/>
              <w:jc w:val="center"/>
              <w:textAlignment w:val="center"/>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39</w:t>
            </w:r>
          </w:p>
        </w:tc>
        <w:tc>
          <w:tcPr>
            <w:tcW w:w="4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68E06">
            <w:pPr>
              <w:widowControl/>
              <w:spacing w:after="60"/>
              <w:jc w:val="left"/>
              <w:textAlignment w:val="center"/>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耐次氯酸盐漂白色牢度：变色：4-5级；</w:t>
            </w:r>
          </w:p>
        </w:tc>
        <w:tc>
          <w:tcPr>
            <w:tcW w:w="4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33C65">
            <w:pPr>
              <w:widowControl/>
              <w:spacing w:after="60"/>
              <w:jc w:val="left"/>
              <w:textAlignment w:val="center"/>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GB/T7069-1997</w:t>
            </w:r>
          </w:p>
        </w:tc>
      </w:tr>
      <w:tr w14:paraId="302D4B86">
        <w:tblPrEx>
          <w:tblCellMar>
            <w:top w:w="0" w:type="dxa"/>
            <w:left w:w="108" w:type="dxa"/>
            <w:bottom w:w="0" w:type="dxa"/>
            <w:right w:w="108" w:type="dxa"/>
          </w:tblCellMar>
        </w:tblPrEx>
        <w:trPr>
          <w:trHeight w:val="40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E5132">
            <w:pPr>
              <w:widowControl/>
              <w:spacing w:after="60"/>
              <w:jc w:val="center"/>
              <w:textAlignment w:val="center"/>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40▲</w:t>
            </w:r>
          </w:p>
        </w:tc>
        <w:tc>
          <w:tcPr>
            <w:tcW w:w="4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DAC6E">
            <w:pPr>
              <w:widowControl/>
              <w:spacing w:after="60"/>
              <w:jc w:val="left"/>
              <w:textAlignment w:val="center"/>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负离子发生量：752（±5）个/cm³</w:t>
            </w:r>
          </w:p>
        </w:tc>
        <w:tc>
          <w:tcPr>
            <w:tcW w:w="4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CB374">
            <w:pPr>
              <w:widowControl/>
              <w:spacing w:after="60"/>
              <w:jc w:val="left"/>
              <w:textAlignment w:val="center"/>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GB/T30128-2013</w:t>
            </w:r>
          </w:p>
        </w:tc>
      </w:tr>
      <w:tr w14:paraId="469B03A4">
        <w:tblPrEx>
          <w:tblCellMar>
            <w:top w:w="0" w:type="dxa"/>
            <w:left w:w="108" w:type="dxa"/>
            <w:bottom w:w="0" w:type="dxa"/>
            <w:right w:w="108" w:type="dxa"/>
          </w:tblCellMar>
        </w:tblPrEx>
        <w:trPr>
          <w:trHeight w:val="49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7311D">
            <w:pPr>
              <w:widowControl/>
              <w:spacing w:after="60"/>
              <w:jc w:val="center"/>
              <w:textAlignment w:val="center"/>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41▲</w:t>
            </w:r>
          </w:p>
        </w:tc>
        <w:tc>
          <w:tcPr>
            <w:tcW w:w="4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412C9">
            <w:pPr>
              <w:widowControl/>
              <w:spacing w:after="60"/>
              <w:jc w:val="left"/>
              <w:textAlignment w:val="center"/>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抗菌性能：</w:t>
            </w:r>
          </w:p>
          <w:p w14:paraId="52B1560D">
            <w:pPr>
              <w:widowControl/>
              <w:spacing w:after="60"/>
              <w:jc w:val="left"/>
              <w:textAlignment w:val="center"/>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金黄色葡萄球菌（洗前）≥99%；</w:t>
            </w:r>
          </w:p>
          <w:p w14:paraId="783F10ED">
            <w:pPr>
              <w:widowControl/>
              <w:spacing w:after="60"/>
              <w:jc w:val="left"/>
              <w:textAlignment w:val="center"/>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大肠杆菌（洗前）≥99%；</w:t>
            </w:r>
          </w:p>
          <w:p w14:paraId="26795CFE">
            <w:pPr>
              <w:widowControl/>
              <w:spacing w:after="60"/>
              <w:jc w:val="left"/>
              <w:textAlignment w:val="center"/>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白色念珠菌（洗前）≥99%；</w:t>
            </w:r>
          </w:p>
          <w:p w14:paraId="18F150B8">
            <w:pPr>
              <w:widowControl/>
              <w:spacing w:after="60"/>
              <w:jc w:val="left"/>
              <w:textAlignment w:val="center"/>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肺炎克雷伯菌≥99%；</w:t>
            </w:r>
          </w:p>
          <w:p w14:paraId="7CB27184">
            <w:pPr>
              <w:widowControl/>
              <w:spacing w:after="60"/>
              <w:jc w:val="left"/>
              <w:textAlignment w:val="center"/>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铜绿假单胞菌≥99%；</w:t>
            </w:r>
          </w:p>
        </w:tc>
        <w:tc>
          <w:tcPr>
            <w:tcW w:w="4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9CA84">
            <w:pPr>
              <w:widowControl/>
              <w:spacing w:after="60"/>
              <w:jc w:val="left"/>
              <w:textAlignment w:val="center"/>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GB/T20944.3-2008</w:t>
            </w:r>
          </w:p>
        </w:tc>
      </w:tr>
      <w:tr w14:paraId="1FD50634">
        <w:tblPrEx>
          <w:tblCellMar>
            <w:top w:w="0" w:type="dxa"/>
            <w:left w:w="108" w:type="dxa"/>
            <w:bottom w:w="0" w:type="dxa"/>
            <w:right w:w="108" w:type="dxa"/>
          </w:tblCellMar>
        </w:tblPrEx>
        <w:trPr>
          <w:trHeight w:val="795"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794AD">
            <w:pPr>
              <w:widowControl/>
              <w:spacing w:after="60"/>
              <w:jc w:val="center"/>
              <w:textAlignment w:val="center"/>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42▲</w:t>
            </w:r>
          </w:p>
        </w:tc>
        <w:tc>
          <w:tcPr>
            <w:tcW w:w="4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F927B">
            <w:pPr>
              <w:widowControl/>
              <w:spacing w:after="60"/>
              <w:jc w:val="left"/>
              <w:textAlignment w:val="center"/>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断裂强力：纵向：≥620N；横向：≥816N；</w:t>
            </w:r>
          </w:p>
          <w:p w14:paraId="6FE34628">
            <w:pPr>
              <w:widowControl/>
              <w:spacing w:after="60"/>
              <w:jc w:val="left"/>
              <w:textAlignment w:val="center"/>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断裂延伸率：经向：≥59%；纬向：≥54%；</w:t>
            </w:r>
          </w:p>
        </w:tc>
        <w:tc>
          <w:tcPr>
            <w:tcW w:w="4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765B0">
            <w:pPr>
              <w:widowControl/>
              <w:spacing w:after="60"/>
              <w:jc w:val="left"/>
              <w:textAlignment w:val="center"/>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GB/T3923.1-2013</w:t>
            </w:r>
          </w:p>
        </w:tc>
      </w:tr>
      <w:tr w14:paraId="293E456B">
        <w:tblPrEx>
          <w:tblCellMar>
            <w:top w:w="0" w:type="dxa"/>
            <w:left w:w="108" w:type="dxa"/>
            <w:bottom w:w="0" w:type="dxa"/>
            <w:right w:w="108" w:type="dxa"/>
          </w:tblCellMar>
        </w:tblPrEx>
        <w:trPr>
          <w:trHeight w:val="40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BB6B5">
            <w:pPr>
              <w:widowControl/>
              <w:spacing w:after="60"/>
              <w:jc w:val="center"/>
              <w:textAlignment w:val="center"/>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43▲</w:t>
            </w:r>
          </w:p>
        </w:tc>
        <w:tc>
          <w:tcPr>
            <w:tcW w:w="4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D11F9">
            <w:pPr>
              <w:widowControl/>
              <w:spacing w:after="60"/>
              <w:jc w:val="left"/>
              <w:textAlignment w:val="center"/>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防霉等级：0级</w:t>
            </w:r>
          </w:p>
        </w:tc>
        <w:tc>
          <w:tcPr>
            <w:tcW w:w="4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75D97">
            <w:pPr>
              <w:widowControl/>
              <w:spacing w:after="60"/>
              <w:jc w:val="left"/>
              <w:textAlignment w:val="center"/>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GB/T24346-2009</w:t>
            </w:r>
          </w:p>
        </w:tc>
      </w:tr>
      <w:tr w14:paraId="1CD5767C">
        <w:tblPrEx>
          <w:tblCellMar>
            <w:top w:w="0" w:type="dxa"/>
            <w:left w:w="108" w:type="dxa"/>
            <w:bottom w:w="0" w:type="dxa"/>
            <w:right w:w="108" w:type="dxa"/>
          </w:tblCellMar>
        </w:tblPrEx>
        <w:trPr>
          <w:trHeight w:val="465"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9F25C">
            <w:pPr>
              <w:widowControl/>
              <w:spacing w:after="60"/>
              <w:jc w:val="center"/>
              <w:textAlignment w:val="center"/>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44▲</w:t>
            </w:r>
          </w:p>
        </w:tc>
        <w:tc>
          <w:tcPr>
            <w:tcW w:w="4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3A11F">
            <w:pPr>
              <w:widowControl/>
              <w:spacing w:after="60"/>
              <w:jc w:val="left"/>
              <w:textAlignment w:val="center"/>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垂直燃烧</w:t>
            </w:r>
          </w:p>
          <w:p w14:paraId="38D8D2BE">
            <w:pPr>
              <w:widowControl/>
              <w:spacing w:after="60"/>
              <w:jc w:val="left"/>
              <w:textAlignment w:val="center"/>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损毁长度：经向≤150mm；纬向≤150mm；</w:t>
            </w:r>
          </w:p>
          <w:p w14:paraId="71198A81">
            <w:pPr>
              <w:widowControl/>
              <w:spacing w:after="60"/>
              <w:jc w:val="left"/>
              <w:textAlignment w:val="center"/>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续燃时间：经向≤5s；纬向≤5s；</w:t>
            </w:r>
          </w:p>
          <w:p w14:paraId="7BE35BA3">
            <w:pPr>
              <w:widowControl/>
              <w:spacing w:after="60"/>
              <w:jc w:val="left"/>
              <w:textAlignment w:val="center"/>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阴燃时间：经向≤5s；纬向≤5s；</w:t>
            </w:r>
          </w:p>
          <w:p w14:paraId="5C3F8841">
            <w:pPr>
              <w:widowControl/>
              <w:spacing w:after="60"/>
              <w:jc w:val="left"/>
              <w:textAlignment w:val="center"/>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燃烧滴落物未引起脱脂棉燃烧或阴燃；</w:t>
            </w:r>
          </w:p>
        </w:tc>
        <w:tc>
          <w:tcPr>
            <w:tcW w:w="4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B1230">
            <w:pPr>
              <w:widowControl/>
              <w:spacing w:after="60"/>
              <w:jc w:val="left"/>
              <w:textAlignment w:val="center"/>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GB/T5455-2014</w:t>
            </w:r>
          </w:p>
        </w:tc>
      </w:tr>
      <w:tr w14:paraId="29CBE131">
        <w:tblPrEx>
          <w:tblCellMar>
            <w:top w:w="0" w:type="dxa"/>
            <w:left w:w="108" w:type="dxa"/>
            <w:bottom w:w="0" w:type="dxa"/>
            <w:right w:w="108" w:type="dxa"/>
          </w:tblCellMar>
        </w:tblPrEx>
        <w:trPr>
          <w:trHeight w:val="40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F2B9E">
            <w:pPr>
              <w:widowControl/>
              <w:spacing w:after="60"/>
              <w:jc w:val="center"/>
              <w:textAlignment w:val="center"/>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45▲</w:t>
            </w:r>
          </w:p>
        </w:tc>
        <w:tc>
          <w:tcPr>
            <w:tcW w:w="4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92B8E">
            <w:pPr>
              <w:widowControl/>
              <w:spacing w:after="60"/>
              <w:jc w:val="left"/>
              <w:textAlignment w:val="center"/>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氧指数：</w:t>
            </w:r>
          </w:p>
          <w:p w14:paraId="54F8DAA6">
            <w:pPr>
              <w:widowControl/>
              <w:spacing w:after="60"/>
              <w:jc w:val="left"/>
              <w:textAlignment w:val="center"/>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直向≥32%；横向≥32%</w:t>
            </w:r>
          </w:p>
        </w:tc>
        <w:tc>
          <w:tcPr>
            <w:tcW w:w="4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8FA01">
            <w:pPr>
              <w:widowControl/>
              <w:spacing w:after="60"/>
              <w:jc w:val="left"/>
              <w:textAlignment w:val="center"/>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GB/T5454-1997</w:t>
            </w:r>
          </w:p>
        </w:tc>
      </w:tr>
      <w:tr w14:paraId="20DBB5D6">
        <w:tblPrEx>
          <w:tblCellMar>
            <w:top w:w="0" w:type="dxa"/>
            <w:left w:w="108" w:type="dxa"/>
            <w:bottom w:w="0" w:type="dxa"/>
            <w:right w:w="108" w:type="dxa"/>
          </w:tblCellMar>
        </w:tblPrEx>
        <w:trPr>
          <w:trHeight w:val="400" w:hRule="atLeast"/>
          <w:jc w:val="center"/>
        </w:trPr>
        <w:tc>
          <w:tcPr>
            <w:tcW w:w="9350" w:type="dxa"/>
            <w:gridSpan w:val="3"/>
            <w:tcBorders>
              <w:top w:val="single" w:color="000000" w:sz="4" w:space="0"/>
              <w:left w:val="single" w:color="000000" w:sz="4" w:space="0"/>
              <w:bottom w:val="single" w:color="000000" w:sz="4" w:space="0"/>
              <w:right w:val="single" w:color="000000" w:sz="4" w:space="0"/>
            </w:tcBorders>
            <w:shd w:val="clear" w:color="auto" w:fill="D4F4F1" w:themeFill="accent5" w:themeFillTint="32"/>
            <w:noWrap/>
            <w:vAlign w:val="center"/>
          </w:tcPr>
          <w:p w14:paraId="0D8ACCB3">
            <w:pPr>
              <w:widowControl/>
              <w:tabs>
                <w:tab w:val="left" w:pos="1573"/>
              </w:tabs>
              <w:spacing w:after="60"/>
              <w:jc w:val="left"/>
              <w:textAlignment w:val="center"/>
              <w:rPr>
                <w:rFonts w:hint="eastAsia" w:cs="宋体" w:asciiTheme="minorEastAsia" w:hAnsiTheme="minorEastAsia" w:eastAsiaTheme="minorEastAsia"/>
                <w:kern w:val="0"/>
                <w:szCs w:val="21"/>
                <w:lang w:bidi="ar"/>
              </w:rPr>
            </w:pPr>
            <w:r>
              <w:rPr>
                <w:rFonts w:hint="eastAsia" w:ascii="Times New Roman" w:hAnsiTheme="minorHAnsi" w:eastAsiaTheme="minorEastAsia" w:cstheme="minorBidi"/>
                <w:b/>
                <w:bCs/>
                <w:color w:val="FF0000"/>
                <w:szCs w:val="21"/>
                <w:highlight w:val="yellow"/>
              </w:rPr>
              <w:t>1-45项技术要求，需提供具有CMA和CNAS资质的检测机构出具的检测报告（需提供检测中心的CMA和CNAS证书复印件），如果提供多份检测报告，必须证明多份检测报告的面料为同一款面料（原件备查）</w:t>
            </w:r>
          </w:p>
        </w:tc>
      </w:tr>
      <w:tr w14:paraId="28BEEE38">
        <w:tblPrEx>
          <w:tblCellMar>
            <w:top w:w="0" w:type="dxa"/>
            <w:left w:w="108" w:type="dxa"/>
            <w:bottom w:w="0" w:type="dxa"/>
            <w:right w:w="108" w:type="dxa"/>
          </w:tblCellMar>
        </w:tblPrEx>
        <w:trPr>
          <w:trHeight w:val="40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D4F4F1" w:themeFill="accent5" w:themeFillTint="32"/>
            <w:noWrap/>
            <w:vAlign w:val="center"/>
          </w:tcPr>
          <w:p w14:paraId="27DB9F2C">
            <w:pPr>
              <w:widowControl/>
              <w:spacing w:after="60"/>
              <w:jc w:val="center"/>
              <w:textAlignment w:val="center"/>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序号</w:t>
            </w:r>
          </w:p>
        </w:tc>
        <w:tc>
          <w:tcPr>
            <w:tcW w:w="4389" w:type="dxa"/>
            <w:tcBorders>
              <w:top w:val="single" w:color="000000" w:sz="4" w:space="0"/>
              <w:left w:val="single" w:color="000000" w:sz="4" w:space="0"/>
              <w:bottom w:val="single" w:color="000000" w:sz="4" w:space="0"/>
              <w:right w:val="single" w:color="000000" w:sz="4" w:space="0"/>
            </w:tcBorders>
            <w:shd w:val="clear" w:color="auto" w:fill="D4F4F1" w:themeFill="accent5" w:themeFillTint="32"/>
            <w:noWrap/>
            <w:vAlign w:val="center"/>
          </w:tcPr>
          <w:p w14:paraId="2F7618F4">
            <w:pPr>
              <w:widowControl/>
              <w:spacing w:after="60"/>
              <w:jc w:val="center"/>
              <w:textAlignment w:val="center"/>
              <w:rPr>
                <w:rFonts w:hint="eastAsia" w:cs="宋体" w:asciiTheme="minorEastAsia" w:hAnsiTheme="minorEastAsia" w:eastAsiaTheme="minorEastAsia"/>
                <w:szCs w:val="21"/>
              </w:rPr>
            </w:pPr>
            <w:r>
              <w:rPr>
                <w:rFonts w:hint="eastAsia" w:cs="宋体" w:asciiTheme="minorEastAsia" w:hAnsiTheme="minorEastAsia" w:eastAsiaTheme="minorEastAsia"/>
                <w:b/>
                <w:bCs/>
                <w:kern w:val="0"/>
                <w:szCs w:val="21"/>
                <w:lang w:bidi="ar"/>
              </w:rPr>
              <w:t>手动铝合金轨道</w:t>
            </w:r>
          </w:p>
        </w:tc>
        <w:tc>
          <w:tcPr>
            <w:tcW w:w="4261" w:type="dxa"/>
            <w:tcBorders>
              <w:top w:val="single" w:color="000000" w:sz="4" w:space="0"/>
              <w:left w:val="single" w:color="000000" w:sz="4" w:space="0"/>
              <w:bottom w:val="single" w:color="000000" w:sz="4" w:space="0"/>
              <w:right w:val="single" w:color="000000" w:sz="4" w:space="0"/>
            </w:tcBorders>
            <w:shd w:val="clear" w:color="auto" w:fill="D4F4F1" w:themeFill="accent5" w:themeFillTint="32"/>
            <w:noWrap/>
            <w:vAlign w:val="center"/>
          </w:tcPr>
          <w:p w14:paraId="60A8046F">
            <w:pPr>
              <w:widowControl/>
              <w:spacing w:after="60"/>
              <w:jc w:val="center"/>
              <w:textAlignment w:val="center"/>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检测标准、要求</w:t>
            </w:r>
          </w:p>
        </w:tc>
      </w:tr>
      <w:tr w14:paraId="14C16765">
        <w:tblPrEx>
          <w:tblCellMar>
            <w:top w:w="0" w:type="dxa"/>
            <w:left w:w="108" w:type="dxa"/>
            <w:bottom w:w="0" w:type="dxa"/>
            <w:right w:w="108" w:type="dxa"/>
          </w:tblCellMar>
        </w:tblPrEx>
        <w:trPr>
          <w:trHeight w:val="907"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5904B">
            <w:pPr>
              <w:widowControl/>
              <w:spacing w:after="60"/>
              <w:jc w:val="center"/>
              <w:textAlignment w:val="center"/>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46</w:t>
            </w:r>
          </w:p>
        </w:tc>
        <w:tc>
          <w:tcPr>
            <w:tcW w:w="4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D5EB2">
            <w:pPr>
              <w:widowControl/>
              <w:spacing w:after="60"/>
              <w:jc w:val="center"/>
              <w:textAlignment w:val="center"/>
              <w:rPr>
                <w:rFonts w:hint="eastAsia" w:cs="宋体" w:asciiTheme="minorEastAsia" w:hAnsiTheme="minorEastAsia" w:eastAsiaTheme="minorEastAsia"/>
                <w:spacing w:val="1"/>
                <w:szCs w:val="21"/>
              </w:rPr>
            </w:pPr>
            <w:r>
              <w:rPr>
                <w:rFonts w:hint="eastAsia" w:cs="宋体" w:asciiTheme="minorEastAsia" w:hAnsiTheme="minorEastAsia" w:eastAsiaTheme="minorEastAsia"/>
                <w:spacing w:val="1"/>
                <w:szCs w:val="21"/>
              </w:rPr>
              <w:t>每米轨道重量(kg/m)：0. 45~0. 46</w:t>
            </w:r>
          </w:p>
        </w:tc>
        <w:tc>
          <w:tcPr>
            <w:tcW w:w="4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69726">
            <w:pPr>
              <w:pStyle w:val="9"/>
              <w:spacing w:before="115" w:after="60" w:line="308" w:lineRule="auto"/>
              <w:ind w:right="22"/>
              <w:rPr>
                <w:rFonts w:hint="eastAsia" w:asciiTheme="minorEastAsia" w:hAnsiTheme="minorEastAsia" w:eastAsiaTheme="minorEastAsia"/>
                <w:spacing w:val="1"/>
                <w:sz w:val="21"/>
                <w:szCs w:val="21"/>
                <w:lang w:eastAsia="zh-CN"/>
              </w:rPr>
            </w:pPr>
            <w:r>
              <w:rPr>
                <w:rFonts w:hint="eastAsia" w:asciiTheme="minorEastAsia" w:hAnsiTheme="minorEastAsia" w:eastAsiaTheme="minorEastAsia"/>
                <w:spacing w:val="1"/>
                <w:sz w:val="21"/>
                <w:szCs w:val="21"/>
                <w:lang w:eastAsia="zh-CN"/>
              </w:rPr>
              <w:t>按照GB/T 5237.3-2017《铝合金建筑型材 第3部分：电泳涂漆型材》标准检测。</w:t>
            </w:r>
          </w:p>
        </w:tc>
      </w:tr>
      <w:tr w14:paraId="43EDE818">
        <w:tblPrEx>
          <w:tblCellMar>
            <w:top w:w="0" w:type="dxa"/>
            <w:left w:w="108" w:type="dxa"/>
            <w:bottom w:w="0" w:type="dxa"/>
            <w:right w:w="108" w:type="dxa"/>
          </w:tblCellMar>
        </w:tblPrEx>
        <w:trPr>
          <w:trHeight w:val="1104"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85852">
            <w:pPr>
              <w:widowControl/>
              <w:spacing w:after="60"/>
              <w:jc w:val="center"/>
              <w:textAlignment w:val="center"/>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47</w:t>
            </w:r>
          </w:p>
        </w:tc>
        <w:tc>
          <w:tcPr>
            <w:tcW w:w="4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11856">
            <w:pPr>
              <w:widowControl/>
              <w:spacing w:after="60"/>
              <w:jc w:val="left"/>
              <w:textAlignment w:val="center"/>
              <w:rPr>
                <w:rFonts w:hint="eastAsia" w:cs="宋体" w:asciiTheme="minorEastAsia" w:hAnsiTheme="minorEastAsia" w:eastAsiaTheme="minorEastAsia"/>
                <w:szCs w:val="21"/>
              </w:rPr>
            </w:pPr>
            <w:r>
              <w:rPr>
                <w:rFonts w:hint="eastAsia" w:cs="宋体" w:asciiTheme="minorEastAsia" w:hAnsiTheme="minorEastAsia" w:eastAsiaTheme="minorEastAsia"/>
                <w:spacing w:val="1"/>
                <w:szCs w:val="21"/>
              </w:rPr>
              <w:t>化学成分(%)：Mg 0.45~0.9，Si 0.20~0.6，Fe≤0.35，Cu≤0.1，Zn≤0.1，Mn≤0. 10，Cr≤0.10，Ti≤0.10，</w:t>
            </w:r>
          </w:p>
        </w:tc>
        <w:tc>
          <w:tcPr>
            <w:tcW w:w="4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F46DA">
            <w:pPr>
              <w:widowControl/>
              <w:spacing w:after="60"/>
              <w:jc w:val="left"/>
              <w:textAlignment w:val="center"/>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spacing w:val="1"/>
                <w:szCs w:val="21"/>
              </w:rPr>
              <w:t>GB/T 5237.3-2017《铝合金建筑型材 第3部分：电泳涂漆型材》标准检测</w:t>
            </w:r>
          </w:p>
        </w:tc>
      </w:tr>
      <w:tr w14:paraId="48458452">
        <w:tblPrEx>
          <w:tblCellMar>
            <w:top w:w="0" w:type="dxa"/>
            <w:left w:w="108" w:type="dxa"/>
            <w:bottom w:w="0" w:type="dxa"/>
            <w:right w:w="108" w:type="dxa"/>
          </w:tblCellMar>
        </w:tblPrEx>
        <w:trPr>
          <w:trHeight w:val="1129"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DC4D3">
            <w:pPr>
              <w:widowControl/>
              <w:spacing w:after="60"/>
              <w:jc w:val="center"/>
              <w:textAlignment w:val="center"/>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48</w:t>
            </w:r>
          </w:p>
        </w:tc>
        <w:tc>
          <w:tcPr>
            <w:tcW w:w="4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49FE7">
            <w:pPr>
              <w:widowControl/>
              <w:spacing w:after="60"/>
              <w:jc w:val="left"/>
              <w:textAlignment w:val="center"/>
              <w:rPr>
                <w:rFonts w:hint="eastAsia" w:cs="宋体" w:asciiTheme="minorEastAsia" w:hAnsiTheme="minorEastAsia" w:eastAsiaTheme="minorEastAsia"/>
                <w:szCs w:val="21"/>
              </w:rPr>
            </w:pPr>
            <w:r>
              <w:rPr>
                <w:rFonts w:hint="eastAsia" w:cs="宋体" w:asciiTheme="minorEastAsia" w:hAnsiTheme="minorEastAsia" w:eastAsiaTheme="minorEastAsia"/>
                <w:spacing w:val="1"/>
                <w:szCs w:val="21"/>
              </w:rPr>
              <w:t>抗拉强度(Rm):≥175MPa</w:t>
            </w:r>
          </w:p>
        </w:tc>
        <w:tc>
          <w:tcPr>
            <w:tcW w:w="4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7452B">
            <w:pPr>
              <w:pStyle w:val="9"/>
              <w:spacing w:before="115" w:after="60" w:line="308" w:lineRule="auto"/>
              <w:ind w:right="22"/>
              <w:rPr>
                <w:rFonts w:hint="eastAsia" w:asciiTheme="minorEastAsia" w:hAnsiTheme="minorEastAsia" w:eastAsiaTheme="minorEastAsia"/>
                <w:kern w:val="0"/>
                <w:sz w:val="21"/>
                <w:szCs w:val="21"/>
                <w:lang w:eastAsia="zh-CN" w:bidi="ar"/>
              </w:rPr>
            </w:pPr>
            <w:r>
              <w:rPr>
                <w:rFonts w:hint="eastAsia" w:asciiTheme="minorEastAsia" w:hAnsiTheme="minorEastAsia" w:eastAsiaTheme="minorEastAsia"/>
                <w:spacing w:val="1"/>
                <w:sz w:val="21"/>
                <w:szCs w:val="21"/>
                <w:lang w:eastAsia="zh-CN"/>
              </w:rPr>
              <w:t>按照GB/T 5237.3-2017《铝合金建筑型材 第3部分：电泳涂漆型材》标准检测。</w:t>
            </w:r>
          </w:p>
        </w:tc>
      </w:tr>
      <w:tr w14:paraId="2927D557">
        <w:tblPrEx>
          <w:tblCellMar>
            <w:top w:w="0" w:type="dxa"/>
            <w:left w:w="108" w:type="dxa"/>
            <w:bottom w:w="0" w:type="dxa"/>
            <w:right w:w="108" w:type="dxa"/>
          </w:tblCellMar>
        </w:tblPrEx>
        <w:trPr>
          <w:trHeight w:val="1398"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227BD">
            <w:pPr>
              <w:widowControl/>
              <w:spacing w:after="60"/>
              <w:jc w:val="center"/>
              <w:textAlignment w:val="center"/>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49</w:t>
            </w:r>
          </w:p>
        </w:tc>
        <w:tc>
          <w:tcPr>
            <w:tcW w:w="4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B515B">
            <w:pPr>
              <w:widowControl/>
              <w:spacing w:after="60"/>
              <w:jc w:val="left"/>
              <w:textAlignment w:val="center"/>
              <w:rPr>
                <w:rFonts w:hint="eastAsia" w:cs="宋体" w:asciiTheme="minorEastAsia" w:hAnsiTheme="minorEastAsia" w:eastAsiaTheme="minorEastAsia"/>
                <w:szCs w:val="21"/>
              </w:rPr>
            </w:pPr>
            <w:r>
              <w:rPr>
                <w:rFonts w:hint="eastAsia" w:cs="宋体" w:asciiTheme="minorEastAsia" w:hAnsiTheme="minorEastAsia" w:eastAsiaTheme="minorEastAsia"/>
                <w:spacing w:val="1"/>
                <w:szCs w:val="21"/>
              </w:rPr>
              <w:t>断后伸长率（A）：≥6%</w:t>
            </w:r>
          </w:p>
        </w:tc>
        <w:tc>
          <w:tcPr>
            <w:tcW w:w="4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CE5C8">
            <w:pPr>
              <w:pStyle w:val="9"/>
              <w:spacing w:before="115" w:after="60" w:line="308" w:lineRule="auto"/>
              <w:ind w:right="22"/>
              <w:rPr>
                <w:rFonts w:hint="eastAsia" w:asciiTheme="minorEastAsia" w:hAnsiTheme="minorEastAsia" w:eastAsiaTheme="minorEastAsia"/>
                <w:kern w:val="0"/>
                <w:sz w:val="21"/>
                <w:szCs w:val="21"/>
                <w:lang w:eastAsia="zh-CN" w:bidi="ar"/>
              </w:rPr>
            </w:pPr>
            <w:r>
              <w:rPr>
                <w:rFonts w:hint="eastAsia" w:asciiTheme="minorEastAsia" w:hAnsiTheme="minorEastAsia" w:eastAsiaTheme="minorEastAsia"/>
                <w:spacing w:val="1"/>
                <w:sz w:val="21"/>
                <w:szCs w:val="21"/>
                <w:lang w:eastAsia="zh-CN"/>
              </w:rPr>
              <w:t>按照GB/T 5237.3-2017《铝合金建筑型材 第3部分：电泳涂漆型材》标准检测。</w:t>
            </w:r>
          </w:p>
        </w:tc>
      </w:tr>
      <w:tr w14:paraId="5ACD461C">
        <w:tblPrEx>
          <w:tblCellMar>
            <w:top w:w="0" w:type="dxa"/>
            <w:left w:w="108" w:type="dxa"/>
            <w:bottom w:w="0" w:type="dxa"/>
            <w:right w:w="108" w:type="dxa"/>
          </w:tblCellMar>
        </w:tblPrEx>
        <w:trPr>
          <w:trHeight w:val="1398"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04078">
            <w:pPr>
              <w:widowControl/>
              <w:spacing w:after="60"/>
              <w:jc w:val="center"/>
              <w:textAlignment w:val="center"/>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50</w:t>
            </w:r>
          </w:p>
        </w:tc>
        <w:tc>
          <w:tcPr>
            <w:tcW w:w="4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641F0">
            <w:pPr>
              <w:pStyle w:val="9"/>
              <w:spacing w:before="115" w:after="60" w:line="308" w:lineRule="auto"/>
              <w:ind w:right="22"/>
              <w:rPr>
                <w:rFonts w:hint="eastAsia" w:asciiTheme="minorEastAsia" w:hAnsiTheme="minorEastAsia" w:eastAsiaTheme="minorEastAsia"/>
                <w:spacing w:val="1"/>
                <w:sz w:val="21"/>
                <w:szCs w:val="21"/>
                <w:lang w:eastAsia="zh-CN"/>
              </w:rPr>
            </w:pPr>
            <w:r>
              <w:rPr>
                <w:rFonts w:hint="eastAsia" w:asciiTheme="minorEastAsia" w:hAnsiTheme="minorEastAsia" w:eastAsiaTheme="minorEastAsia"/>
                <w:spacing w:val="1"/>
                <w:sz w:val="21"/>
                <w:szCs w:val="21"/>
                <w:lang w:eastAsia="zh-CN"/>
              </w:rPr>
              <w:t>1、轨道材质：铝合金</w:t>
            </w:r>
          </w:p>
          <w:p w14:paraId="4CBC8840">
            <w:pPr>
              <w:pStyle w:val="9"/>
              <w:spacing w:before="115" w:after="60" w:line="308" w:lineRule="auto"/>
              <w:ind w:right="22"/>
              <w:rPr>
                <w:rFonts w:hint="eastAsia" w:asciiTheme="minorEastAsia" w:hAnsiTheme="minorEastAsia" w:eastAsiaTheme="minorEastAsia"/>
                <w:spacing w:val="1"/>
                <w:sz w:val="21"/>
                <w:szCs w:val="21"/>
                <w:lang w:eastAsia="zh-CN"/>
              </w:rPr>
            </w:pPr>
            <w:r>
              <w:rPr>
                <w:rFonts w:hint="eastAsia" w:asciiTheme="minorEastAsia" w:hAnsiTheme="minorEastAsia" w:eastAsiaTheme="minorEastAsia"/>
                <w:spacing w:val="1"/>
                <w:sz w:val="21"/>
                <w:szCs w:val="21"/>
                <w:lang w:eastAsia="zh-CN"/>
              </w:rPr>
              <w:t>2、轨道滑动流畅，静音效果较好</w:t>
            </w:r>
          </w:p>
          <w:p w14:paraId="77C3E706">
            <w:pPr>
              <w:pStyle w:val="9"/>
              <w:spacing w:before="115" w:after="60" w:line="308" w:lineRule="auto"/>
              <w:ind w:right="22"/>
              <w:rPr>
                <w:rFonts w:hint="eastAsia" w:asciiTheme="minorEastAsia" w:hAnsiTheme="minorEastAsia" w:eastAsiaTheme="minorEastAsia"/>
                <w:spacing w:val="1"/>
                <w:sz w:val="21"/>
                <w:szCs w:val="21"/>
                <w:lang w:eastAsia="zh-CN"/>
              </w:rPr>
            </w:pPr>
            <w:r>
              <w:rPr>
                <w:rFonts w:hint="eastAsia" w:asciiTheme="minorEastAsia" w:hAnsiTheme="minorEastAsia" w:eastAsiaTheme="minorEastAsia"/>
                <w:spacing w:val="1"/>
                <w:sz w:val="21"/>
                <w:szCs w:val="21"/>
                <w:lang w:eastAsia="zh-CN"/>
              </w:rPr>
              <w:t>3、轨道规格：宽≥25mm、高≥27mm，壁厚≥1.5mm,弯曲度：0.01-0.15mm之间</w:t>
            </w:r>
          </w:p>
          <w:p w14:paraId="3182C0F9">
            <w:pPr>
              <w:pStyle w:val="9"/>
              <w:spacing w:before="115" w:after="60" w:line="308" w:lineRule="auto"/>
              <w:ind w:right="22"/>
              <w:rPr>
                <w:rFonts w:hint="eastAsia" w:asciiTheme="minorEastAsia" w:hAnsiTheme="minorEastAsia" w:eastAsiaTheme="minorEastAsia"/>
                <w:spacing w:val="1"/>
                <w:sz w:val="21"/>
                <w:szCs w:val="21"/>
                <w:lang w:eastAsia="zh-CN"/>
              </w:rPr>
            </w:pPr>
            <w:r>
              <w:rPr>
                <w:rFonts w:hint="eastAsia" w:asciiTheme="minorEastAsia" w:hAnsiTheme="minorEastAsia" w:eastAsiaTheme="minorEastAsia"/>
                <w:spacing w:val="1"/>
                <w:sz w:val="21"/>
                <w:szCs w:val="21"/>
                <w:lang w:eastAsia="zh-CN"/>
              </w:rPr>
              <w:t>4、滑轮：采用原生树脂，静音效果佳，滑轮负荷范围：1KG/个~10KG/个</w:t>
            </w:r>
          </w:p>
          <w:p w14:paraId="0031EA9A">
            <w:pPr>
              <w:widowControl/>
              <w:spacing w:after="60"/>
              <w:jc w:val="left"/>
              <w:textAlignment w:val="center"/>
              <w:rPr>
                <w:rFonts w:hint="eastAsia" w:cs="宋体" w:asciiTheme="minorEastAsia" w:hAnsiTheme="minorEastAsia" w:eastAsiaTheme="minorEastAsia"/>
                <w:spacing w:val="1"/>
                <w:szCs w:val="21"/>
              </w:rPr>
            </w:pPr>
            <w:r>
              <w:rPr>
                <w:rFonts w:hint="eastAsia" w:cs="宋体" w:asciiTheme="minorEastAsia" w:hAnsiTheme="minorEastAsia" w:eastAsiaTheme="minorEastAsia"/>
                <w:spacing w:val="1"/>
                <w:szCs w:val="21"/>
              </w:rPr>
              <w:t>5、轨道封盖：采用原生树脂或不锈钢，能卡在轨道不易脱落</w:t>
            </w:r>
          </w:p>
        </w:tc>
        <w:tc>
          <w:tcPr>
            <w:tcW w:w="4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1B6C4">
            <w:pPr>
              <w:pStyle w:val="9"/>
              <w:spacing w:before="115" w:after="60" w:line="308" w:lineRule="auto"/>
              <w:ind w:left="3360" w:right="22" w:firstLine="2"/>
              <w:rPr>
                <w:rFonts w:hint="eastAsia" w:asciiTheme="minorEastAsia" w:hAnsiTheme="minorEastAsia" w:eastAsiaTheme="minorEastAsia"/>
                <w:spacing w:val="1"/>
                <w:sz w:val="21"/>
                <w:szCs w:val="21"/>
                <w:lang w:eastAsia="zh-CN"/>
              </w:rPr>
            </w:pPr>
          </w:p>
        </w:tc>
      </w:tr>
    </w:tbl>
    <w:p w14:paraId="21948E15">
      <w:bookmarkStart w:id="14" w:name="_GoBack"/>
      <w:bookmarkEnd w:id="14"/>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00" w:lineRule="auto"/>
      </w:pPr>
      <w:r>
        <w:separator/>
      </w:r>
    </w:p>
  </w:footnote>
  <w:footnote w:type="continuationSeparator" w:id="1">
    <w:p>
      <w:pPr>
        <w:spacing w:before="0" w:after="0" w:line="30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AB0703"/>
    <w:multiLevelType w:val="multilevel"/>
    <w:tmpl w:val="2EAB0703"/>
    <w:lvl w:ilvl="0" w:tentative="0">
      <w:start w:val="1"/>
      <w:numFmt w:val="lowerLetter"/>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40F00898"/>
    <w:multiLevelType w:val="multilevel"/>
    <w:tmpl w:val="40F00898"/>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B551070"/>
    <w:multiLevelType w:val="multilevel"/>
    <w:tmpl w:val="5B551070"/>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
    <w:nsid w:val="6145725B"/>
    <w:multiLevelType w:val="multilevel"/>
    <w:tmpl w:val="6145725B"/>
    <w:lvl w:ilvl="0" w:tentative="0">
      <w:start w:val="1"/>
      <w:numFmt w:val="decimal"/>
      <w:lvlText w:val="%1."/>
      <w:lvlJc w:val="left"/>
      <w:pPr>
        <w:ind w:left="420" w:hanging="420"/>
      </w:pPr>
    </w:lvl>
    <w:lvl w:ilvl="1" w:tentative="0">
      <w:start w:val="1"/>
      <w:numFmt w:val="decimal"/>
      <w:lvlText w:val="%2)"/>
      <w:lvlJc w:val="left"/>
      <w:pPr>
        <w:ind w:left="440" w:hanging="44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231210F"/>
    <w:multiLevelType w:val="multilevel"/>
    <w:tmpl w:val="7231210F"/>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decimal"/>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E6540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Lines="25" w:line="300" w:lineRule="auto"/>
      <w:jc w:val="both"/>
    </w:pPr>
    <w:rPr>
      <w:rFonts w:ascii="Arial" w:hAnsi="Arial" w:eastAsia="宋体" w:cs="Times New Roman"/>
      <w:kern w:val="2"/>
      <w:sz w:val="21"/>
      <w:szCs w:val="24"/>
      <w:lang w:val="en-US" w:eastAsia="zh-CN" w:bidi="ar-SA"/>
    </w:rPr>
  </w:style>
  <w:style w:type="paragraph" w:styleId="2">
    <w:name w:val="heading 1"/>
    <w:basedOn w:val="1"/>
    <w:next w:val="1"/>
    <w:link w:val="6"/>
    <w:qFormat/>
    <w:uiPriority w:val="9"/>
    <w:pPr>
      <w:keepNext/>
      <w:keepLines/>
      <w:spacing w:before="340" w:line="578" w:lineRule="auto"/>
      <w:outlineLvl w:val="0"/>
    </w:pPr>
    <w:rPr>
      <w:b/>
      <w:bCs/>
      <w:kern w:val="44"/>
      <w:sz w:val="44"/>
      <w:szCs w:val="44"/>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1册标题1"/>
    <w:basedOn w:val="1"/>
    <w:next w:val="1"/>
    <w:qFormat/>
    <w:uiPriority w:val="0"/>
    <w:pPr>
      <w:spacing w:beforeLines="50" w:afterLines="50"/>
      <w:jc w:val="center"/>
      <w:outlineLvl w:val="0"/>
    </w:pPr>
    <w:rPr>
      <w:rFonts w:eastAsia="黑体"/>
      <w:b/>
      <w:bCs/>
      <w:sz w:val="48"/>
      <w:szCs w:val="20"/>
    </w:rPr>
  </w:style>
  <w:style w:type="character" w:customStyle="1" w:styleId="6">
    <w:name w:val="标题 1 字符"/>
    <w:basedOn w:val="4"/>
    <w:link w:val="2"/>
    <w:qFormat/>
    <w:uiPriority w:val="0"/>
    <w:rPr>
      <w:b/>
      <w:bCs/>
      <w:kern w:val="44"/>
      <w:sz w:val="44"/>
      <w:szCs w:val="44"/>
    </w:rPr>
  </w:style>
  <w:style w:type="paragraph" w:styleId="7">
    <w:name w:val="List Paragraph"/>
    <w:basedOn w:val="1"/>
    <w:qFormat/>
    <w:uiPriority w:val="0"/>
    <w:pPr>
      <w:spacing w:afterLines="0" w:line="240" w:lineRule="auto"/>
      <w:ind w:firstLine="420" w:firstLineChars="200"/>
    </w:pPr>
    <w:rPr>
      <w:rFonts w:ascii="Calibri" w:hAnsi="Calibri" w:eastAsiaTheme="minorEastAsia" w:cstheme="minorBidi"/>
      <w:szCs w:val="22"/>
    </w:rPr>
  </w:style>
  <w:style w:type="paragraph" w:customStyle="1" w:styleId="8">
    <w:name w:val="文档正文"/>
    <w:basedOn w:val="1"/>
    <w:qFormat/>
    <w:uiPriority w:val="0"/>
    <w:pPr>
      <w:spacing w:afterLines="0" w:line="360" w:lineRule="auto"/>
    </w:pPr>
    <w:rPr>
      <w:rFonts w:cs="Arial"/>
      <w:bCs/>
    </w:rPr>
  </w:style>
  <w:style w:type="paragraph" w:customStyle="1" w:styleId="9">
    <w:name w:val="Table Text"/>
    <w:basedOn w:val="1"/>
    <w:autoRedefine/>
    <w:semiHidden/>
    <w:qFormat/>
    <w:uiPriority w:val="0"/>
    <w:pPr>
      <w:spacing w:afterLines="0" w:line="240" w:lineRule="auto"/>
    </w:pPr>
    <w:rPr>
      <w:rFonts w:ascii="宋体" w:hAnsi="宋体" w:cs="宋体"/>
      <w:sz w:val="24"/>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2025-06-09T09:34:22Z</dcterms:created>
  <dc:creator>Administrator</dc:creator>
  <cp:lastModifiedBy>Administrator</cp:lastModifiedBy>
  <dcterms:modified xsi:type="dcterms:W3CDTF">2025-06-09T09:34:25Z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eyJoZGlkIjoiOWUyODI3ZDg3NjU4NzQ3NjJjMDhkZGY2ODVkYzI0NTAiLCJ1c2VySWQiOiI1MDk5NTI0NTYifQ==</vt:lpwstr>
  </property>
  <property fmtid="{D5CDD505-2E9C-101B-9397-08002B2CF9AE}" pid="4" name="ICV">
    <vt:lpwstr>4EA0E12E956D4B2AA36FCED7B8EAC81B_12</vt:lpwstr>
  </property>
</Properties>
</file>