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90CB3">
      <w:pPr>
        <w:pStyle w:val="3"/>
        <w:numPr>
          <w:numId w:val="0"/>
        </w:numPr>
        <w:spacing w:before="0" w:after="0" w:line="360" w:lineRule="auto"/>
        <w:ind w:leftChars="0"/>
        <w:jc w:val="center"/>
        <w:rPr>
          <w:rFonts w:hint="eastAsia" w:ascii="黑体" w:hAnsi="黑体" w:eastAsia="黑体"/>
          <w:color w:val="000000"/>
        </w:rPr>
      </w:pPr>
      <w:bookmarkStart w:id="7" w:name="_GoBack"/>
      <w:bookmarkStart w:id="0" w:name="_Toc29006"/>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r>
        <w:rPr>
          <w:rFonts w:hint="eastAsia" w:ascii="黑体" w:hAnsi="黑体" w:eastAsia="黑体"/>
          <w:color w:val="000000"/>
        </w:rPr>
        <w:t>招标项目需求</w:t>
      </w:r>
      <w:r>
        <w:rPr>
          <w:rFonts w:ascii="黑体" w:hAnsi="黑体" w:eastAsia="黑体"/>
          <w:color w:val="000000"/>
        </w:rPr>
        <w:fldChar w:fldCharType="end"/>
      </w:r>
      <w:bookmarkEnd w:id="0"/>
    </w:p>
    <w:bookmarkEnd w:id="7"/>
    <w:p w14:paraId="2A2A7A11">
      <w:pPr>
        <w:pStyle w:val="4"/>
        <w:adjustRightInd/>
        <w:spacing w:line="360" w:lineRule="auto"/>
        <w:jc w:val="both"/>
        <w:textAlignment w:val="auto"/>
        <w:rPr>
          <w:rFonts w:hint="eastAsia"/>
          <w:color w:val="000000"/>
          <w:sz w:val="28"/>
          <w:szCs w:val="28"/>
        </w:rPr>
      </w:pPr>
      <w:bookmarkStart w:id="1" w:name="sixxiangmugaisu"/>
      <w:bookmarkEnd w:id="1"/>
      <w:bookmarkStart w:id="2" w:name="_Toc13528"/>
      <w:bookmarkStart w:id="3" w:name="_Toc6848"/>
      <w:r>
        <w:rPr>
          <w:rFonts w:hint="eastAsia"/>
          <w:color w:val="000000"/>
          <w:sz w:val="28"/>
          <w:szCs w:val="28"/>
        </w:rPr>
        <w:t>一、货物清单</w:t>
      </w:r>
      <w:bookmarkEnd w:id="2"/>
      <w:bookmarkEnd w:id="3"/>
    </w:p>
    <w:tbl>
      <w:tblPr>
        <w:tblStyle w:val="7"/>
        <w:tblpPr w:leftFromText="180" w:rightFromText="180" w:vertAnchor="text" w:horzAnchor="margin" w:tblpY="173"/>
        <w:tblW w:w="48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157"/>
        <w:gridCol w:w="938"/>
        <w:gridCol w:w="1074"/>
        <w:gridCol w:w="1342"/>
        <w:gridCol w:w="1878"/>
      </w:tblGrid>
      <w:tr w14:paraId="45A8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1" w:type="pct"/>
            <w:noWrap w:val="0"/>
            <w:vAlign w:val="center"/>
          </w:tcPr>
          <w:p w14:paraId="4EF523FE">
            <w:pPr>
              <w:jc w:val="center"/>
              <w:rPr>
                <w:rFonts w:ascii="宋体" w:hAnsi="宋体"/>
                <w:bCs/>
                <w:szCs w:val="21"/>
              </w:rPr>
            </w:pPr>
            <w:r>
              <w:rPr>
                <w:rFonts w:hint="eastAsia" w:ascii="宋体" w:hAnsi="宋体"/>
                <w:bCs/>
                <w:szCs w:val="21"/>
              </w:rPr>
              <w:t>序号</w:t>
            </w:r>
          </w:p>
        </w:tc>
        <w:tc>
          <w:tcPr>
            <w:tcW w:w="1302" w:type="pct"/>
            <w:noWrap w:val="0"/>
            <w:vAlign w:val="center"/>
          </w:tcPr>
          <w:p w14:paraId="41AC1F3F">
            <w:pPr>
              <w:jc w:val="center"/>
              <w:rPr>
                <w:rFonts w:ascii="宋体" w:hAnsi="宋体"/>
                <w:bCs/>
                <w:szCs w:val="21"/>
              </w:rPr>
            </w:pPr>
            <w:r>
              <w:rPr>
                <w:rFonts w:hint="eastAsia" w:ascii="宋体" w:hAnsi="宋体"/>
                <w:bCs/>
                <w:szCs w:val="21"/>
              </w:rPr>
              <w:t>项目名称</w:t>
            </w:r>
          </w:p>
        </w:tc>
        <w:tc>
          <w:tcPr>
            <w:tcW w:w="566" w:type="pct"/>
            <w:noWrap w:val="0"/>
            <w:vAlign w:val="center"/>
          </w:tcPr>
          <w:p w14:paraId="50E0FA78">
            <w:pPr>
              <w:jc w:val="center"/>
              <w:rPr>
                <w:rFonts w:ascii="宋体" w:hAnsi="宋体"/>
                <w:bCs/>
                <w:szCs w:val="21"/>
              </w:rPr>
            </w:pPr>
            <w:r>
              <w:rPr>
                <w:rFonts w:hint="eastAsia" w:ascii="宋体" w:hAnsi="宋体"/>
                <w:bCs/>
                <w:szCs w:val="21"/>
              </w:rPr>
              <w:t>数量</w:t>
            </w:r>
          </w:p>
        </w:tc>
        <w:tc>
          <w:tcPr>
            <w:tcW w:w="648" w:type="pct"/>
            <w:noWrap w:val="0"/>
            <w:vAlign w:val="center"/>
          </w:tcPr>
          <w:p w14:paraId="7B26E6A8">
            <w:pPr>
              <w:jc w:val="center"/>
              <w:rPr>
                <w:rFonts w:ascii="宋体" w:hAnsi="宋体"/>
                <w:bCs/>
                <w:szCs w:val="21"/>
              </w:rPr>
            </w:pPr>
            <w:r>
              <w:rPr>
                <w:rFonts w:hint="eastAsia" w:ascii="宋体" w:hAnsi="宋体"/>
                <w:bCs/>
                <w:szCs w:val="21"/>
              </w:rPr>
              <w:t>单位</w:t>
            </w:r>
          </w:p>
        </w:tc>
        <w:tc>
          <w:tcPr>
            <w:tcW w:w="810" w:type="pct"/>
            <w:noWrap w:val="0"/>
            <w:vAlign w:val="center"/>
          </w:tcPr>
          <w:p w14:paraId="4AB75CD9">
            <w:pPr>
              <w:jc w:val="center"/>
              <w:rPr>
                <w:rFonts w:ascii="宋体" w:hAnsi="宋体"/>
                <w:b/>
                <w:bCs/>
                <w:color w:val="FF0000"/>
                <w:szCs w:val="21"/>
              </w:rPr>
            </w:pPr>
            <w:r>
              <w:rPr>
                <w:rFonts w:hint="eastAsia" w:ascii="宋体" w:hAnsi="宋体"/>
                <w:b/>
                <w:bCs/>
                <w:color w:val="FF0000"/>
                <w:szCs w:val="21"/>
              </w:rPr>
              <w:t>备注</w:t>
            </w:r>
          </w:p>
        </w:tc>
        <w:tc>
          <w:tcPr>
            <w:tcW w:w="1133" w:type="pct"/>
            <w:noWrap w:val="0"/>
            <w:vAlign w:val="center"/>
          </w:tcPr>
          <w:p w14:paraId="1476B0D2">
            <w:pPr>
              <w:jc w:val="center"/>
              <w:rPr>
                <w:rFonts w:ascii="宋体" w:hAnsi="宋体"/>
                <w:szCs w:val="21"/>
              </w:rPr>
            </w:pPr>
            <w:r>
              <w:rPr>
                <w:rFonts w:hint="eastAsia" w:ascii="宋体" w:hAnsi="宋体"/>
                <w:szCs w:val="21"/>
              </w:rPr>
              <w:t>财政预算限额（元）</w:t>
            </w:r>
          </w:p>
        </w:tc>
      </w:tr>
      <w:tr w14:paraId="75FC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41" w:type="pct"/>
            <w:noWrap w:val="0"/>
            <w:vAlign w:val="center"/>
          </w:tcPr>
          <w:p w14:paraId="47DDF7C6">
            <w:pPr>
              <w:jc w:val="center"/>
              <w:rPr>
                <w:rFonts w:ascii="宋体" w:hAnsi="宋体"/>
                <w:bCs/>
                <w:szCs w:val="21"/>
              </w:rPr>
            </w:pPr>
            <w:r>
              <w:rPr>
                <w:rFonts w:hint="eastAsia" w:ascii="宋体" w:hAnsi="宋体"/>
                <w:bCs/>
                <w:szCs w:val="21"/>
              </w:rPr>
              <w:t>1</w:t>
            </w:r>
          </w:p>
        </w:tc>
        <w:tc>
          <w:tcPr>
            <w:tcW w:w="1302" w:type="pct"/>
            <w:noWrap w:val="0"/>
            <w:vAlign w:val="center"/>
          </w:tcPr>
          <w:p w14:paraId="776DBF1C">
            <w:pPr>
              <w:jc w:val="center"/>
              <w:rPr>
                <w:rFonts w:ascii="宋体" w:hAnsi="宋体"/>
                <w:bCs/>
                <w:szCs w:val="21"/>
              </w:rPr>
            </w:pPr>
            <w:r>
              <w:rPr>
                <w:rFonts w:hint="eastAsia"/>
                <w:b/>
                <w:bCs/>
                <w:szCs w:val="21"/>
              </w:rPr>
              <w:t>深圳中学高中园2025教师宿舍家具采购</w:t>
            </w:r>
          </w:p>
        </w:tc>
        <w:tc>
          <w:tcPr>
            <w:tcW w:w="566" w:type="pct"/>
            <w:noWrap w:val="0"/>
            <w:vAlign w:val="center"/>
          </w:tcPr>
          <w:p w14:paraId="62DD9BF6">
            <w:pPr>
              <w:spacing w:before="100" w:beforeAutospacing="1" w:after="100" w:afterAutospacing="1"/>
              <w:jc w:val="center"/>
              <w:rPr>
                <w:rFonts w:ascii="宋体" w:hAnsi="宋体"/>
                <w:bCs/>
                <w:szCs w:val="21"/>
              </w:rPr>
            </w:pPr>
            <w:r>
              <w:rPr>
                <w:rFonts w:hint="eastAsia" w:ascii="宋体" w:hAnsi="宋体" w:cs="宋体"/>
                <w:szCs w:val="21"/>
              </w:rPr>
              <w:t>1</w:t>
            </w:r>
          </w:p>
        </w:tc>
        <w:tc>
          <w:tcPr>
            <w:tcW w:w="648" w:type="pct"/>
            <w:noWrap w:val="0"/>
            <w:vAlign w:val="center"/>
          </w:tcPr>
          <w:p w14:paraId="632C6CA2">
            <w:pPr>
              <w:spacing w:before="100" w:beforeAutospacing="1" w:after="100" w:afterAutospacing="1"/>
              <w:jc w:val="center"/>
              <w:rPr>
                <w:rFonts w:ascii="宋体" w:hAnsi="宋体"/>
                <w:bCs/>
                <w:szCs w:val="21"/>
              </w:rPr>
            </w:pPr>
            <w:r>
              <w:rPr>
                <w:rFonts w:hint="eastAsia" w:ascii="宋体" w:hAnsi="宋体" w:cs="宋体"/>
                <w:szCs w:val="21"/>
              </w:rPr>
              <w:t>批</w:t>
            </w:r>
          </w:p>
        </w:tc>
        <w:tc>
          <w:tcPr>
            <w:tcW w:w="810" w:type="pct"/>
            <w:noWrap w:val="0"/>
            <w:vAlign w:val="center"/>
          </w:tcPr>
          <w:p w14:paraId="66426885">
            <w:pPr>
              <w:spacing w:before="100" w:beforeAutospacing="1" w:after="100" w:afterAutospacing="1"/>
              <w:jc w:val="center"/>
              <w:rPr>
                <w:rFonts w:ascii="宋体" w:hAnsi="宋体"/>
                <w:b/>
                <w:bCs/>
                <w:color w:val="FF0000"/>
                <w:szCs w:val="21"/>
              </w:rPr>
            </w:pPr>
            <w:r>
              <w:rPr>
                <w:rFonts w:hint="eastAsia" w:ascii="宋体" w:hAnsi="宋体"/>
                <w:b/>
                <w:bCs/>
                <w:color w:val="FF0000"/>
                <w:szCs w:val="21"/>
              </w:rPr>
              <w:t>拒绝进口</w:t>
            </w:r>
          </w:p>
        </w:tc>
        <w:tc>
          <w:tcPr>
            <w:tcW w:w="1133" w:type="pct"/>
            <w:noWrap w:val="0"/>
            <w:vAlign w:val="center"/>
          </w:tcPr>
          <w:p w14:paraId="26F43F30">
            <w:pPr>
              <w:jc w:val="center"/>
              <w:rPr>
                <w:rFonts w:ascii="宋体" w:hAnsi="宋体"/>
                <w:bCs/>
                <w:szCs w:val="21"/>
              </w:rPr>
            </w:pPr>
            <w:r>
              <w:rPr>
                <w:rFonts w:hint="eastAsia" w:ascii="宋体" w:hAnsi="宋体" w:cs="宋体"/>
                <w:szCs w:val="21"/>
              </w:rPr>
              <w:t>443,830.00</w:t>
            </w:r>
          </w:p>
        </w:tc>
      </w:tr>
    </w:tbl>
    <w:p w14:paraId="64A9CE90">
      <w:pPr>
        <w:widowControl/>
        <w:spacing w:line="360" w:lineRule="auto"/>
        <w:ind w:firstLine="422" w:firstLineChars="200"/>
        <w:jc w:val="left"/>
        <w:rPr>
          <w:rFonts w:hint="eastAsia" w:ascii="宋体" w:hAnsi="宋体" w:cs="宋体"/>
          <w:b/>
          <w:bCs/>
          <w:kern w:val="0"/>
          <w:szCs w:val="21"/>
        </w:rPr>
      </w:pPr>
    </w:p>
    <w:tbl>
      <w:tblPr>
        <w:tblStyle w:val="7"/>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538"/>
        <w:gridCol w:w="1203"/>
        <w:gridCol w:w="1533"/>
        <w:gridCol w:w="1412"/>
        <w:gridCol w:w="2109"/>
      </w:tblGrid>
      <w:tr w14:paraId="7CB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24" w:type="pct"/>
            <w:noWrap w:val="0"/>
            <w:vAlign w:val="center"/>
          </w:tcPr>
          <w:p w14:paraId="1E440129">
            <w:pPr>
              <w:jc w:val="center"/>
              <w:rPr>
                <w:rFonts w:ascii="宋体" w:hAnsi="宋体"/>
                <w:bCs/>
                <w:szCs w:val="21"/>
              </w:rPr>
            </w:pPr>
            <w:r>
              <w:rPr>
                <w:rFonts w:hint="eastAsia" w:ascii="宋体" w:hAnsi="宋体"/>
                <w:bCs/>
                <w:szCs w:val="21"/>
              </w:rPr>
              <w:t>序号</w:t>
            </w:r>
          </w:p>
        </w:tc>
        <w:tc>
          <w:tcPr>
            <w:tcW w:w="903" w:type="pct"/>
            <w:noWrap w:val="0"/>
            <w:vAlign w:val="center"/>
          </w:tcPr>
          <w:p w14:paraId="396DAC3B">
            <w:pPr>
              <w:jc w:val="center"/>
              <w:rPr>
                <w:rFonts w:ascii="宋体" w:hAnsi="宋体"/>
                <w:bCs/>
                <w:szCs w:val="21"/>
              </w:rPr>
            </w:pPr>
            <w:r>
              <w:rPr>
                <w:rFonts w:hint="eastAsia" w:ascii="宋体" w:hAnsi="宋体"/>
                <w:bCs/>
                <w:szCs w:val="21"/>
              </w:rPr>
              <w:t>货物名称</w:t>
            </w:r>
          </w:p>
        </w:tc>
        <w:tc>
          <w:tcPr>
            <w:tcW w:w="706" w:type="pct"/>
            <w:noWrap w:val="0"/>
            <w:vAlign w:val="center"/>
          </w:tcPr>
          <w:p w14:paraId="3CAC7E71">
            <w:pPr>
              <w:jc w:val="center"/>
              <w:rPr>
                <w:rFonts w:ascii="宋体" w:hAnsi="宋体"/>
                <w:bCs/>
                <w:szCs w:val="21"/>
              </w:rPr>
            </w:pPr>
            <w:r>
              <w:rPr>
                <w:rFonts w:hint="eastAsia" w:ascii="宋体" w:hAnsi="宋体"/>
                <w:bCs/>
                <w:szCs w:val="21"/>
              </w:rPr>
              <w:t>数量</w:t>
            </w:r>
          </w:p>
        </w:tc>
        <w:tc>
          <w:tcPr>
            <w:tcW w:w="900" w:type="pct"/>
            <w:noWrap w:val="0"/>
            <w:vAlign w:val="center"/>
          </w:tcPr>
          <w:p w14:paraId="4A74708A">
            <w:pPr>
              <w:jc w:val="center"/>
              <w:rPr>
                <w:rFonts w:ascii="宋体" w:hAnsi="宋体"/>
                <w:bCs/>
                <w:szCs w:val="21"/>
              </w:rPr>
            </w:pPr>
            <w:r>
              <w:rPr>
                <w:rFonts w:hint="eastAsia" w:ascii="宋体" w:hAnsi="宋体"/>
                <w:bCs/>
                <w:szCs w:val="21"/>
              </w:rPr>
              <w:t>单位</w:t>
            </w:r>
          </w:p>
        </w:tc>
        <w:tc>
          <w:tcPr>
            <w:tcW w:w="829" w:type="pct"/>
            <w:noWrap w:val="0"/>
            <w:vAlign w:val="center"/>
          </w:tcPr>
          <w:p w14:paraId="360FBECD">
            <w:pPr>
              <w:jc w:val="center"/>
              <w:rPr>
                <w:rFonts w:ascii="宋体" w:hAnsi="宋体"/>
                <w:b/>
                <w:bCs/>
                <w:color w:val="FF0000"/>
                <w:szCs w:val="21"/>
              </w:rPr>
            </w:pPr>
            <w:r>
              <w:rPr>
                <w:rFonts w:hint="eastAsia" w:ascii="宋体" w:hAnsi="宋体"/>
                <w:b/>
                <w:bCs/>
                <w:color w:val="FF0000"/>
                <w:szCs w:val="21"/>
              </w:rPr>
              <w:t>预算金额（元）</w:t>
            </w:r>
          </w:p>
        </w:tc>
        <w:tc>
          <w:tcPr>
            <w:tcW w:w="1238" w:type="pct"/>
            <w:noWrap w:val="0"/>
            <w:vAlign w:val="center"/>
          </w:tcPr>
          <w:p w14:paraId="5BD5733B">
            <w:pPr>
              <w:jc w:val="center"/>
              <w:rPr>
                <w:rFonts w:ascii="宋体" w:hAnsi="宋体"/>
                <w:b/>
                <w:bCs/>
                <w:color w:val="FF0000"/>
                <w:szCs w:val="21"/>
              </w:rPr>
            </w:pPr>
            <w:r>
              <w:rPr>
                <w:rFonts w:hint="eastAsia" w:ascii="宋体" w:hAnsi="宋体"/>
                <w:b/>
                <w:bCs/>
                <w:color w:val="FF0000"/>
                <w:szCs w:val="21"/>
              </w:rPr>
              <w:t>备注</w:t>
            </w:r>
          </w:p>
        </w:tc>
      </w:tr>
      <w:tr w14:paraId="4ABE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62" w:type="pct"/>
            <w:gridSpan w:val="5"/>
            <w:noWrap w:val="0"/>
            <w:vAlign w:val="center"/>
          </w:tcPr>
          <w:p w14:paraId="512DC867">
            <w:pPr>
              <w:spacing w:before="100" w:beforeAutospacing="1" w:after="100" w:afterAutospacing="1"/>
              <w:jc w:val="center"/>
              <w:rPr>
                <w:rFonts w:hint="eastAsia" w:ascii="宋体" w:hAnsi="宋体"/>
                <w:b/>
                <w:bCs/>
                <w:color w:val="FF0000"/>
                <w:szCs w:val="21"/>
              </w:rPr>
            </w:pPr>
            <w:r>
              <w:rPr>
                <w:rFonts w:hint="eastAsia" w:ascii="宋体" w:hAnsi="宋体"/>
                <w:b/>
                <w:bCs/>
                <w:szCs w:val="21"/>
              </w:rPr>
              <w:t>（一）科技高中</w:t>
            </w:r>
          </w:p>
        </w:tc>
        <w:tc>
          <w:tcPr>
            <w:tcW w:w="1238" w:type="pct"/>
            <w:vMerge w:val="restart"/>
            <w:noWrap w:val="0"/>
            <w:vAlign w:val="center"/>
          </w:tcPr>
          <w:p w14:paraId="1115FF0F">
            <w:pPr>
              <w:spacing w:before="100" w:beforeAutospacing="1" w:after="100" w:afterAutospacing="1"/>
              <w:jc w:val="center"/>
              <w:rPr>
                <w:rFonts w:ascii="宋体" w:hAnsi="宋体"/>
                <w:b/>
                <w:bCs/>
                <w:color w:val="FF0000"/>
                <w:szCs w:val="21"/>
              </w:rPr>
            </w:pPr>
            <w:r>
              <w:rPr>
                <w:rFonts w:hint="eastAsia" w:ascii="宋体" w:hAnsi="宋体"/>
                <w:b/>
                <w:bCs/>
                <w:color w:val="FF0000"/>
                <w:szCs w:val="21"/>
              </w:rPr>
              <w:t>拒绝进口</w:t>
            </w:r>
          </w:p>
        </w:tc>
      </w:tr>
      <w:tr w14:paraId="01DA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05195421">
            <w:pPr>
              <w:jc w:val="center"/>
              <w:rPr>
                <w:rFonts w:ascii="宋体" w:hAnsi="宋体"/>
                <w:bCs/>
                <w:szCs w:val="21"/>
              </w:rPr>
            </w:pPr>
            <w:r>
              <w:rPr>
                <w:rFonts w:hint="eastAsia" w:ascii="宋体" w:hAnsi="宋体"/>
                <w:bCs/>
                <w:szCs w:val="21"/>
              </w:rPr>
              <w:t>1</w:t>
            </w:r>
          </w:p>
        </w:tc>
        <w:tc>
          <w:tcPr>
            <w:tcW w:w="903" w:type="pct"/>
            <w:noWrap w:val="0"/>
            <w:vAlign w:val="center"/>
          </w:tcPr>
          <w:p w14:paraId="7901FD07">
            <w:pPr>
              <w:jc w:val="center"/>
              <w:rPr>
                <w:rFonts w:ascii="宋体" w:hAnsi="宋体"/>
                <w:bCs/>
                <w:szCs w:val="21"/>
              </w:rPr>
            </w:pPr>
            <w:r>
              <w:rPr>
                <w:rFonts w:hint="eastAsia" w:ascii="宋体" w:hAnsi="宋体" w:cs="宋体"/>
                <w:color w:val="000000"/>
                <w:kern w:val="0"/>
                <w:sz w:val="22"/>
                <w:szCs w:val="22"/>
                <w:lang w:bidi="ar"/>
              </w:rPr>
              <w:t>1.5米床1</w:t>
            </w:r>
          </w:p>
        </w:tc>
        <w:tc>
          <w:tcPr>
            <w:tcW w:w="706" w:type="pct"/>
            <w:vMerge w:val="restart"/>
            <w:noWrap w:val="0"/>
            <w:vAlign w:val="center"/>
          </w:tcPr>
          <w:p w14:paraId="6AC93385">
            <w:pPr>
              <w:spacing w:before="100" w:beforeAutospacing="1" w:after="100" w:afterAutospacing="1"/>
              <w:jc w:val="center"/>
              <w:rPr>
                <w:rFonts w:ascii="宋体" w:hAnsi="宋体"/>
                <w:bCs/>
                <w:szCs w:val="21"/>
              </w:rPr>
            </w:pPr>
            <w:r>
              <w:rPr>
                <w:rFonts w:hint="eastAsia" w:ascii="宋体" w:hAnsi="宋体" w:cs="宋体"/>
                <w:szCs w:val="21"/>
              </w:rPr>
              <w:t>73</w:t>
            </w:r>
          </w:p>
        </w:tc>
        <w:tc>
          <w:tcPr>
            <w:tcW w:w="900" w:type="pct"/>
            <w:vMerge w:val="restart"/>
            <w:noWrap w:val="0"/>
            <w:vAlign w:val="center"/>
          </w:tcPr>
          <w:p w14:paraId="06707055">
            <w:pPr>
              <w:spacing w:before="100" w:beforeAutospacing="1" w:after="100" w:afterAutospacing="1"/>
              <w:jc w:val="center"/>
              <w:rPr>
                <w:rFonts w:ascii="宋体" w:hAnsi="宋体"/>
                <w:bCs/>
                <w:szCs w:val="21"/>
              </w:rPr>
            </w:pPr>
            <w:r>
              <w:rPr>
                <w:rFonts w:hint="eastAsia" w:ascii="宋体" w:hAnsi="宋体" w:cs="宋体"/>
                <w:szCs w:val="21"/>
              </w:rPr>
              <w:t>套</w:t>
            </w:r>
          </w:p>
        </w:tc>
        <w:tc>
          <w:tcPr>
            <w:tcW w:w="829" w:type="pct"/>
            <w:vMerge w:val="restart"/>
            <w:noWrap w:val="0"/>
            <w:vAlign w:val="center"/>
          </w:tcPr>
          <w:p w14:paraId="6E9360A2">
            <w:pPr>
              <w:spacing w:before="100" w:beforeAutospacing="1" w:after="100" w:afterAutospacing="1"/>
              <w:jc w:val="center"/>
              <w:rPr>
                <w:rFonts w:ascii="宋体" w:hAnsi="宋体"/>
                <w:b/>
                <w:bCs/>
                <w:color w:val="FF0000"/>
                <w:szCs w:val="21"/>
              </w:rPr>
            </w:pPr>
            <w:r>
              <w:rPr>
                <w:rFonts w:hint="eastAsia" w:ascii="宋体" w:hAnsi="宋体"/>
                <w:b/>
                <w:bCs/>
                <w:color w:val="FF0000"/>
                <w:szCs w:val="21"/>
              </w:rPr>
              <w:t>257230</w:t>
            </w:r>
          </w:p>
        </w:tc>
        <w:tc>
          <w:tcPr>
            <w:tcW w:w="1238" w:type="pct"/>
            <w:vMerge w:val="continue"/>
            <w:noWrap w:val="0"/>
            <w:vAlign w:val="center"/>
          </w:tcPr>
          <w:p w14:paraId="3DCBC7DA">
            <w:pPr>
              <w:spacing w:before="100" w:beforeAutospacing="1" w:after="100" w:afterAutospacing="1"/>
              <w:jc w:val="center"/>
              <w:rPr>
                <w:rFonts w:ascii="宋体" w:hAnsi="宋体"/>
                <w:b/>
                <w:bCs/>
                <w:color w:val="FF0000"/>
                <w:szCs w:val="21"/>
              </w:rPr>
            </w:pPr>
          </w:p>
        </w:tc>
      </w:tr>
      <w:tr w14:paraId="116E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649BBCF1">
            <w:pPr>
              <w:jc w:val="center"/>
              <w:rPr>
                <w:rFonts w:hint="eastAsia" w:ascii="宋体" w:hAnsi="宋体"/>
                <w:bCs/>
                <w:szCs w:val="21"/>
              </w:rPr>
            </w:pPr>
            <w:r>
              <w:rPr>
                <w:rFonts w:hint="eastAsia" w:ascii="宋体" w:hAnsi="宋体"/>
                <w:bCs/>
                <w:szCs w:val="21"/>
              </w:rPr>
              <w:t>2</w:t>
            </w:r>
          </w:p>
        </w:tc>
        <w:tc>
          <w:tcPr>
            <w:tcW w:w="903" w:type="pct"/>
            <w:noWrap w:val="0"/>
            <w:vAlign w:val="center"/>
          </w:tcPr>
          <w:p w14:paraId="050C0FEE">
            <w:pPr>
              <w:jc w:val="center"/>
              <w:rPr>
                <w:rFonts w:hint="eastAsia" w:ascii="宋体" w:hAnsi="宋体" w:cs="宋体"/>
                <w:szCs w:val="21"/>
              </w:rPr>
            </w:pPr>
            <w:r>
              <w:rPr>
                <w:rFonts w:ascii="宋体" w:hAnsi="宋体"/>
                <w:color w:val="000000"/>
                <w:szCs w:val="21"/>
              </w:rPr>
              <w:t>床头柜</w:t>
            </w:r>
            <w:r>
              <w:rPr>
                <w:rFonts w:hint="eastAsia" w:ascii="宋体" w:hAnsi="宋体"/>
                <w:color w:val="000000"/>
                <w:szCs w:val="21"/>
              </w:rPr>
              <w:t>1</w:t>
            </w:r>
          </w:p>
        </w:tc>
        <w:tc>
          <w:tcPr>
            <w:tcW w:w="706" w:type="pct"/>
            <w:vMerge w:val="continue"/>
            <w:noWrap w:val="0"/>
            <w:vAlign w:val="center"/>
          </w:tcPr>
          <w:p w14:paraId="449FB2D5">
            <w:pPr>
              <w:spacing w:before="100" w:beforeAutospacing="1" w:after="100" w:afterAutospacing="1"/>
              <w:jc w:val="center"/>
              <w:rPr>
                <w:rFonts w:hint="eastAsia" w:ascii="宋体" w:hAnsi="宋体" w:cs="宋体"/>
                <w:szCs w:val="21"/>
              </w:rPr>
            </w:pPr>
          </w:p>
        </w:tc>
        <w:tc>
          <w:tcPr>
            <w:tcW w:w="900" w:type="pct"/>
            <w:vMerge w:val="continue"/>
            <w:noWrap w:val="0"/>
            <w:vAlign w:val="center"/>
          </w:tcPr>
          <w:p w14:paraId="4C89EAE3">
            <w:pPr>
              <w:spacing w:before="100" w:beforeAutospacing="1" w:after="100" w:afterAutospacing="1"/>
              <w:jc w:val="center"/>
              <w:rPr>
                <w:rFonts w:hint="eastAsia" w:ascii="宋体" w:hAnsi="宋体" w:cs="宋体"/>
                <w:szCs w:val="21"/>
              </w:rPr>
            </w:pPr>
          </w:p>
        </w:tc>
        <w:tc>
          <w:tcPr>
            <w:tcW w:w="829" w:type="pct"/>
            <w:vMerge w:val="continue"/>
            <w:noWrap w:val="0"/>
            <w:vAlign w:val="center"/>
          </w:tcPr>
          <w:p w14:paraId="6046237F">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0E2121B5">
            <w:pPr>
              <w:spacing w:before="100" w:beforeAutospacing="1" w:after="100" w:afterAutospacing="1"/>
              <w:jc w:val="center"/>
              <w:rPr>
                <w:rFonts w:hint="eastAsia" w:ascii="宋体" w:hAnsi="宋体"/>
                <w:b/>
                <w:bCs/>
                <w:color w:val="FF0000"/>
                <w:szCs w:val="21"/>
              </w:rPr>
            </w:pPr>
          </w:p>
        </w:tc>
      </w:tr>
      <w:tr w14:paraId="1C31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775CF4B3">
            <w:pPr>
              <w:jc w:val="center"/>
              <w:rPr>
                <w:rFonts w:hint="eastAsia" w:ascii="宋体" w:hAnsi="宋体"/>
                <w:bCs/>
                <w:szCs w:val="21"/>
              </w:rPr>
            </w:pPr>
            <w:r>
              <w:rPr>
                <w:rFonts w:hint="eastAsia" w:ascii="宋体" w:hAnsi="宋体"/>
                <w:bCs/>
                <w:szCs w:val="21"/>
              </w:rPr>
              <w:t>3</w:t>
            </w:r>
          </w:p>
        </w:tc>
        <w:tc>
          <w:tcPr>
            <w:tcW w:w="903" w:type="pct"/>
            <w:noWrap w:val="0"/>
            <w:vAlign w:val="center"/>
          </w:tcPr>
          <w:p w14:paraId="24AA47B4">
            <w:pPr>
              <w:jc w:val="center"/>
              <w:rPr>
                <w:rFonts w:hint="eastAsia" w:ascii="宋体" w:hAnsi="宋体" w:cs="宋体"/>
                <w:szCs w:val="21"/>
              </w:rPr>
            </w:pPr>
            <w:r>
              <w:rPr>
                <w:rFonts w:ascii="宋体" w:hAnsi="宋体"/>
                <w:color w:val="000000"/>
                <w:szCs w:val="21"/>
              </w:rPr>
              <w:t>床垫</w:t>
            </w:r>
            <w:r>
              <w:rPr>
                <w:rFonts w:hint="eastAsia" w:ascii="宋体" w:hAnsi="宋体"/>
                <w:color w:val="000000"/>
                <w:szCs w:val="21"/>
              </w:rPr>
              <w:t>1</w:t>
            </w:r>
          </w:p>
        </w:tc>
        <w:tc>
          <w:tcPr>
            <w:tcW w:w="706" w:type="pct"/>
            <w:vMerge w:val="continue"/>
            <w:noWrap w:val="0"/>
            <w:vAlign w:val="center"/>
          </w:tcPr>
          <w:p w14:paraId="7D45614E">
            <w:pPr>
              <w:spacing w:before="100" w:beforeAutospacing="1" w:after="100" w:afterAutospacing="1"/>
              <w:jc w:val="center"/>
              <w:rPr>
                <w:rFonts w:hint="eastAsia" w:ascii="宋体" w:hAnsi="宋体" w:cs="宋体"/>
                <w:szCs w:val="21"/>
              </w:rPr>
            </w:pPr>
          </w:p>
        </w:tc>
        <w:tc>
          <w:tcPr>
            <w:tcW w:w="900" w:type="pct"/>
            <w:vMerge w:val="continue"/>
            <w:noWrap w:val="0"/>
            <w:vAlign w:val="center"/>
          </w:tcPr>
          <w:p w14:paraId="64A8EB39">
            <w:pPr>
              <w:spacing w:before="100" w:beforeAutospacing="1" w:after="100" w:afterAutospacing="1"/>
              <w:jc w:val="center"/>
              <w:rPr>
                <w:rFonts w:hint="eastAsia" w:ascii="宋体" w:hAnsi="宋体" w:cs="宋体"/>
                <w:szCs w:val="21"/>
              </w:rPr>
            </w:pPr>
          </w:p>
        </w:tc>
        <w:tc>
          <w:tcPr>
            <w:tcW w:w="829" w:type="pct"/>
            <w:vMerge w:val="continue"/>
            <w:noWrap w:val="0"/>
            <w:vAlign w:val="center"/>
          </w:tcPr>
          <w:p w14:paraId="3C7F7D95">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62A090C9">
            <w:pPr>
              <w:spacing w:before="100" w:beforeAutospacing="1" w:after="100" w:afterAutospacing="1"/>
              <w:jc w:val="center"/>
              <w:rPr>
                <w:rFonts w:hint="eastAsia" w:ascii="宋体" w:hAnsi="宋体"/>
                <w:b/>
                <w:bCs/>
                <w:color w:val="FF0000"/>
                <w:szCs w:val="21"/>
              </w:rPr>
            </w:pPr>
          </w:p>
        </w:tc>
      </w:tr>
      <w:tr w14:paraId="434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48312E5E">
            <w:pPr>
              <w:jc w:val="center"/>
              <w:rPr>
                <w:rFonts w:hint="eastAsia" w:ascii="宋体" w:hAnsi="宋体"/>
                <w:bCs/>
                <w:szCs w:val="21"/>
              </w:rPr>
            </w:pPr>
            <w:r>
              <w:rPr>
                <w:rFonts w:hint="eastAsia" w:ascii="宋体" w:hAnsi="宋体"/>
                <w:bCs/>
                <w:szCs w:val="21"/>
              </w:rPr>
              <w:t>4</w:t>
            </w:r>
          </w:p>
        </w:tc>
        <w:tc>
          <w:tcPr>
            <w:tcW w:w="903" w:type="pct"/>
            <w:noWrap w:val="0"/>
            <w:vAlign w:val="center"/>
          </w:tcPr>
          <w:p w14:paraId="7EBD40B5">
            <w:pPr>
              <w:jc w:val="center"/>
              <w:rPr>
                <w:rFonts w:ascii="宋体" w:hAnsi="宋体"/>
                <w:color w:val="000000"/>
                <w:szCs w:val="21"/>
              </w:rPr>
            </w:pPr>
            <w:r>
              <w:rPr>
                <w:rFonts w:hint="eastAsia" w:ascii="宋体" w:hAnsi="宋体"/>
                <w:color w:val="000000"/>
                <w:szCs w:val="21"/>
              </w:rPr>
              <w:t>书桌1</w:t>
            </w:r>
          </w:p>
        </w:tc>
        <w:tc>
          <w:tcPr>
            <w:tcW w:w="706" w:type="pct"/>
            <w:noWrap w:val="0"/>
            <w:vAlign w:val="center"/>
          </w:tcPr>
          <w:p w14:paraId="5F7A3463">
            <w:pPr>
              <w:jc w:val="center"/>
              <w:rPr>
                <w:rFonts w:hint="eastAsia" w:ascii="宋体" w:hAnsi="宋体"/>
                <w:color w:val="000000"/>
                <w:szCs w:val="21"/>
              </w:rPr>
            </w:pPr>
            <w:r>
              <w:rPr>
                <w:rFonts w:hint="eastAsia" w:ascii="宋体" w:hAnsi="宋体"/>
                <w:color w:val="000000"/>
                <w:szCs w:val="21"/>
              </w:rPr>
              <w:t>3</w:t>
            </w:r>
          </w:p>
        </w:tc>
        <w:tc>
          <w:tcPr>
            <w:tcW w:w="900" w:type="pct"/>
            <w:noWrap w:val="0"/>
            <w:vAlign w:val="center"/>
          </w:tcPr>
          <w:p w14:paraId="53838ED6">
            <w:pPr>
              <w:jc w:val="center"/>
              <w:rPr>
                <w:rFonts w:hint="eastAsia" w:ascii="宋体" w:hAnsi="宋体"/>
                <w:color w:val="000000"/>
                <w:szCs w:val="21"/>
              </w:rPr>
            </w:pPr>
            <w:r>
              <w:rPr>
                <w:rFonts w:hint="eastAsia" w:ascii="宋体" w:hAnsi="宋体"/>
                <w:color w:val="000000"/>
                <w:szCs w:val="21"/>
              </w:rPr>
              <w:t>张</w:t>
            </w:r>
          </w:p>
        </w:tc>
        <w:tc>
          <w:tcPr>
            <w:tcW w:w="829" w:type="pct"/>
            <w:vMerge w:val="continue"/>
            <w:noWrap w:val="0"/>
            <w:vAlign w:val="center"/>
          </w:tcPr>
          <w:p w14:paraId="3EB1501C">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4B03B2AA">
            <w:pPr>
              <w:spacing w:before="100" w:beforeAutospacing="1" w:after="100" w:afterAutospacing="1"/>
              <w:jc w:val="center"/>
              <w:rPr>
                <w:rFonts w:hint="eastAsia" w:ascii="宋体" w:hAnsi="宋体"/>
                <w:b/>
                <w:bCs/>
                <w:color w:val="FF0000"/>
                <w:szCs w:val="21"/>
              </w:rPr>
            </w:pPr>
          </w:p>
        </w:tc>
      </w:tr>
      <w:tr w14:paraId="6D57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4F050194">
            <w:pPr>
              <w:jc w:val="center"/>
              <w:rPr>
                <w:rFonts w:hint="eastAsia" w:ascii="宋体" w:hAnsi="宋体"/>
                <w:bCs/>
                <w:szCs w:val="21"/>
              </w:rPr>
            </w:pPr>
            <w:r>
              <w:rPr>
                <w:rFonts w:hint="eastAsia" w:ascii="宋体" w:hAnsi="宋体"/>
                <w:bCs/>
                <w:szCs w:val="21"/>
              </w:rPr>
              <w:t>5</w:t>
            </w:r>
          </w:p>
        </w:tc>
        <w:tc>
          <w:tcPr>
            <w:tcW w:w="903" w:type="pct"/>
            <w:noWrap w:val="0"/>
            <w:vAlign w:val="center"/>
          </w:tcPr>
          <w:p w14:paraId="52D5D97D">
            <w:pPr>
              <w:jc w:val="center"/>
              <w:rPr>
                <w:rFonts w:ascii="宋体" w:hAnsi="宋体"/>
                <w:color w:val="000000"/>
                <w:szCs w:val="21"/>
              </w:rPr>
            </w:pPr>
            <w:r>
              <w:rPr>
                <w:rFonts w:hint="eastAsia" w:ascii="宋体" w:hAnsi="宋体"/>
                <w:color w:val="000000"/>
                <w:szCs w:val="21"/>
              </w:rPr>
              <w:t>书椅1</w:t>
            </w:r>
          </w:p>
        </w:tc>
        <w:tc>
          <w:tcPr>
            <w:tcW w:w="706" w:type="pct"/>
            <w:noWrap w:val="0"/>
            <w:vAlign w:val="center"/>
          </w:tcPr>
          <w:p w14:paraId="66B90B09">
            <w:pPr>
              <w:jc w:val="center"/>
              <w:rPr>
                <w:rFonts w:hint="eastAsia" w:ascii="宋体" w:hAnsi="宋体"/>
                <w:color w:val="000000"/>
                <w:szCs w:val="21"/>
              </w:rPr>
            </w:pPr>
            <w:r>
              <w:rPr>
                <w:rFonts w:hint="eastAsia" w:ascii="宋体" w:hAnsi="宋体"/>
                <w:color w:val="000000"/>
                <w:szCs w:val="21"/>
              </w:rPr>
              <w:t>14</w:t>
            </w:r>
          </w:p>
        </w:tc>
        <w:tc>
          <w:tcPr>
            <w:tcW w:w="900" w:type="pct"/>
            <w:noWrap w:val="0"/>
            <w:vAlign w:val="center"/>
          </w:tcPr>
          <w:p w14:paraId="3B75B25E">
            <w:pPr>
              <w:jc w:val="center"/>
              <w:rPr>
                <w:rFonts w:hint="eastAsia" w:ascii="宋体" w:hAnsi="宋体"/>
                <w:color w:val="000000"/>
                <w:szCs w:val="21"/>
              </w:rPr>
            </w:pPr>
            <w:r>
              <w:rPr>
                <w:rFonts w:hint="eastAsia" w:ascii="宋体" w:hAnsi="宋体"/>
                <w:color w:val="000000"/>
                <w:szCs w:val="21"/>
              </w:rPr>
              <w:t>把</w:t>
            </w:r>
          </w:p>
        </w:tc>
        <w:tc>
          <w:tcPr>
            <w:tcW w:w="829" w:type="pct"/>
            <w:vMerge w:val="continue"/>
            <w:noWrap w:val="0"/>
            <w:vAlign w:val="center"/>
          </w:tcPr>
          <w:p w14:paraId="62ABAC0A">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5EB03EAB">
            <w:pPr>
              <w:spacing w:before="100" w:beforeAutospacing="1" w:after="100" w:afterAutospacing="1"/>
              <w:jc w:val="center"/>
              <w:rPr>
                <w:rFonts w:hint="eastAsia" w:ascii="宋体" w:hAnsi="宋体"/>
                <w:b/>
                <w:bCs/>
                <w:color w:val="FF0000"/>
                <w:szCs w:val="21"/>
              </w:rPr>
            </w:pPr>
          </w:p>
        </w:tc>
      </w:tr>
      <w:tr w14:paraId="458C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1E0A5799">
            <w:pPr>
              <w:jc w:val="center"/>
              <w:rPr>
                <w:rFonts w:hint="eastAsia" w:ascii="宋体" w:hAnsi="宋体"/>
                <w:bCs/>
                <w:szCs w:val="21"/>
              </w:rPr>
            </w:pPr>
            <w:r>
              <w:rPr>
                <w:rFonts w:hint="eastAsia" w:ascii="宋体" w:hAnsi="宋体"/>
                <w:bCs/>
                <w:szCs w:val="21"/>
              </w:rPr>
              <w:t>6</w:t>
            </w:r>
          </w:p>
        </w:tc>
        <w:tc>
          <w:tcPr>
            <w:tcW w:w="903" w:type="pct"/>
            <w:noWrap w:val="0"/>
            <w:vAlign w:val="center"/>
          </w:tcPr>
          <w:p w14:paraId="228358F3">
            <w:pPr>
              <w:jc w:val="center"/>
              <w:rPr>
                <w:rFonts w:ascii="宋体" w:hAnsi="宋体"/>
                <w:color w:val="000000"/>
                <w:szCs w:val="21"/>
              </w:rPr>
            </w:pPr>
            <w:r>
              <w:rPr>
                <w:rFonts w:hint="eastAsia" w:ascii="宋体" w:hAnsi="宋体"/>
                <w:color w:val="000000"/>
                <w:szCs w:val="21"/>
              </w:rPr>
              <w:t>皮沙发1</w:t>
            </w:r>
          </w:p>
        </w:tc>
        <w:tc>
          <w:tcPr>
            <w:tcW w:w="706" w:type="pct"/>
            <w:noWrap w:val="0"/>
            <w:vAlign w:val="center"/>
          </w:tcPr>
          <w:p w14:paraId="1FAD94B3">
            <w:pPr>
              <w:jc w:val="center"/>
              <w:rPr>
                <w:rFonts w:hint="eastAsia" w:ascii="宋体" w:hAnsi="宋体"/>
                <w:color w:val="000000"/>
                <w:szCs w:val="21"/>
              </w:rPr>
            </w:pPr>
            <w:r>
              <w:rPr>
                <w:rFonts w:hint="eastAsia" w:ascii="宋体" w:hAnsi="宋体"/>
                <w:color w:val="000000"/>
                <w:szCs w:val="21"/>
              </w:rPr>
              <w:t>3</w:t>
            </w:r>
          </w:p>
        </w:tc>
        <w:tc>
          <w:tcPr>
            <w:tcW w:w="900" w:type="pct"/>
            <w:noWrap w:val="0"/>
            <w:vAlign w:val="center"/>
          </w:tcPr>
          <w:p w14:paraId="6259229D">
            <w:pPr>
              <w:jc w:val="center"/>
              <w:rPr>
                <w:rFonts w:hint="eastAsia" w:ascii="宋体" w:hAnsi="宋体"/>
                <w:color w:val="000000"/>
                <w:szCs w:val="21"/>
              </w:rPr>
            </w:pPr>
            <w:r>
              <w:rPr>
                <w:rFonts w:hint="eastAsia" w:ascii="宋体" w:hAnsi="宋体"/>
                <w:color w:val="000000"/>
                <w:szCs w:val="21"/>
              </w:rPr>
              <w:t>张</w:t>
            </w:r>
          </w:p>
        </w:tc>
        <w:tc>
          <w:tcPr>
            <w:tcW w:w="829" w:type="pct"/>
            <w:vMerge w:val="continue"/>
            <w:noWrap w:val="0"/>
            <w:vAlign w:val="center"/>
          </w:tcPr>
          <w:p w14:paraId="3D571039">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380A5C4F">
            <w:pPr>
              <w:spacing w:before="100" w:beforeAutospacing="1" w:after="100" w:afterAutospacing="1"/>
              <w:jc w:val="center"/>
              <w:rPr>
                <w:rFonts w:hint="eastAsia" w:ascii="宋体" w:hAnsi="宋体"/>
                <w:b/>
                <w:bCs/>
                <w:color w:val="FF0000"/>
                <w:szCs w:val="21"/>
              </w:rPr>
            </w:pPr>
          </w:p>
        </w:tc>
      </w:tr>
      <w:tr w14:paraId="11E0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3D9D110F">
            <w:pPr>
              <w:jc w:val="center"/>
              <w:rPr>
                <w:rFonts w:hint="eastAsia" w:ascii="宋体" w:hAnsi="宋体"/>
                <w:bCs/>
                <w:szCs w:val="21"/>
              </w:rPr>
            </w:pPr>
            <w:r>
              <w:rPr>
                <w:rFonts w:hint="eastAsia" w:ascii="宋体" w:hAnsi="宋体"/>
                <w:bCs/>
                <w:szCs w:val="21"/>
              </w:rPr>
              <w:t>7</w:t>
            </w:r>
          </w:p>
        </w:tc>
        <w:tc>
          <w:tcPr>
            <w:tcW w:w="903" w:type="pct"/>
            <w:noWrap w:val="0"/>
            <w:vAlign w:val="center"/>
          </w:tcPr>
          <w:p w14:paraId="7FBE8619">
            <w:pPr>
              <w:jc w:val="center"/>
              <w:rPr>
                <w:rFonts w:ascii="宋体" w:hAnsi="宋体"/>
                <w:color w:val="000000"/>
                <w:szCs w:val="21"/>
              </w:rPr>
            </w:pPr>
            <w:r>
              <w:rPr>
                <w:rFonts w:hint="eastAsia" w:ascii="宋体" w:hAnsi="宋体"/>
                <w:color w:val="000000"/>
                <w:szCs w:val="21"/>
              </w:rPr>
              <w:t>木沙发1</w:t>
            </w:r>
          </w:p>
        </w:tc>
        <w:tc>
          <w:tcPr>
            <w:tcW w:w="706" w:type="pct"/>
            <w:noWrap w:val="0"/>
            <w:vAlign w:val="center"/>
          </w:tcPr>
          <w:p w14:paraId="65643D18">
            <w:pPr>
              <w:jc w:val="center"/>
              <w:rPr>
                <w:rFonts w:hint="eastAsia" w:ascii="宋体" w:hAnsi="宋体"/>
                <w:color w:val="000000"/>
                <w:szCs w:val="21"/>
              </w:rPr>
            </w:pPr>
            <w:r>
              <w:rPr>
                <w:rFonts w:hint="eastAsia" w:ascii="宋体" w:hAnsi="宋体"/>
                <w:color w:val="000000"/>
                <w:szCs w:val="21"/>
              </w:rPr>
              <w:t>2</w:t>
            </w:r>
          </w:p>
        </w:tc>
        <w:tc>
          <w:tcPr>
            <w:tcW w:w="900" w:type="pct"/>
            <w:noWrap w:val="0"/>
            <w:vAlign w:val="center"/>
          </w:tcPr>
          <w:p w14:paraId="521CE306">
            <w:pPr>
              <w:jc w:val="center"/>
              <w:rPr>
                <w:rFonts w:hint="eastAsia" w:ascii="宋体" w:hAnsi="宋体"/>
                <w:color w:val="000000"/>
                <w:szCs w:val="21"/>
              </w:rPr>
            </w:pPr>
            <w:r>
              <w:rPr>
                <w:rFonts w:hint="eastAsia" w:ascii="宋体" w:hAnsi="宋体"/>
                <w:color w:val="000000"/>
                <w:szCs w:val="21"/>
              </w:rPr>
              <w:t>张</w:t>
            </w:r>
          </w:p>
        </w:tc>
        <w:tc>
          <w:tcPr>
            <w:tcW w:w="829" w:type="pct"/>
            <w:vMerge w:val="continue"/>
            <w:noWrap w:val="0"/>
            <w:vAlign w:val="center"/>
          </w:tcPr>
          <w:p w14:paraId="529F10E0">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6C9A2520">
            <w:pPr>
              <w:spacing w:before="100" w:beforeAutospacing="1" w:after="100" w:afterAutospacing="1"/>
              <w:jc w:val="center"/>
              <w:rPr>
                <w:rFonts w:hint="eastAsia" w:ascii="宋体" w:hAnsi="宋体"/>
                <w:b/>
                <w:bCs/>
                <w:color w:val="FF0000"/>
                <w:szCs w:val="21"/>
              </w:rPr>
            </w:pPr>
          </w:p>
        </w:tc>
      </w:tr>
      <w:tr w14:paraId="4401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663EC80C">
            <w:pPr>
              <w:jc w:val="center"/>
              <w:rPr>
                <w:rFonts w:ascii="宋体" w:hAnsi="宋体"/>
                <w:bCs/>
                <w:szCs w:val="21"/>
              </w:rPr>
            </w:pPr>
            <w:r>
              <w:rPr>
                <w:rFonts w:hint="eastAsia" w:ascii="宋体" w:hAnsi="宋体"/>
                <w:bCs/>
                <w:szCs w:val="21"/>
              </w:rPr>
              <w:t>8</w:t>
            </w:r>
          </w:p>
        </w:tc>
        <w:tc>
          <w:tcPr>
            <w:tcW w:w="903" w:type="pct"/>
            <w:noWrap w:val="0"/>
            <w:vAlign w:val="center"/>
          </w:tcPr>
          <w:p w14:paraId="19B3DA8B">
            <w:pPr>
              <w:jc w:val="center"/>
              <w:rPr>
                <w:rFonts w:ascii="宋体" w:hAnsi="宋体"/>
                <w:color w:val="000000"/>
                <w:szCs w:val="21"/>
              </w:rPr>
            </w:pPr>
            <w:r>
              <w:rPr>
                <w:rFonts w:hint="eastAsia" w:ascii="宋体" w:hAnsi="宋体"/>
                <w:color w:val="000000"/>
                <w:szCs w:val="21"/>
              </w:rPr>
              <w:t>茶几1</w:t>
            </w:r>
          </w:p>
        </w:tc>
        <w:tc>
          <w:tcPr>
            <w:tcW w:w="706" w:type="pct"/>
            <w:noWrap w:val="0"/>
            <w:vAlign w:val="center"/>
          </w:tcPr>
          <w:p w14:paraId="162C2CF6">
            <w:pPr>
              <w:jc w:val="center"/>
              <w:rPr>
                <w:rFonts w:hint="eastAsia" w:ascii="宋体" w:hAnsi="宋体"/>
                <w:color w:val="000000"/>
                <w:szCs w:val="21"/>
              </w:rPr>
            </w:pPr>
            <w:r>
              <w:rPr>
                <w:rFonts w:hint="eastAsia" w:ascii="宋体" w:hAnsi="宋体"/>
                <w:color w:val="000000"/>
                <w:szCs w:val="21"/>
              </w:rPr>
              <w:t>6</w:t>
            </w:r>
          </w:p>
        </w:tc>
        <w:tc>
          <w:tcPr>
            <w:tcW w:w="900" w:type="pct"/>
            <w:noWrap w:val="0"/>
            <w:vAlign w:val="center"/>
          </w:tcPr>
          <w:p w14:paraId="76EC0DB3">
            <w:pPr>
              <w:jc w:val="center"/>
              <w:rPr>
                <w:rFonts w:hint="eastAsia" w:ascii="宋体" w:hAnsi="宋体"/>
                <w:color w:val="000000"/>
                <w:szCs w:val="21"/>
              </w:rPr>
            </w:pPr>
            <w:r>
              <w:rPr>
                <w:rFonts w:hint="eastAsia" w:ascii="宋体" w:hAnsi="宋体"/>
                <w:color w:val="000000"/>
                <w:szCs w:val="21"/>
              </w:rPr>
              <w:t>张</w:t>
            </w:r>
          </w:p>
        </w:tc>
        <w:tc>
          <w:tcPr>
            <w:tcW w:w="829" w:type="pct"/>
            <w:vMerge w:val="continue"/>
            <w:noWrap w:val="0"/>
            <w:vAlign w:val="center"/>
          </w:tcPr>
          <w:p w14:paraId="17A9DED9">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3A38081C">
            <w:pPr>
              <w:spacing w:before="100" w:beforeAutospacing="1" w:after="100" w:afterAutospacing="1"/>
              <w:jc w:val="center"/>
              <w:rPr>
                <w:rFonts w:hint="eastAsia" w:ascii="宋体" w:hAnsi="宋体"/>
                <w:b/>
                <w:bCs/>
                <w:color w:val="FF0000"/>
                <w:szCs w:val="21"/>
              </w:rPr>
            </w:pPr>
          </w:p>
        </w:tc>
      </w:tr>
      <w:tr w14:paraId="7EF6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762" w:type="pct"/>
            <w:gridSpan w:val="5"/>
            <w:noWrap w:val="0"/>
            <w:vAlign w:val="center"/>
          </w:tcPr>
          <w:p w14:paraId="7E80DB07">
            <w:pPr>
              <w:spacing w:before="100" w:beforeAutospacing="1" w:after="100" w:afterAutospacing="1"/>
              <w:jc w:val="center"/>
              <w:rPr>
                <w:rFonts w:hint="eastAsia" w:ascii="宋体" w:hAnsi="宋体"/>
                <w:b/>
                <w:bCs/>
                <w:color w:val="FF0000"/>
                <w:szCs w:val="21"/>
              </w:rPr>
            </w:pPr>
            <w:r>
              <w:rPr>
                <w:rFonts w:hint="eastAsia" w:ascii="宋体" w:hAnsi="宋体"/>
                <w:b/>
                <w:bCs/>
                <w:szCs w:val="21"/>
              </w:rPr>
              <w:t>（二）数理高中</w:t>
            </w:r>
          </w:p>
        </w:tc>
        <w:tc>
          <w:tcPr>
            <w:tcW w:w="1238" w:type="pct"/>
            <w:vMerge w:val="continue"/>
            <w:noWrap w:val="0"/>
            <w:vAlign w:val="center"/>
          </w:tcPr>
          <w:p w14:paraId="0EB26302">
            <w:pPr>
              <w:spacing w:before="100" w:beforeAutospacing="1" w:after="100" w:afterAutospacing="1"/>
              <w:jc w:val="center"/>
              <w:rPr>
                <w:rFonts w:hint="eastAsia" w:ascii="宋体" w:hAnsi="宋体"/>
                <w:b/>
                <w:bCs/>
                <w:color w:val="FF0000"/>
                <w:szCs w:val="21"/>
              </w:rPr>
            </w:pPr>
          </w:p>
        </w:tc>
      </w:tr>
      <w:tr w14:paraId="28D5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3295E922">
            <w:pPr>
              <w:jc w:val="center"/>
              <w:rPr>
                <w:rFonts w:hint="eastAsia" w:ascii="宋体" w:hAnsi="宋体"/>
                <w:bCs/>
                <w:szCs w:val="21"/>
              </w:rPr>
            </w:pPr>
            <w:r>
              <w:rPr>
                <w:rFonts w:hint="eastAsia" w:ascii="宋体" w:hAnsi="宋体"/>
                <w:bCs/>
                <w:szCs w:val="21"/>
              </w:rPr>
              <w:t>9</w:t>
            </w:r>
          </w:p>
        </w:tc>
        <w:tc>
          <w:tcPr>
            <w:tcW w:w="903" w:type="pct"/>
            <w:noWrap w:val="0"/>
            <w:vAlign w:val="center"/>
          </w:tcPr>
          <w:p w14:paraId="390037B4">
            <w:pPr>
              <w:jc w:val="center"/>
              <w:rPr>
                <w:rFonts w:ascii="宋体" w:hAnsi="宋体"/>
                <w:color w:val="000000"/>
                <w:szCs w:val="21"/>
              </w:rPr>
            </w:pPr>
            <w:r>
              <w:rPr>
                <w:rFonts w:hint="eastAsia" w:ascii="宋体" w:hAnsi="宋体"/>
                <w:color w:val="000000"/>
                <w:szCs w:val="21"/>
              </w:rPr>
              <w:t>木沙发2</w:t>
            </w:r>
          </w:p>
        </w:tc>
        <w:tc>
          <w:tcPr>
            <w:tcW w:w="706" w:type="pct"/>
            <w:noWrap w:val="0"/>
            <w:vAlign w:val="center"/>
          </w:tcPr>
          <w:p w14:paraId="746FF0C8">
            <w:pPr>
              <w:jc w:val="center"/>
              <w:rPr>
                <w:rFonts w:ascii="宋体" w:hAnsi="宋体"/>
                <w:color w:val="000000"/>
                <w:szCs w:val="21"/>
              </w:rPr>
            </w:pPr>
            <w:r>
              <w:rPr>
                <w:rFonts w:hint="eastAsia" w:ascii="宋体" w:hAnsi="宋体"/>
                <w:color w:val="000000"/>
                <w:szCs w:val="21"/>
              </w:rPr>
              <w:t>24</w:t>
            </w:r>
          </w:p>
        </w:tc>
        <w:tc>
          <w:tcPr>
            <w:tcW w:w="900" w:type="pct"/>
            <w:noWrap w:val="0"/>
            <w:vAlign w:val="center"/>
          </w:tcPr>
          <w:p w14:paraId="2442C634">
            <w:pPr>
              <w:jc w:val="center"/>
              <w:rPr>
                <w:rFonts w:hint="eastAsia" w:ascii="宋体" w:hAnsi="宋体"/>
                <w:color w:val="000000"/>
                <w:szCs w:val="21"/>
              </w:rPr>
            </w:pPr>
            <w:r>
              <w:rPr>
                <w:rFonts w:hint="eastAsia" w:ascii="宋体" w:hAnsi="宋体"/>
                <w:color w:val="000000"/>
                <w:szCs w:val="21"/>
              </w:rPr>
              <w:t>张</w:t>
            </w:r>
          </w:p>
        </w:tc>
        <w:tc>
          <w:tcPr>
            <w:tcW w:w="829" w:type="pct"/>
            <w:vMerge w:val="restart"/>
            <w:noWrap w:val="0"/>
            <w:vAlign w:val="center"/>
          </w:tcPr>
          <w:p w14:paraId="426A4750">
            <w:pPr>
              <w:spacing w:before="100" w:beforeAutospacing="1" w:after="100" w:afterAutospacing="1"/>
              <w:jc w:val="center"/>
              <w:rPr>
                <w:rFonts w:ascii="宋体" w:hAnsi="宋体"/>
                <w:b/>
                <w:bCs/>
                <w:color w:val="FF0000"/>
                <w:szCs w:val="21"/>
              </w:rPr>
            </w:pPr>
            <w:r>
              <w:rPr>
                <w:rFonts w:hint="eastAsia" w:ascii="宋体" w:hAnsi="宋体"/>
                <w:b/>
                <w:bCs/>
                <w:color w:val="FF0000"/>
                <w:szCs w:val="21"/>
              </w:rPr>
              <w:t>94300</w:t>
            </w:r>
          </w:p>
        </w:tc>
        <w:tc>
          <w:tcPr>
            <w:tcW w:w="1238" w:type="pct"/>
            <w:vMerge w:val="continue"/>
            <w:noWrap w:val="0"/>
            <w:vAlign w:val="center"/>
          </w:tcPr>
          <w:p w14:paraId="76175E8B">
            <w:pPr>
              <w:spacing w:before="100" w:beforeAutospacing="1" w:after="100" w:afterAutospacing="1"/>
              <w:jc w:val="center"/>
              <w:rPr>
                <w:rFonts w:hint="eastAsia" w:ascii="宋体" w:hAnsi="宋体"/>
                <w:b/>
                <w:bCs/>
                <w:color w:val="FF0000"/>
                <w:szCs w:val="21"/>
              </w:rPr>
            </w:pPr>
          </w:p>
        </w:tc>
      </w:tr>
      <w:tr w14:paraId="71A0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4F3FBF0B">
            <w:pPr>
              <w:jc w:val="center"/>
              <w:rPr>
                <w:rFonts w:ascii="宋体" w:hAnsi="宋体"/>
                <w:bCs/>
                <w:szCs w:val="21"/>
              </w:rPr>
            </w:pPr>
            <w:r>
              <w:rPr>
                <w:rFonts w:hint="eastAsia" w:ascii="宋体" w:hAnsi="宋体"/>
                <w:bCs/>
                <w:szCs w:val="21"/>
              </w:rPr>
              <w:t>10</w:t>
            </w:r>
          </w:p>
        </w:tc>
        <w:tc>
          <w:tcPr>
            <w:tcW w:w="903" w:type="pct"/>
            <w:noWrap w:val="0"/>
            <w:vAlign w:val="center"/>
          </w:tcPr>
          <w:p w14:paraId="5368288F">
            <w:pPr>
              <w:jc w:val="center"/>
              <w:rPr>
                <w:rFonts w:ascii="宋体" w:hAnsi="宋体"/>
                <w:color w:val="000000"/>
                <w:szCs w:val="21"/>
              </w:rPr>
            </w:pPr>
            <w:r>
              <w:rPr>
                <w:rFonts w:hint="eastAsia" w:ascii="宋体" w:hAnsi="宋体"/>
                <w:color w:val="000000"/>
                <w:szCs w:val="21"/>
              </w:rPr>
              <w:t>茶几2</w:t>
            </w:r>
          </w:p>
        </w:tc>
        <w:tc>
          <w:tcPr>
            <w:tcW w:w="706" w:type="pct"/>
            <w:noWrap w:val="0"/>
            <w:vAlign w:val="center"/>
          </w:tcPr>
          <w:p w14:paraId="510E24AB">
            <w:pPr>
              <w:jc w:val="center"/>
              <w:rPr>
                <w:rFonts w:ascii="宋体" w:hAnsi="宋体"/>
                <w:color w:val="000000"/>
                <w:szCs w:val="21"/>
              </w:rPr>
            </w:pPr>
            <w:r>
              <w:rPr>
                <w:rFonts w:hint="eastAsia" w:ascii="宋体" w:hAnsi="宋体"/>
                <w:color w:val="000000"/>
                <w:szCs w:val="21"/>
              </w:rPr>
              <w:t>23</w:t>
            </w:r>
          </w:p>
        </w:tc>
        <w:tc>
          <w:tcPr>
            <w:tcW w:w="900" w:type="pct"/>
            <w:noWrap w:val="0"/>
            <w:vAlign w:val="center"/>
          </w:tcPr>
          <w:p w14:paraId="43B7E04D">
            <w:pPr>
              <w:jc w:val="center"/>
              <w:rPr>
                <w:rFonts w:hint="eastAsia" w:ascii="宋体" w:hAnsi="宋体"/>
                <w:color w:val="000000"/>
                <w:szCs w:val="21"/>
              </w:rPr>
            </w:pPr>
            <w:r>
              <w:rPr>
                <w:rFonts w:hint="eastAsia" w:ascii="宋体" w:hAnsi="宋体"/>
                <w:color w:val="000000"/>
                <w:szCs w:val="21"/>
              </w:rPr>
              <w:t>张</w:t>
            </w:r>
          </w:p>
        </w:tc>
        <w:tc>
          <w:tcPr>
            <w:tcW w:w="829" w:type="pct"/>
            <w:vMerge w:val="continue"/>
            <w:noWrap w:val="0"/>
            <w:vAlign w:val="center"/>
          </w:tcPr>
          <w:p w14:paraId="036E108E">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3F6A978B">
            <w:pPr>
              <w:spacing w:before="100" w:beforeAutospacing="1" w:after="100" w:afterAutospacing="1"/>
              <w:jc w:val="center"/>
              <w:rPr>
                <w:rFonts w:hint="eastAsia" w:ascii="宋体" w:hAnsi="宋体"/>
                <w:b/>
                <w:bCs/>
                <w:color w:val="FF0000"/>
                <w:szCs w:val="21"/>
              </w:rPr>
            </w:pPr>
          </w:p>
        </w:tc>
      </w:tr>
      <w:tr w14:paraId="3C35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 w:type="pct"/>
            <w:gridSpan w:val="5"/>
            <w:noWrap w:val="0"/>
            <w:vAlign w:val="center"/>
          </w:tcPr>
          <w:p w14:paraId="32A87681">
            <w:pPr>
              <w:spacing w:before="100" w:beforeAutospacing="1" w:after="100" w:afterAutospacing="1"/>
              <w:jc w:val="center"/>
              <w:rPr>
                <w:rFonts w:hint="eastAsia" w:ascii="宋体" w:hAnsi="宋体"/>
                <w:b/>
                <w:bCs/>
                <w:color w:val="FF0000"/>
                <w:szCs w:val="21"/>
              </w:rPr>
            </w:pPr>
            <w:r>
              <w:rPr>
                <w:rFonts w:hint="eastAsia" w:ascii="宋体" w:hAnsi="宋体"/>
                <w:b/>
                <w:bCs/>
                <w:szCs w:val="21"/>
              </w:rPr>
              <w:t>（二）实验高中</w:t>
            </w:r>
          </w:p>
        </w:tc>
        <w:tc>
          <w:tcPr>
            <w:tcW w:w="1238" w:type="pct"/>
            <w:vMerge w:val="continue"/>
            <w:noWrap w:val="0"/>
            <w:vAlign w:val="center"/>
          </w:tcPr>
          <w:p w14:paraId="06EB3069">
            <w:pPr>
              <w:spacing w:before="100" w:beforeAutospacing="1" w:after="100" w:afterAutospacing="1"/>
              <w:jc w:val="center"/>
              <w:rPr>
                <w:rFonts w:hint="eastAsia" w:ascii="宋体" w:hAnsi="宋体"/>
                <w:b/>
                <w:bCs/>
                <w:color w:val="FF0000"/>
                <w:szCs w:val="21"/>
              </w:rPr>
            </w:pPr>
          </w:p>
        </w:tc>
      </w:tr>
      <w:tr w14:paraId="2624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61C492A0">
            <w:pPr>
              <w:jc w:val="center"/>
              <w:rPr>
                <w:rFonts w:ascii="宋体" w:hAnsi="宋体"/>
                <w:bCs/>
                <w:szCs w:val="21"/>
              </w:rPr>
            </w:pPr>
            <w:r>
              <w:rPr>
                <w:rFonts w:hint="eastAsia" w:ascii="宋体" w:hAnsi="宋体"/>
                <w:bCs/>
                <w:szCs w:val="21"/>
              </w:rPr>
              <w:t>11</w:t>
            </w:r>
          </w:p>
        </w:tc>
        <w:tc>
          <w:tcPr>
            <w:tcW w:w="903" w:type="pct"/>
            <w:noWrap w:val="0"/>
            <w:vAlign w:val="center"/>
          </w:tcPr>
          <w:p w14:paraId="011BECCF">
            <w:pPr>
              <w:jc w:val="center"/>
              <w:rPr>
                <w:rFonts w:ascii="宋体" w:hAnsi="宋体"/>
                <w:color w:val="000000"/>
                <w:szCs w:val="21"/>
              </w:rPr>
            </w:pPr>
            <w:r>
              <w:rPr>
                <w:rFonts w:hint="eastAsia" w:ascii="宋体" w:hAnsi="宋体"/>
                <w:color w:val="000000"/>
                <w:szCs w:val="21"/>
              </w:rPr>
              <w:t>木沙发3</w:t>
            </w:r>
          </w:p>
        </w:tc>
        <w:tc>
          <w:tcPr>
            <w:tcW w:w="706" w:type="pct"/>
            <w:noWrap w:val="0"/>
            <w:vAlign w:val="center"/>
          </w:tcPr>
          <w:p w14:paraId="774CF52D">
            <w:pPr>
              <w:jc w:val="center"/>
              <w:rPr>
                <w:rFonts w:hint="eastAsia" w:ascii="宋体" w:hAnsi="宋体"/>
                <w:color w:val="000000"/>
                <w:szCs w:val="21"/>
              </w:rPr>
            </w:pPr>
            <w:r>
              <w:rPr>
                <w:rFonts w:hint="eastAsia" w:ascii="宋体" w:hAnsi="宋体"/>
                <w:color w:val="000000"/>
                <w:szCs w:val="21"/>
              </w:rPr>
              <w:t>24</w:t>
            </w:r>
          </w:p>
        </w:tc>
        <w:tc>
          <w:tcPr>
            <w:tcW w:w="900" w:type="pct"/>
            <w:noWrap w:val="0"/>
            <w:vAlign w:val="center"/>
          </w:tcPr>
          <w:p w14:paraId="0EFB0327">
            <w:pPr>
              <w:jc w:val="center"/>
              <w:rPr>
                <w:rFonts w:hint="eastAsia" w:ascii="宋体" w:hAnsi="宋体"/>
                <w:color w:val="000000"/>
                <w:szCs w:val="21"/>
              </w:rPr>
            </w:pPr>
            <w:r>
              <w:rPr>
                <w:rFonts w:hint="eastAsia" w:ascii="宋体" w:hAnsi="宋体"/>
                <w:color w:val="000000"/>
                <w:szCs w:val="21"/>
              </w:rPr>
              <w:t>张</w:t>
            </w:r>
          </w:p>
        </w:tc>
        <w:tc>
          <w:tcPr>
            <w:tcW w:w="829" w:type="pct"/>
            <w:vMerge w:val="restart"/>
            <w:noWrap w:val="0"/>
            <w:vAlign w:val="center"/>
          </w:tcPr>
          <w:p w14:paraId="63E60688">
            <w:pPr>
              <w:spacing w:before="100" w:beforeAutospacing="1" w:after="100" w:afterAutospacing="1"/>
              <w:jc w:val="center"/>
              <w:rPr>
                <w:rFonts w:ascii="宋体" w:hAnsi="宋体"/>
                <w:b/>
                <w:bCs/>
                <w:color w:val="FF0000"/>
                <w:szCs w:val="21"/>
              </w:rPr>
            </w:pPr>
            <w:r>
              <w:rPr>
                <w:rFonts w:hint="eastAsia" w:ascii="宋体" w:hAnsi="宋体"/>
                <w:b/>
                <w:bCs/>
                <w:color w:val="FF0000"/>
                <w:szCs w:val="21"/>
              </w:rPr>
              <w:t>92300</w:t>
            </w:r>
          </w:p>
        </w:tc>
        <w:tc>
          <w:tcPr>
            <w:tcW w:w="1238" w:type="pct"/>
            <w:vMerge w:val="continue"/>
            <w:noWrap w:val="0"/>
            <w:vAlign w:val="center"/>
          </w:tcPr>
          <w:p w14:paraId="437A90D9">
            <w:pPr>
              <w:spacing w:before="100" w:beforeAutospacing="1" w:after="100" w:afterAutospacing="1"/>
              <w:jc w:val="center"/>
              <w:rPr>
                <w:rFonts w:hint="eastAsia" w:ascii="宋体" w:hAnsi="宋体"/>
                <w:b/>
                <w:bCs/>
                <w:color w:val="FF0000"/>
                <w:szCs w:val="21"/>
              </w:rPr>
            </w:pPr>
          </w:p>
        </w:tc>
      </w:tr>
      <w:tr w14:paraId="5FF6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24" w:type="pct"/>
            <w:noWrap w:val="0"/>
            <w:vAlign w:val="center"/>
          </w:tcPr>
          <w:p w14:paraId="0FF33738">
            <w:pPr>
              <w:jc w:val="center"/>
              <w:rPr>
                <w:rFonts w:ascii="宋体" w:hAnsi="宋体"/>
                <w:bCs/>
                <w:szCs w:val="21"/>
              </w:rPr>
            </w:pPr>
            <w:r>
              <w:rPr>
                <w:rFonts w:hint="eastAsia" w:ascii="宋体" w:hAnsi="宋体"/>
                <w:bCs/>
                <w:szCs w:val="21"/>
              </w:rPr>
              <w:t>12</w:t>
            </w:r>
          </w:p>
        </w:tc>
        <w:tc>
          <w:tcPr>
            <w:tcW w:w="903" w:type="pct"/>
            <w:noWrap w:val="0"/>
            <w:vAlign w:val="center"/>
          </w:tcPr>
          <w:p w14:paraId="0217A1FC">
            <w:pPr>
              <w:jc w:val="center"/>
              <w:rPr>
                <w:rFonts w:ascii="宋体" w:hAnsi="宋体"/>
                <w:color w:val="000000"/>
                <w:szCs w:val="21"/>
              </w:rPr>
            </w:pPr>
            <w:r>
              <w:rPr>
                <w:rFonts w:hint="eastAsia" w:ascii="宋体" w:hAnsi="宋体"/>
                <w:color w:val="000000"/>
                <w:szCs w:val="21"/>
              </w:rPr>
              <w:t>茶几3</w:t>
            </w:r>
          </w:p>
        </w:tc>
        <w:tc>
          <w:tcPr>
            <w:tcW w:w="706" w:type="pct"/>
            <w:noWrap w:val="0"/>
            <w:vAlign w:val="center"/>
          </w:tcPr>
          <w:p w14:paraId="1924C050">
            <w:pPr>
              <w:jc w:val="center"/>
              <w:rPr>
                <w:rFonts w:ascii="宋体" w:hAnsi="宋体"/>
                <w:color w:val="000000"/>
                <w:szCs w:val="21"/>
              </w:rPr>
            </w:pPr>
            <w:r>
              <w:rPr>
                <w:rFonts w:hint="eastAsia" w:ascii="宋体" w:hAnsi="宋体"/>
                <w:color w:val="000000"/>
                <w:szCs w:val="21"/>
              </w:rPr>
              <w:t>21</w:t>
            </w:r>
          </w:p>
        </w:tc>
        <w:tc>
          <w:tcPr>
            <w:tcW w:w="900" w:type="pct"/>
            <w:noWrap w:val="0"/>
            <w:vAlign w:val="center"/>
          </w:tcPr>
          <w:p w14:paraId="0C830471">
            <w:pPr>
              <w:jc w:val="center"/>
              <w:rPr>
                <w:rFonts w:hint="eastAsia" w:ascii="宋体" w:hAnsi="宋体"/>
                <w:color w:val="000000"/>
                <w:szCs w:val="21"/>
              </w:rPr>
            </w:pPr>
            <w:r>
              <w:rPr>
                <w:rFonts w:hint="eastAsia" w:ascii="宋体" w:hAnsi="宋体"/>
                <w:color w:val="000000"/>
                <w:szCs w:val="21"/>
              </w:rPr>
              <w:t>张</w:t>
            </w:r>
          </w:p>
        </w:tc>
        <w:tc>
          <w:tcPr>
            <w:tcW w:w="829" w:type="pct"/>
            <w:vMerge w:val="continue"/>
            <w:noWrap w:val="0"/>
            <w:vAlign w:val="center"/>
          </w:tcPr>
          <w:p w14:paraId="39B19FB3">
            <w:pPr>
              <w:spacing w:before="100" w:beforeAutospacing="1" w:after="100" w:afterAutospacing="1"/>
              <w:jc w:val="center"/>
              <w:rPr>
                <w:rFonts w:hint="eastAsia" w:ascii="宋体" w:hAnsi="宋体"/>
                <w:b/>
                <w:bCs/>
                <w:color w:val="FF0000"/>
                <w:szCs w:val="21"/>
              </w:rPr>
            </w:pPr>
          </w:p>
        </w:tc>
        <w:tc>
          <w:tcPr>
            <w:tcW w:w="1238" w:type="pct"/>
            <w:vMerge w:val="continue"/>
            <w:noWrap w:val="0"/>
            <w:vAlign w:val="center"/>
          </w:tcPr>
          <w:p w14:paraId="37095380">
            <w:pPr>
              <w:spacing w:before="100" w:beforeAutospacing="1" w:after="100" w:afterAutospacing="1"/>
              <w:jc w:val="center"/>
              <w:rPr>
                <w:rFonts w:hint="eastAsia" w:ascii="宋体" w:hAnsi="宋体"/>
                <w:b/>
                <w:bCs/>
                <w:color w:val="FF0000"/>
                <w:szCs w:val="21"/>
              </w:rPr>
            </w:pPr>
          </w:p>
        </w:tc>
      </w:tr>
    </w:tbl>
    <w:p w14:paraId="5C4FA9E1">
      <w:pPr>
        <w:widowControl/>
        <w:spacing w:line="360" w:lineRule="auto"/>
        <w:ind w:firstLine="422" w:firstLineChars="200"/>
        <w:jc w:val="left"/>
        <w:rPr>
          <w:rFonts w:hint="eastAsia" w:ascii="宋体" w:hAnsi="宋体" w:cs="宋体"/>
          <w:b/>
          <w:bCs/>
          <w:kern w:val="0"/>
          <w:szCs w:val="21"/>
        </w:rPr>
      </w:pPr>
    </w:p>
    <w:p w14:paraId="1074E863">
      <w:pPr>
        <w:widowControl/>
        <w:spacing w:line="360" w:lineRule="auto"/>
        <w:ind w:firstLine="422" w:firstLineChars="200"/>
        <w:jc w:val="left"/>
        <w:rPr>
          <w:rFonts w:ascii="宋体" w:hAnsi="宋体" w:cs="宋体"/>
          <w:bCs/>
          <w:kern w:val="0"/>
          <w:szCs w:val="21"/>
        </w:rPr>
      </w:pPr>
      <w:r>
        <w:rPr>
          <w:rFonts w:hint="eastAsia" w:ascii="宋体" w:hAnsi="宋体" w:cs="宋体"/>
          <w:b/>
          <w:bCs/>
          <w:kern w:val="0"/>
          <w:szCs w:val="21"/>
        </w:rPr>
        <w:t>说明：</w:t>
      </w:r>
    </w:p>
    <w:p w14:paraId="44EA360E">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1、进口产品，是指通过中国海关报关验放进入中国境内且产自关境外的产品。</w:t>
      </w:r>
    </w:p>
    <w:p w14:paraId="1E2257B3">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注明“拒绝进口”的产品不接受进口产品参与投标；注明“接受进口”的产品允许投标人选用进口产品参与投标，但不排斥国内产品参与投标。</w:t>
      </w:r>
    </w:p>
    <w:p w14:paraId="232C456F">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2、根据《政府采购货物和服务招标投标管理办法》（财政部令第87号）第31条的规定，提供相同品牌产品的不同投标人参加同一合同项下投标的，处理原则如下：</w:t>
      </w:r>
    </w:p>
    <w:p w14:paraId="1347A1D5">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27CC462">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BFAB43">
      <w:pPr>
        <w:spacing w:after="60" w:line="360" w:lineRule="auto"/>
        <w:ind w:firstLine="411" w:firstLineChars="196"/>
        <w:rPr>
          <w:b/>
        </w:rPr>
      </w:pPr>
      <w:r>
        <w:rPr>
          <w:rFonts w:hint="eastAsia" w:ascii="宋体" w:hAnsi="宋体" w:cs="宋体"/>
          <w:bCs/>
          <w:kern w:val="0"/>
          <w:szCs w:val="21"/>
        </w:rPr>
        <w:t>（3）非单一产品采购项目，采购人应当根据采购项目技术构成、产品价格比重等合理确定核心产品，并在招标文件中载明。多家投标人提供的核心产品品牌相同的，按前两款规定处理。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cs="宋体"/>
          <w:b/>
          <w:bCs/>
          <w:color w:val="FF0000"/>
          <w:kern w:val="0"/>
          <w:szCs w:val="21"/>
          <w:highlight w:val="yellow"/>
        </w:rPr>
        <w:t>（本项目的核心产品为：</w:t>
      </w:r>
      <w:r>
        <w:rPr>
          <w:rFonts w:hint="eastAsia" w:ascii="宋体" w:hAnsi="宋体" w:cs="宋体"/>
          <w:b/>
          <w:bCs/>
          <w:color w:val="FF0000"/>
          <w:kern w:val="0"/>
          <w:sz w:val="24"/>
          <w:highlight w:val="yellow"/>
          <w:u w:val="single"/>
        </w:rPr>
        <w:t>1.5米床1，定制产品</w:t>
      </w:r>
      <w:r>
        <w:rPr>
          <w:rFonts w:hint="eastAsia" w:ascii="宋体" w:hAnsi="宋体" w:cs="宋体"/>
          <w:b/>
          <w:bCs/>
          <w:color w:val="FF0000"/>
          <w:kern w:val="0"/>
          <w:szCs w:val="21"/>
          <w:highlight w:val="yellow"/>
        </w:rPr>
        <w:t>）</w:t>
      </w:r>
    </w:p>
    <w:p w14:paraId="60A089D9">
      <w:pPr>
        <w:spacing w:after="78"/>
        <w:rPr>
          <w:rFonts w:hint="eastAsia" w:cs="宋体"/>
          <w:b/>
          <w:bCs/>
          <w:szCs w:val="21"/>
        </w:rPr>
      </w:pPr>
    </w:p>
    <w:p w14:paraId="573ED5CB">
      <w:pPr>
        <w:pStyle w:val="4"/>
        <w:adjustRightInd/>
        <w:spacing w:line="360" w:lineRule="auto"/>
        <w:jc w:val="both"/>
        <w:textAlignment w:val="auto"/>
        <w:rPr>
          <w:rFonts w:hint="eastAsia"/>
          <w:color w:val="000000"/>
          <w:sz w:val="28"/>
          <w:szCs w:val="28"/>
        </w:rPr>
      </w:pPr>
      <w:bookmarkStart w:id="4" w:name="_Toc2169"/>
      <w:r>
        <w:rPr>
          <w:rFonts w:hint="eastAsia"/>
          <w:color w:val="000000"/>
          <w:sz w:val="28"/>
          <w:szCs w:val="28"/>
        </w:rPr>
        <w:t>二、技术要求</w:t>
      </w:r>
      <w:bookmarkEnd w:id="4"/>
    </w:p>
    <w:p w14:paraId="5F5B112D">
      <w:pPr>
        <w:pStyle w:val="4"/>
        <w:adjustRightInd/>
        <w:spacing w:line="360" w:lineRule="auto"/>
        <w:jc w:val="both"/>
        <w:textAlignment w:val="auto"/>
        <w:rPr>
          <w:rFonts w:hint="eastAsia"/>
          <w:b w:val="0"/>
          <w:bCs w:val="0"/>
          <w:color w:val="000000"/>
          <w:sz w:val="28"/>
          <w:szCs w:val="28"/>
        </w:rPr>
      </w:pPr>
      <w:r>
        <w:rPr>
          <w:rFonts w:hint="eastAsia"/>
          <w:b w:val="0"/>
          <w:bCs w:val="0"/>
          <w:color w:val="000000"/>
          <w:sz w:val="28"/>
          <w:szCs w:val="28"/>
        </w:rPr>
        <w:t>（一）详细技术要求（带“★”指标项为关键参数，如出现负偏离，将被视为未实质性满足招标文件要求作投标无效处理。带“▲”指标项为重要参数，负偏离时依相关评分准则内容作重点扣分处理。评分时以序号进行划分，一个序号所对应的一项参数存在负偏离的情况，按1项参数负偏离进行扣分。）</w:t>
      </w:r>
    </w:p>
    <w:p w14:paraId="50FDF642">
      <w:pPr>
        <w:rPr>
          <w:rFonts w:hint="eastAsia"/>
        </w:rPr>
      </w:pPr>
    </w:p>
    <w:p w14:paraId="067044A0">
      <w:pPr>
        <w:pStyle w:val="2"/>
        <w:rPr>
          <w:rFonts w:hint="eastAsia"/>
        </w:rPr>
      </w:pPr>
    </w:p>
    <w:p w14:paraId="0445BF6A">
      <w:pPr>
        <w:pStyle w:val="2"/>
        <w:rPr>
          <w:rFonts w:hint="eastAsia"/>
        </w:rPr>
      </w:pPr>
    </w:p>
    <w:tbl>
      <w:tblPr>
        <w:tblStyle w:val="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72"/>
        <w:gridCol w:w="1541"/>
        <w:gridCol w:w="6986"/>
      </w:tblGrid>
      <w:tr w14:paraId="13E4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ign w:val="center"/>
          </w:tcPr>
          <w:p w14:paraId="28511B26">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872" w:type="dxa"/>
            <w:noWrap w:val="0"/>
            <w:vAlign w:val="center"/>
          </w:tcPr>
          <w:p w14:paraId="38ABBE6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货物名称</w:t>
            </w:r>
          </w:p>
        </w:tc>
        <w:tc>
          <w:tcPr>
            <w:tcW w:w="1541" w:type="dxa"/>
            <w:noWrap/>
            <w:vAlign w:val="center"/>
          </w:tcPr>
          <w:p w14:paraId="77981F83">
            <w:pPr>
              <w:widowControl/>
              <w:jc w:val="center"/>
              <w:rPr>
                <w:rFonts w:ascii="宋体" w:hAnsi="宋体" w:cs="宋体"/>
                <w:kern w:val="0"/>
                <w:szCs w:val="21"/>
              </w:rPr>
            </w:pPr>
            <w:r>
              <w:rPr>
                <w:rFonts w:hint="eastAsia" w:ascii="宋体" w:hAnsi="宋体" w:cs="宋体"/>
                <w:kern w:val="0"/>
                <w:szCs w:val="21"/>
              </w:rPr>
              <w:t>参考图片</w:t>
            </w:r>
          </w:p>
          <w:p w14:paraId="54EF5551">
            <w:pPr>
              <w:widowControl/>
              <w:spacing w:line="320" w:lineRule="exact"/>
              <w:jc w:val="center"/>
              <w:rPr>
                <w:rFonts w:hint="eastAsia" w:ascii="宋体" w:hAnsi="宋体" w:cs="宋体"/>
                <w:color w:val="000000"/>
                <w:kern w:val="0"/>
                <w:szCs w:val="21"/>
              </w:rPr>
            </w:pPr>
            <w:r>
              <w:rPr>
                <w:rFonts w:hint="eastAsia" w:ascii="宋体" w:hAnsi="宋体" w:cs="宋体"/>
                <w:kern w:val="0"/>
                <w:szCs w:val="21"/>
              </w:rPr>
              <w:t>（仅供参考）</w:t>
            </w:r>
          </w:p>
        </w:tc>
        <w:tc>
          <w:tcPr>
            <w:tcW w:w="6986" w:type="dxa"/>
            <w:noWrap/>
            <w:vAlign w:val="center"/>
          </w:tcPr>
          <w:p w14:paraId="099CBEAE">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技术参数要求</w:t>
            </w:r>
          </w:p>
        </w:tc>
      </w:tr>
      <w:tr w14:paraId="1C57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277736C5">
            <w:pPr>
              <w:spacing w:line="320" w:lineRule="exact"/>
              <w:jc w:val="center"/>
              <w:rPr>
                <w:rFonts w:ascii="宋体" w:hAnsi="宋体"/>
                <w:color w:val="000000"/>
                <w:szCs w:val="21"/>
              </w:rPr>
            </w:pPr>
            <w:r>
              <w:rPr>
                <w:rFonts w:hint="eastAsia" w:ascii="宋体" w:hAnsi="宋体"/>
                <w:color w:val="000000"/>
                <w:szCs w:val="21"/>
              </w:rPr>
              <w:t>1</w:t>
            </w:r>
          </w:p>
        </w:tc>
        <w:tc>
          <w:tcPr>
            <w:tcW w:w="872" w:type="dxa"/>
            <w:vMerge w:val="restart"/>
            <w:noWrap w:val="0"/>
            <w:vAlign w:val="center"/>
          </w:tcPr>
          <w:p w14:paraId="54F4E472">
            <w:pPr>
              <w:widowControl/>
              <w:jc w:val="center"/>
              <w:textAlignment w:val="center"/>
              <w:rPr>
                <w:rFonts w:ascii="宋体" w:hAnsi="宋体"/>
                <w:color w:val="000000"/>
                <w:szCs w:val="21"/>
              </w:rPr>
            </w:pPr>
            <w:r>
              <w:rPr>
                <w:rFonts w:hint="eastAsia" w:ascii="宋体" w:hAnsi="宋体" w:cs="宋体"/>
                <w:color w:val="000000"/>
                <w:kern w:val="0"/>
                <w:sz w:val="22"/>
                <w:szCs w:val="22"/>
                <w:lang w:bidi="ar"/>
              </w:rPr>
              <w:t>1.5米床1</w:t>
            </w:r>
          </w:p>
        </w:tc>
        <w:tc>
          <w:tcPr>
            <w:tcW w:w="1541" w:type="dxa"/>
            <w:vMerge w:val="restart"/>
            <w:noWrap/>
            <w:vAlign w:val="center"/>
          </w:tcPr>
          <w:p w14:paraId="4D4CD7E1">
            <w:pPr>
              <w:widowControl/>
              <w:jc w:val="center"/>
              <w:rPr>
                <w:rFonts w:hint="eastAsia" w:ascii="宋体" w:hAnsi="宋体" w:cs="宋体"/>
                <w:color w:val="000000"/>
                <w:kern w:val="0"/>
                <w:szCs w:val="21"/>
              </w:rPr>
            </w:pPr>
            <w:r>
              <w:drawing>
                <wp:inline distT="0" distB="0" distL="114300" distR="114300">
                  <wp:extent cx="841375" cy="65024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41375" cy="650240"/>
                          </a:xfrm>
                          <a:prstGeom prst="rect">
                            <a:avLst/>
                          </a:prstGeom>
                          <a:noFill/>
                          <a:ln>
                            <a:noFill/>
                          </a:ln>
                        </pic:spPr>
                      </pic:pic>
                    </a:graphicData>
                  </a:graphic>
                </wp:inline>
              </w:drawing>
            </w:r>
          </w:p>
        </w:tc>
        <w:tc>
          <w:tcPr>
            <w:tcW w:w="6986" w:type="dxa"/>
            <w:noWrap/>
            <w:vAlign w:val="center"/>
          </w:tcPr>
          <w:p w14:paraId="3A9DEF9C">
            <w:pPr>
              <w:widowControl/>
              <w:spacing w:line="320" w:lineRule="exact"/>
              <w:rPr>
                <w:rFonts w:hint="eastAsia" w:ascii="宋体" w:hAnsi="宋体" w:cs="宋体"/>
                <w:color w:val="000000"/>
                <w:szCs w:val="21"/>
              </w:rPr>
            </w:pPr>
            <w:r>
              <w:rPr>
                <w:rFonts w:hint="eastAsia" w:ascii="宋体" w:hAnsi="宋体" w:cs="宋体"/>
                <w:color w:val="000000"/>
                <w:szCs w:val="21"/>
              </w:rPr>
              <w:t>1、规格尺寸：W1500×D2000×H400/1000mm(±10mm)</w:t>
            </w:r>
          </w:p>
        </w:tc>
      </w:tr>
      <w:tr w14:paraId="5803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4EEA425">
            <w:pPr>
              <w:spacing w:line="320" w:lineRule="exact"/>
              <w:jc w:val="center"/>
              <w:rPr>
                <w:rFonts w:hint="eastAsia" w:ascii="宋体" w:hAnsi="宋体"/>
                <w:color w:val="000000"/>
                <w:szCs w:val="21"/>
              </w:rPr>
            </w:pPr>
          </w:p>
        </w:tc>
        <w:tc>
          <w:tcPr>
            <w:tcW w:w="872" w:type="dxa"/>
            <w:vMerge w:val="continue"/>
            <w:noWrap w:val="0"/>
            <w:vAlign w:val="center"/>
          </w:tcPr>
          <w:p w14:paraId="73850B56">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575C366C">
            <w:pPr>
              <w:widowControl/>
              <w:jc w:val="center"/>
            </w:pPr>
          </w:p>
        </w:tc>
        <w:tc>
          <w:tcPr>
            <w:tcW w:w="6986" w:type="dxa"/>
            <w:noWrap/>
            <w:vAlign w:val="center"/>
          </w:tcPr>
          <w:p w14:paraId="6F9EA9E3">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3324-2017（或2024）《木家具通用技术条件》。</w:t>
            </w:r>
          </w:p>
        </w:tc>
      </w:tr>
      <w:tr w14:paraId="7F04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0ED14044">
            <w:pPr>
              <w:spacing w:line="320" w:lineRule="exact"/>
              <w:jc w:val="center"/>
              <w:rPr>
                <w:rFonts w:hint="eastAsia" w:ascii="宋体" w:hAnsi="宋体"/>
                <w:color w:val="000000"/>
                <w:szCs w:val="21"/>
              </w:rPr>
            </w:pPr>
          </w:p>
        </w:tc>
        <w:tc>
          <w:tcPr>
            <w:tcW w:w="872" w:type="dxa"/>
            <w:vMerge w:val="continue"/>
            <w:noWrap w:val="0"/>
            <w:vAlign w:val="center"/>
          </w:tcPr>
          <w:p w14:paraId="50DB5E0F">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18FAFEAA">
            <w:pPr>
              <w:widowControl/>
              <w:jc w:val="center"/>
            </w:pPr>
          </w:p>
        </w:tc>
        <w:tc>
          <w:tcPr>
            <w:tcW w:w="6986" w:type="dxa"/>
            <w:noWrap/>
            <w:vAlign w:val="center"/>
          </w:tcPr>
          <w:p w14:paraId="50C75416">
            <w:pPr>
              <w:widowControl/>
              <w:spacing w:line="32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67B5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48763A0">
            <w:pPr>
              <w:spacing w:line="320" w:lineRule="exact"/>
              <w:jc w:val="center"/>
              <w:rPr>
                <w:rFonts w:hint="eastAsia" w:ascii="宋体" w:hAnsi="宋体"/>
                <w:color w:val="000000"/>
                <w:szCs w:val="21"/>
              </w:rPr>
            </w:pPr>
          </w:p>
        </w:tc>
        <w:tc>
          <w:tcPr>
            <w:tcW w:w="872" w:type="dxa"/>
            <w:vMerge w:val="continue"/>
            <w:noWrap w:val="0"/>
            <w:vAlign w:val="center"/>
          </w:tcPr>
          <w:p w14:paraId="304882E5">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1588F349">
            <w:pPr>
              <w:widowControl/>
              <w:jc w:val="center"/>
            </w:pPr>
          </w:p>
        </w:tc>
        <w:tc>
          <w:tcPr>
            <w:tcW w:w="6986" w:type="dxa"/>
            <w:noWrap/>
            <w:vAlign w:val="center"/>
          </w:tcPr>
          <w:p w14:paraId="46780C0E">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06DE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8A29C6C">
            <w:pPr>
              <w:spacing w:line="320" w:lineRule="exact"/>
              <w:jc w:val="center"/>
              <w:rPr>
                <w:rFonts w:hint="eastAsia" w:ascii="宋体" w:hAnsi="宋体"/>
                <w:color w:val="000000"/>
                <w:szCs w:val="21"/>
              </w:rPr>
            </w:pPr>
          </w:p>
        </w:tc>
        <w:tc>
          <w:tcPr>
            <w:tcW w:w="872" w:type="dxa"/>
            <w:vMerge w:val="continue"/>
            <w:noWrap w:val="0"/>
            <w:vAlign w:val="center"/>
          </w:tcPr>
          <w:p w14:paraId="33B5C6BA">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5BC9B668">
            <w:pPr>
              <w:widowControl/>
              <w:jc w:val="center"/>
            </w:pPr>
          </w:p>
        </w:tc>
        <w:tc>
          <w:tcPr>
            <w:tcW w:w="6986" w:type="dxa"/>
            <w:noWrap/>
            <w:vAlign w:val="center"/>
          </w:tcPr>
          <w:p w14:paraId="3B35BE3D">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630D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B8665C7">
            <w:pPr>
              <w:spacing w:line="320" w:lineRule="exact"/>
              <w:jc w:val="center"/>
              <w:rPr>
                <w:rFonts w:hint="eastAsia" w:ascii="宋体" w:hAnsi="宋体"/>
                <w:color w:val="000000"/>
                <w:szCs w:val="21"/>
              </w:rPr>
            </w:pPr>
          </w:p>
        </w:tc>
        <w:tc>
          <w:tcPr>
            <w:tcW w:w="872" w:type="dxa"/>
            <w:vMerge w:val="continue"/>
            <w:noWrap w:val="0"/>
            <w:vAlign w:val="center"/>
          </w:tcPr>
          <w:p w14:paraId="7F497301">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38894B0D">
            <w:pPr>
              <w:widowControl/>
              <w:jc w:val="center"/>
            </w:pPr>
          </w:p>
        </w:tc>
        <w:tc>
          <w:tcPr>
            <w:tcW w:w="6986" w:type="dxa"/>
            <w:noWrap/>
            <w:vAlign w:val="center"/>
          </w:tcPr>
          <w:p w14:paraId="4B7D4476">
            <w:pPr>
              <w:widowControl/>
              <w:spacing w:line="320" w:lineRule="exact"/>
              <w:rPr>
                <w:rFonts w:hint="eastAsia" w:ascii="宋体" w:hAnsi="宋体" w:cs="宋体"/>
                <w:color w:val="000000"/>
                <w:szCs w:val="21"/>
              </w:rPr>
            </w:pPr>
            <w:r>
              <w:rPr>
                <w:rFonts w:hint="eastAsia" w:ascii="宋体" w:hAnsi="宋体" w:cs="宋体"/>
                <w:b/>
                <w:color w:val="FF0000"/>
                <w:kern w:val="0"/>
                <w:szCs w:val="21"/>
              </w:rPr>
              <w:t>▲6、床：依据GB/T 3324-2017（或2024）《木家具通用技术条件》标准，检验结果：床类主要尺寸检测合格；产品外形尺寸偏差检测合格；翘曲度≤1.2mm，平整度≤0.05mm，邻边垂直度≤1.2mm，底脚平稳性≤0.2mm；木材含水率8%～12%；木制件外观和五金件外观未见缺陷检测合格；木工要求未见缺陷检测合格；漆膜外观未见缺陷检测合格；表面理化性能要求（耐液性、耐湿热、附着力、耐干热、耐冷热温差、耐磨性、抗冲击）检测合格；单层床强度和耐久性（床铺面均布静载荷试验、床长边静载荷试验）满足要求检测合格；结构安全满足要求检测合格；甲醛释放量≤0.3mg/L；须提供第三方检测机构出具的具有CMA标志的检测报告扫描件，原件备查，检测报告需体现《床》满足以上参数的检验报告，对应参数在检测报告中标注；</w:t>
            </w:r>
          </w:p>
        </w:tc>
      </w:tr>
      <w:tr w14:paraId="7DBD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7B48AF8A">
            <w:pPr>
              <w:spacing w:line="320" w:lineRule="exact"/>
              <w:jc w:val="center"/>
              <w:rPr>
                <w:rFonts w:ascii="宋体" w:hAnsi="宋体"/>
                <w:color w:val="000000"/>
                <w:szCs w:val="21"/>
              </w:rPr>
            </w:pPr>
            <w:r>
              <w:rPr>
                <w:rFonts w:hint="eastAsia" w:ascii="宋体" w:hAnsi="宋体"/>
                <w:color w:val="000000"/>
                <w:szCs w:val="21"/>
              </w:rPr>
              <w:t>2</w:t>
            </w:r>
          </w:p>
        </w:tc>
        <w:tc>
          <w:tcPr>
            <w:tcW w:w="872" w:type="dxa"/>
            <w:vMerge w:val="restart"/>
            <w:noWrap w:val="0"/>
            <w:vAlign w:val="center"/>
          </w:tcPr>
          <w:p w14:paraId="4D58D9B8">
            <w:pPr>
              <w:widowControl/>
              <w:jc w:val="center"/>
              <w:textAlignment w:val="center"/>
              <w:rPr>
                <w:rFonts w:ascii="宋体" w:hAnsi="宋体"/>
                <w:color w:val="000000"/>
                <w:szCs w:val="21"/>
              </w:rPr>
            </w:pPr>
            <w:r>
              <w:rPr>
                <w:rFonts w:ascii="宋体" w:hAnsi="宋体"/>
                <w:color w:val="000000"/>
                <w:szCs w:val="21"/>
              </w:rPr>
              <w:t>床头柜</w:t>
            </w:r>
            <w:r>
              <w:rPr>
                <w:rFonts w:hint="eastAsia" w:ascii="宋体" w:hAnsi="宋体"/>
                <w:color w:val="000000"/>
                <w:szCs w:val="21"/>
              </w:rPr>
              <w:t>1</w:t>
            </w:r>
          </w:p>
        </w:tc>
        <w:tc>
          <w:tcPr>
            <w:tcW w:w="1541" w:type="dxa"/>
            <w:vMerge w:val="restart"/>
            <w:noWrap/>
            <w:vAlign w:val="center"/>
          </w:tcPr>
          <w:p w14:paraId="0AF1938A">
            <w:pPr>
              <w:widowControl/>
              <w:jc w:val="center"/>
              <w:rPr>
                <w:rFonts w:hint="eastAsia" w:ascii="宋体" w:hAnsi="宋体" w:cs="宋体"/>
                <w:color w:val="000000"/>
                <w:kern w:val="0"/>
                <w:szCs w:val="21"/>
              </w:rPr>
            </w:pPr>
            <w:r>
              <w:drawing>
                <wp:inline distT="0" distB="0" distL="114300" distR="114300">
                  <wp:extent cx="840740" cy="833755"/>
                  <wp:effectExtent l="0" t="0" r="1651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40740" cy="833755"/>
                          </a:xfrm>
                          <a:prstGeom prst="rect">
                            <a:avLst/>
                          </a:prstGeom>
                          <a:noFill/>
                          <a:ln>
                            <a:noFill/>
                          </a:ln>
                        </pic:spPr>
                      </pic:pic>
                    </a:graphicData>
                  </a:graphic>
                </wp:inline>
              </w:drawing>
            </w:r>
          </w:p>
        </w:tc>
        <w:tc>
          <w:tcPr>
            <w:tcW w:w="6986" w:type="dxa"/>
            <w:noWrap/>
            <w:vAlign w:val="center"/>
          </w:tcPr>
          <w:p w14:paraId="2763622B">
            <w:pPr>
              <w:widowControl/>
              <w:spacing w:line="320" w:lineRule="exact"/>
              <w:jc w:val="left"/>
              <w:rPr>
                <w:rFonts w:hint="eastAsia" w:ascii="宋体" w:hAnsi="宋体" w:cs="宋体"/>
                <w:kern w:val="0"/>
                <w:szCs w:val="21"/>
              </w:rPr>
            </w:pPr>
            <w:r>
              <w:rPr>
                <w:rFonts w:hint="eastAsia" w:ascii="宋体" w:hAnsi="宋体" w:cs="宋体"/>
                <w:kern w:val="0"/>
                <w:szCs w:val="21"/>
              </w:rPr>
              <w:t>1、规格尺寸：W430×D390×H480(±10mm)</w:t>
            </w:r>
          </w:p>
        </w:tc>
      </w:tr>
      <w:tr w14:paraId="0244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EA8F816">
            <w:pPr>
              <w:spacing w:line="320" w:lineRule="exact"/>
              <w:jc w:val="center"/>
              <w:rPr>
                <w:rFonts w:hint="eastAsia" w:ascii="宋体" w:hAnsi="宋体"/>
                <w:color w:val="000000"/>
                <w:szCs w:val="21"/>
              </w:rPr>
            </w:pPr>
          </w:p>
        </w:tc>
        <w:tc>
          <w:tcPr>
            <w:tcW w:w="872" w:type="dxa"/>
            <w:vMerge w:val="continue"/>
            <w:noWrap w:val="0"/>
            <w:vAlign w:val="center"/>
          </w:tcPr>
          <w:p w14:paraId="56358AD7">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74DC5D63">
            <w:pPr>
              <w:widowControl/>
              <w:jc w:val="center"/>
            </w:pPr>
          </w:p>
        </w:tc>
        <w:tc>
          <w:tcPr>
            <w:tcW w:w="6986" w:type="dxa"/>
            <w:noWrap/>
            <w:vAlign w:val="center"/>
          </w:tcPr>
          <w:p w14:paraId="1C7CD2F4">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3324-2017（或2024）《木家具通用技术条件》。</w:t>
            </w:r>
          </w:p>
        </w:tc>
      </w:tr>
      <w:tr w14:paraId="71FC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8AA1EDC">
            <w:pPr>
              <w:spacing w:line="320" w:lineRule="exact"/>
              <w:jc w:val="center"/>
              <w:rPr>
                <w:rFonts w:hint="eastAsia" w:ascii="宋体" w:hAnsi="宋体"/>
                <w:color w:val="000000"/>
                <w:szCs w:val="21"/>
              </w:rPr>
            </w:pPr>
          </w:p>
        </w:tc>
        <w:tc>
          <w:tcPr>
            <w:tcW w:w="872" w:type="dxa"/>
            <w:vMerge w:val="continue"/>
            <w:noWrap w:val="0"/>
            <w:vAlign w:val="center"/>
          </w:tcPr>
          <w:p w14:paraId="1F000D29">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32E657BE">
            <w:pPr>
              <w:widowControl/>
              <w:jc w:val="center"/>
            </w:pPr>
          </w:p>
        </w:tc>
        <w:tc>
          <w:tcPr>
            <w:tcW w:w="6986" w:type="dxa"/>
            <w:noWrap/>
            <w:vAlign w:val="center"/>
          </w:tcPr>
          <w:p w14:paraId="0C2D7C55">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3724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F7E34E9">
            <w:pPr>
              <w:spacing w:line="320" w:lineRule="exact"/>
              <w:jc w:val="center"/>
              <w:rPr>
                <w:rFonts w:hint="eastAsia" w:ascii="宋体" w:hAnsi="宋体"/>
                <w:color w:val="000000"/>
                <w:szCs w:val="21"/>
              </w:rPr>
            </w:pPr>
          </w:p>
        </w:tc>
        <w:tc>
          <w:tcPr>
            <w:tcW w:w="872" w:type="dxa"/>
            <w:vMerge w:val="continue"/>
            <w:noWrap w:val="0"/>
            <w:vAlign w:val="center"/>
          </w:tcPr>
          <w:p w14:paraId="54F9AC61">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0435E17F">
            <w:pPr>
              <w:widowControl/>
              <w:jc w:val="center"/>
            </w:pPr>
          </w:p>
        </w:tc>
        <w:tc>
          <w:tcPr>
            <w:tcW w:w="6986" w:type="dxa"/>
            <w:noWrap/>
            <w:vAlign w:val="center"/>
          </w:tcPr>
          <w:p w14:paraId="003454A5">
            <w:pPr>
              <w:widowControl/>
              <w:spacing w:line="320" w:lineRule="exact"/>
              <w:rPr>
                <w:rFonts w:ascii="宋体" w:hAnsi="宋体" w:cs="宋体"/>
                <w:color w:val="000000"/>
                <w:szCs w:val="21"/>
              </w:rPr>
            </w:pPr>
            <w:r>
              <w:rPr>
                <w:rFonts w:hint="eastAsia" w:ascii="宋体" w:hAnsi="宋体" w:cs="宋体"/>
                <w:color w:val="000000"/>
                <w:szCs w:val="21"/>
              </w:rPr>
              <w:t>4、配件：采用优质阻尼导轨及三合一连接件等五金配件，并做防锈、防腐等处理；</w:t>
            </w:r>
          </w:p>
        </w:tc>
      </w:tr>
      <w:tr w14:paraId="2307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E192DE3">
            <w:pPr>
              <w:spacing w:line="320" w:lineRule="exact"/>
              <w:jc w:val="center"/>
              <w:rPr>
                <w:rFonts w:hint="eastAsia" w:ascii="宋体" w:hAnsi="宋体"/>
                <w:color w:val="000000"/>
                <w:szCs w:val="21"/>
              </w:rPr>
            </w:pPr>
          </w:p>
        </w:tc>
        <w:tc>
          <w:tcPr>
            <w:tcW w:w="872" w:type="dxa"/>
            <w:vMerge w:val="continue"/>
            <w:noWrap w:val="0"/>
            <w:vAlign w:val="center"/>
          </w:tcPr>
          <w:p w14:paraId="26737DC4">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6A230E4D">
            <w:pPr>
              <w:widowControl/>
              <w:jc w:val="center"/>
            </w:pPr>
          </w:p>
        </w:tc>
        <w:tc>
          <w:tcPr>
            <w:tcW w:w="6986" w:type="dxa"/>
            <w:noWrap/>
            <w:vAlign w:val="center"/>
          </w:tcPr>
          <w:p w14:paraId="6CE5C554">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44D8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BB2BB84">
            <w:pPr>
              <w:spacing w:line="320" w:lineRule="exact"/>
              <w:jc w:val="center"/>
              <w:rPr>
                <w:rFonts w:hint="eastAsia" w:ascii="宋体" w:hAnsi="宋体"/>
                <w:color w:val="000000"/>
                <w:szCs w:val="21"/>
              </w:rPr>
            </w:pPr>
          </w:p>
        </w:tc>
        <w:tc>
          <w:tcPr>
            <w:tcW w:w="872" w:type="dxa"/>
            <w:vMerge w:val="continue"/>
            <w:noWrap w:val="0"/>
            <w:vAlign w:val="center"/>
          </w:tcPr>
          <w:p w14:paraId="01BFCAF6">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20FDD3C1">
            <w:pPr>
              <w:widowControl/>
              <w:jc w:val="center"/>
            </w:pPr>
          </w:p>
        </w:tc>
        <w:tc>
          <w:tcPr>
            <w:tcW w:w="6986" w:type="dxa"/>
            <w:noWrap/>
            <w:vAlign w:val="center"/>
          </w:tcPr>
          <w:p w14:paraId="3AA6E555">
            <w:pPr>
              <w:widowControl/>
              <w:spacing w:line="320" w:lineRule="exact"/>
              <w:rPr>
                <w:rFonts w:hint="eastAsia" w:ascii="宋体" w:hAnsi="宋体" w:cs="宋体"/>
                <w:color w:val="000000"/>
                <w:szCs w:val="21"/>
              </w:rPr>
            </w:pPr>
            <w:r>
              <w:rPr>
                <w:rFonts w:hint="eastAsia" w:ascii="宋体" w:hAnsi="宋体" w:cs="宋体"/>
                <w:b/>
                <w:color w:val="FF0000"/>
                <w:kern w:val="0"/>
                <w:szCs w:val="21"/>
              </w:rPr>
              <w:t>▲6、床头柜：依据GB/T 3324-2017（或2024）《木家具通用技术条件》标准，检验结果：产品外形尺寸偏差检测合格；翘曲度≤0.8mm，平整度≤0.05mm，邻边垂直度≤1.2mm，位度差≤0.5mm，分缝≤0.12mm，底脚平稳性≤0.4mm，抽屉下垂度≤9mm，抽屉摆动度≤7mm；木材含水率8%～12%；木制件外观和五金件外观未见缺陷检测合格；木工要求未见缺陷检测合格；漆膜外观未见缺陷检测合格；表面理化性能要求（耐液性、耐湿热、附着力、耐干热、耐冷热温差、耐磨性、抗冲击）检测合格；柜类强度和耐久性及稳定性满足要求检测合格；结构安全性满足要求检测合格；甲醛释放量≤0.3mg/L；须提供第三方检测机构出具的具有CMA标志的检测报告扫描件，原件备查，检测报告需体现《床头柜》满足以上参数的检验报告，对应参数在检测报告中标注；</w:t>
            </w:r>
          </w:p>
        </w:tc>
      </w:tr>
      <w:tr w14:paraId="171C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7E695D5B">
            <w:pPr>
              <w:spacing w:line="320" w:lineRule="exact"/>
              <w:jc w:val="center"/>
              <w:rPr>
                <w:rFonts w:ascii="宋体" w:hAnsi="宋体"/>
                <w:color w:val="000000"/>
                <w:szCs w:val="21"/>
              </w:rPr>
            </w:pPr>
            <w:r>
              <w:rPr>
                <w:rFonts w:hint="eastAsia" w:ascii="宋体" w:hAnsi="宋体"/>
                <w:color w:val="000000"/>
                <w:szCs w:val="21"/>
              </w:rPr>
              <w:t>3</w:t>
            </w:r>
          </w:p>
        </w:tc>
        <w:tc>
          <w:tcPr>
            <w:tcW w:w="872" w:type="dxa"/>
            <w:vMerge w:val="restart"/>
            <w:noWrap w:val="0"/>
            <w:vAlign w:val="center"/>
          </w:tcPr>
          <w:p w14:paraId="389D5CC1">
            <w:pPr>
              <w:widowControl/>
              <w:jc w:val="center"/>
              <w:textAlignment w:val="center"/>
              <w:rPr>
                <w:rFonts w:ascii="宋体" w:hAnsi="宋体"/>
                <w:color w:val="000000"/>
                <w:szCs w:val="21"/>
              </w:rPr>
            </w:pPr>
            <w:r>
              <w:rPr>
                <w:rFonts w:ascii="宋体" w:hAnsi="宋体"/>
                <w:color w:val="000000"/>
                <w:szCs w:val="21"/>
              </w:rPr>
              <w:t>床垫</w:t>
            </w:r>
            <w:r>
              <w:rPr>
                <w:rFonts w:hint="eastAsia" w:ascii="宋体" w:hAnsi="宋体"/>
                <w:color w:val="000000"/>
                <w:szCs w:val="21"/>
              </w:rPr>
              <w:t>1</w:t>
            </w:r>
          </w:p>
        </w:tc>
        <w:tc>
          <w:tcPr>
            <w:tcW w:w="1541" w:type="dxa"/>
            <w:vMerge w:val="restart"/>
            <w:noWrap/>
            <w:vAlign w:val="center"/>
          </w:tcPr>
          <w:p w14:paraId="28713877">
            <w:pPr>
              <w:widowControl/>
              <w:jc w:val="center"/>
            </w:pPr>
          </w:p>
          <w:p w14:paraId="6371948B">
            <w:pPr>
              <w:widowControl/>
              <w:jc w:val="center"/>
              <w:rPr>
                <w:rFonts w:hint="eastAsia" w:ascii="宋体" w:hAnsi="宋体" w:cs="宋体"/>
                <w:color w:val="000000"/>
                <w:kern w:val="0"/>
                <w:szCs w:val="21"/>
              </w:rPr>
            </w:pPr>
            <w:r>
              <w:drawing>
                <wp:inline distT="0" distB="0" distL="114300" distR="114300">
                  <wp:extent cx="841375" cy="620395"/>
                  <wp:effectExtent l="0" t="0" r="158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1375" cy="620395"/>
                          </a:xfrm>
                          <a:prstGeom prst="rect">
                            <a:avLst/>
                          </a:prstGeom>
                          <a:noFill/>
                          <a:ln>
                            <a:noFill/>
                          </a:ln>
                        </pic:spPr>
                      </pic:pic>
                    </a:graphicData>
                  </a:graphic>
                </wp:inline>
              </w:drawing>
            </w:r>
          </w:p>
        </w:tc>
        <w:tc>
          <w:tcPr>
            <w:tcW w:w="6986" w:type="dxa"/>
            <w:noWrap/>
            <w:vAlign w:val="center"/>
          </w:tcPr>
          <w:p w14:paraId="74959DED">
            <w:pPr>
              <w:widowControl/>
              <w:spacing w:line="320" w:lineRule="exact"/>
              <w:rPr>
                <w:rFonts w:hint="eastAsia" w:ascii="宋体" w:hAnsi="宋体" w:cs="宋体"/>
                <w:color w:val="000000"/>
                <w:szCs w:val="21"/>
              </w:rPr>
            </w:pPr>
            <w:r>
              <w:rPr>
                <w:rFonts w:hint="eastAsia" w:ascii="宋体" w:hAnsi="宋体" w:cs="宋体"/>
                <w:color w:val="000000"/>
                <w:szCs w:val="21"/>
              </w:rPr>
              <w:t>1、规格尺寸：W2000×D1500×H220mm(±10mm)</w:t>
            </w:r>
          </w:p>
        </w:tc>
      </w:tr>
      <w:tr w14:paraId="152F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992BE1A">
            <w:pPr>
              <w:spacing w:line="320" w:lineRule="exact"/>
              <w:jc w:val="center"/>
              <w:rPr>
                <w:rFonts w:hint="eastAsia" w:ascii="宋体" w:hAnsi="宋体"/>
                <w:color w:val="000000"/>
                <w:szCs w:val="21"/>
              </w:rPr>
            </w:pPr>
          </w:p>
        </w:tc>
        <w:tc>
          <w:tcPr>
            <w:tcW w:w="872" w:type="dxa"/>
            <w:vMerge w:val="continue"/>
            <w:noWrap w:val="0"/>
            <w:vAlign w:val="center"/>
          </w:tcPr>
          <w:p w14:paraId="5C3BA054">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79EB54BB">
            <w:pPr>
              <w:widowControl/>
              <w:jc w:val="center"/>
            </w:pPr>
          </w:p>
        </w:tc>
        <w:tc>
          <w:tcPr>
            <w:tcW w:w="6986" w:type="dxa"/>
            <w:noWrap/>
            <w:vAlign w:val="center"/>
          </w:tcPr>
          <w:p w14:paraId="58DCAA67">
            <w:pPr>
              <w:widowControl/>
              <w:spacing w:line="320" w:lineRule="exact"/>
              <w:rPr>
                <w:rFonts w:ascii="宋体" w:hAnsi="宋体" w:cs="宋体"/>
                <w:color w:val="000000"/>
                <w:szCs w:val="21"/>
              </w:rPr>
            </w:pPr>
            <w:r>
              <w:rPr>
                <w:rFonts w:hint="eastAsia" w:ascii="宋体" w:hAnsi="宋体" w:cs="宋体"/>
                <w:color w:val="000000"/>
                <w:szCs w:val="21"/>
              </w:rPr>
              <w:t>2、面料：采用防螨针织布饰面，面料细腻柔软，触感舒适；</w:t>
            </w:r>
          </w:p>
        </w:tc>
      </w:tr>
      <w:tr w14:paraId="6F3F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2C7684A5">
            <w:pPr>
              <w:spacing w:line="320" w:lineRule="exact"/>
              <w:jc w:val="center"/>
              <w:rPr>
                <w:rFonts w:hint="eastAsia" w:ascii="宋体" w:hAnsi="宋体"/>
                <w:color w:val="000000"/>
                <w:szCs w:val="21"/>
              </w:rPr>
            </w:pPr>
          </w:p>
        </w:tc>
        <w:tc>
          <w:tcPr>
            <w:tcW w:w="872" w:type="dxa"/>
            <w:vMerge w:val="continue"/>
            <w:noWrap w:val="0"/>
            <w:vAlign w:val="center"/>
          </w:tcPr>
          <w:p w14:paraId="7C9623D0">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0CD03117">
            <w:pPr>
              <w:widowControl/>
              <w:jc w:val="center"/>
            </w:pPr>
          </w:p>
        </w:tc>
        <w:tc>
          <w:tcPr>
            <w:tcW w:w="6986" w:type="dxa"/>
            <w:noWrap/>
            <w:vAlign w:val="center"/>
          </w:tcPr>
          <w:p w14:paraId="3E5A9E79">
            <w:pPr>
              <w:widowControl/>
              <w:spacing w:line="320" w:lineRule="exact"/>
              <w:rPr>
                <w:rFonts w:hint="eastAsia" w:ascii="宋体" w:hAnsi="宋体" w:cs="宋体"/>
                <w:color w:val="000000"/>
                <w:szCs w:val="21"/>
              </w:rPr>
            </w:pPr>
            <w:r>
              <w:rPr>
                <w:rFonts w:hint="eastAsia" w:ascii="宋体" w:hAnsi="宋体" w:cs="宋体"/>
                <w:color w:val="000000"/>
                <w:szCs w:val="21"/>
              </w:rPr>
              <w:t>3、海绵：采用环保纤维绵，高回弹，柔软舒适，耐用，具有高承托力，且舒适，服贴身型;</w:t>
            </w:r>
          </w:p>
        </w:tc>
      </w:tr>
      <w:tr w14:paraId="6E02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0C697A48">
            <w:pPr>
              <w:spacing w:line="320" w:lineRule="exact"/>
              <w:jc w:val="center"/>
              <w:rPr>
                <w:rFonts w:hint="eastAsia" w:ascii="宋体" w:hAnsi="宋体"/>
                <w:color w:val="000000"/>
                <w:szCs w:val="21"/>
              </w:rPr>
            </w:pPr>
          </w:p>
        </w:tc>
        <w:tc>
          <w:tcPr>
            <w:tcW w:w="872" w:type="dxa"/>
            <w:vMerge w:val="continue"/>
            <w:noWrap w:val="0"/>
            <w:vAlign w:val="center"/>
          </w:tcPr>
          <w:p w14:paraId="2CE16229">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0EA32BAD">
            <w:pPr>
              <w:widowControl/>
              <w:jc w:val="center"/>
            </w:pPr>
          </w:p>
        </w:tc>
        <w:tc>
          <w:tcPr>
            <w:tcW w:w="6986" w:type="dxa"/>
            <w:noWrap/>
            <w:vAlign w:val="center"/>
          </w:tcPr>
          <w:p w14:paraId="18D7CE3A">
            <w:pPr>
              <w:widowControl/>
              <w:spacing w:line="320" w:lineRule="exact"/>
              <w:jc w:val="left"/>
              <w:rPr>
                <w:rFonts w:hint="eastAsia" w:ascii="宋体" w:hAnsi="宋体" w:cs="宋体"/>
                <w:kern w:val="0"/>
                <w:szCs w:val="21"/>
              </w:rPr>
            </w:pPr>
            <w:r>
              <w:rPr>
                <w:rFonts w:hint="eastAsia" w:ascii="宋体" w:hAnsi="宋体" w:cs="宋体"/>
                <w:kern w:val="0"/>
                <w:szCs w:val="21"/>
              </w:rPr>
              <w:t>4、椰棕：采用环保椰</w:t>
            </w:r>
            <w:r>
              <w:rPr>
                <w:rStyle w:val="9"/>
                <w:rFonts w:hint="eastAsia"/>
              </w:rPr>
              <w:t>棕</w:t>
            </w:r>
            <w:r>
              <w:rPr>
                <w:rFonts w:hint="eastAsia" w:ascii="宋体" w:hAnsi="宋体" w:cs="宋体"/>
                <w:kern w:val="0"/>
                <w:szCs w:val="21"/>
              </w:rPr>
              <w:t>，具有抗菌防螨除臭功能，使床垫的软垫表层更加卫生。纤维内部为三孔中空，具备了保温功能，提升耐久性。每根纤维采用旋绕式卷曲状，使长期使用后仍能保持完整的轻柔蓬松感;</w:t>
            </w:r>
          </w:p>
        </w:tc>
      </w:tr>
      <w:tr w14:paraId="6F35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DACCFE3">
            <w:pPr>
              <w:spacing w:line="320" w:lineRule="exact"/>
              <w:jc w:val="center"/>
              <w:rPr>
                <w:rFonts w:hint="eastAsia" w:ascii="宋体" w:hAnsi="宋体"/>
                <w:color w:val="000000"/>
                <w:szCs w:val="21"/>
              </w:rPr>
            </w:pPr>
          </w:p>
        </w:tc>
        <w:tc>
          <w:tcPr>
            <w:tcW w:w="872" w:type="dxa"/>
            <w:vMerge w:val="continue"/>
            <w:noWrap w:val="0"/>
            <w:vAlign w:val="center"/>
          </w:tcPr>
          <w:p w14:paraId="3BD57B96">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424F8D61">
            <w:pPr>
              <w:widowControl/>
              <w:jc w:val="center"/>
            </w:pPr>
          </w:p>
        </w:tc>
        <w:tc>
          <w:tcPr>
            <w:tcW w:w="6986" w:type="dxa"/>
            <w:noWrap/>
            <w:vAlign w:val="center"/>
          </w:tcPr>
          <w:p w14:paraId="2CC328A3">
            <w:pPr>
              <w:widowControl/>
              <w:spacing w:line="320" w:lineRule="exact"/>
              <w:jc w:val="left"/>
              <w:rPr>
                <w:rFonts w:hint="eastAsia" w:ascii="宋体" w:hAnsi="宋体" w:cs="宋体"/>
                <w:kern w:val="0"/>
                <w:szCs w:val="21"/>
              </w:rPr>
            </w:pPr>
            <w:r>
              <w:rPr>
                <w:rFonts w:hint="eastAsia" w:ascii="宋体" w:hAnsi="宋体" w:cs="宋体"/>
                <w:kern w:val="0"/>
                <w:szCs w:val="21"/>
              </w:rPr>
              <w:t>5、弹簧：采用精钢独立弹簧，承托力强，强韧支撑，耐压坚固；钢丝加粗边缘加固处理，有效支撑经久耐用不易塌陷；稳固和均匀的支撑，不会产生陷入床垫的感觉;弹簧拥有透气的结构，能让空气顺畅流通，睡觉时保持舒适的体感温度;</w:t>
            </w:r>
          </w:p>
        </w:tc>
      </w:tr>
      <w:tr w14:paraId="7479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634A4EC6">
            <w:pPr>
              <w:spacing w:line="320" w:lineRule="exact"/>
              <w:jc w:val="center"/>
              <w:rPr>
                <w:rFonts w:ascii="宋体" w:hAnsi="宋体"/>
                <w:color w:val="000000"/>
                <w:szCs w:val="21"/>
              </w:rPr>
            </w:pPr>
            <w:r>
              <w:rPr>
                <w:rFonts w:hint="eastAsia" w:ascii="宋体" w:hAnsi="宋体"/>
                <w:color w:val="000000"/>
                <w:szCs w:val="21"/>
              </w:rPr>
              <w:t>4</w:t>
            </w:r>
          </w:p>
        </w:tc>
        <w:tc>
          <w:tcPr>
            <w:tcW w:w="872" w:type="dxa"/>
            <w:vMerge w:val="restart"/>
            <w:noWrap w:val="0"/>
            <w:vAlign w:val="center"/>
          </w:tcPr>
          <w:p w14:paraId="15FA2F04">
            <w:pPr>
              <w:widowControl/>
              <w:jc w:val="center"/>
              <w:textAlignment w:val="center"/>
              <w:rPr>
                <w:rFonts w:hint="eastAsia" w:ascii="宋体" w:hAnsi="宋体"/>
                <w:color w:val="000000"/>
                <w:szCs w:val="21"/>
              </w:rPr>
            </w:pPr>
            <w:r>
              <w:rPr>
                <w:rFonts w:hint="eastAsia" w:ascii="宋体" w:hAnsi="宋体"/>
                <w:color w:val="000000"/>
                <w:szCs w:val="21"/>
              </w:rPr>
              <w:t>书桌1</w:t>
            </w:r>
          </w:p>
        </w:tc>
        <w:tc>
          <w:tcPr>
            <w:tcW w:w="1541" w:type="dxa"/>
            <w:vMerge w:val="restart"/>
            <w:noWrap/>
            <w:vAlign w:val="center"/>
          </w:tcPr>
          <w:p w14:paraId="1DEC0848">
            <w:pPr>
              <w:widowControl/>
              <w:jc w:val="center"/>
            </w:pPr>
          </w:p>
          <w:p w14:paraId="01A0BA2F">
            <w:pPr>
              <w:widowControl/>
              <w:jc w:val="center"/>
              <w:rPr>
                <w:rFonts w:hint="eastAsia" w:ascii="宋体" w:hAnsi="宋体" w:cs="宋体"/>
                <w:color w:val="000000"/>
                <w:kern w:val="0"/>
                <w:szCs w:val="21"/>
              </w:rPr>
            </w:pPr>
            <w:r>
              <w:drawing>
                <wp:inline distT="0" distB="0" distL="114300" distR="114300">
                  <wp:extent cx="840740" cy="929005"/>
                  <wp:effectExtent l="0" t="0" r="1651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40740" cy="929005"/>
                          </a:xfrm>
                          <a:prstGeom prst="rect">
                            <a:avLst/>
                          </a:prstGeom>
                          <a:noFill/>
                          <a:ln>
                            <a:noFill/>
                          </a:ln>
                        </pic:spPr>
                      </pic:pic>
                    </a:graphicData>
                  </a:graphic>
                </wp:inline>
              </w:drawing>
            </w:r>
          </w:p>
        </w:tc>
        <w:tc>
          <w:tcPr>
            <w:tcW w:w="6986" w:type="dxa"/>
            <w:noWrap/>
            <w:vAlign w:val="center"/>
          </w:tcPr>
          <w:p w14:paraId="415FB666">
            <w:pPr>
              <w:widowControl/>
              <w:spacing w:line="320" w:lineRule="exact"/>
              <w:jc w:val="left"/>
              <w:rPr>
                <w:rFonts w:hint="eastAsia" w:ascii="宋体" w:hAnsi="宋体" w:cs="宋体"/>
                <w:kern w:val="0"/>
                <w:szCs w:val="21"/>
              </w:rPr>
            </w:pPr>
            <w:r>
              <w:rPr>
                <w:rFonts w:hint="eastAsia" w:ascii="宋体" w:hAnsi="宋体" w:cs="宋体"/>
                <w:kern w:val="0"/>
                <w:szCs w:val="21"/>
              </w:rPr>
              <w:t>1、规格尺寸：W1200×D800×1410mm(±10mm)</w:t>
            </w:r>
          </w:p>
        </w:tc>
      </w:tr>
      <w:tr w14:paraId="7F39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24A3325C">
            <w:pPr>
              <w:spacing w:line="320" w:lineRule="exact"/>
              <w:jc w:val="center"/>
              <w:rPr>
                <w:rFonts w:hint="eastAsia" w:ascii="宋体" w:hAnsi="宋体"/>
                <w:color w:val="000000"/>
                <w:szCs w:val="21"/>
              </w:rPr>
            </w:pPr>
          </w:p>
        </w:tc>
        <w:tc>
          <w:tcPr>
            <w:tcW w:w="872" w:type="dxa"/>
            <w:vMerge w:val="continue"/>
            <w:noWrap w:val="0"/>
            <w:vAlign w:val="center"/>
          </w:tcPr>
          <w:p w14:paraId="3AAF244C">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278F87C3">
            <w:pPr>
              <w:widowControl/>
              <w:jc w:val="center"/>
            </w:pPr>
          </w:p>
        </w:tc>
        <w:tc>
          <w:tcPr>
            <w:tcW w:w="6986" w:type="dxa"/>
            <w:noWrap/>
            <w:vAlign w:val="center"/>
          </w:tcPr>
          <w:p w14:paraId="6CAFCF32">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4AE2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1D72A77">
            <w:pPr>
              <w:spacing w:line="320" w:lineRule="exact"/>
              <w:jc w:val="center"/>
              <w:rPr>
                <w:rFonts w:hint="eastAsia" w:ascii="宋体" w:hAnsi="宋体"/>
                <w:color w:val="000000"/>
                <w:szCs w:val="21"/>
              </w:rPr>
            </w:pPr>
          </w:p>
        </w:tc>
        <w:tc>
          <w:tcPr>
            <w:tcW w:w="872" w:type="dxa"/>
            <w:vMerge w:val="continue"/>
            <w:noWrap w:val="0"/>
            <w:vAlign w:val="center"/>
          </w:tcPr>
          <w:p w14:paraId="6488A451">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4E7886F1">
            <w:pPr>
              <w:widowControl/>
              <w:jc w:val="center"/>
            </w:pPr>
          </w:p>
        </w:tc>
        <w:tc>
          <w:tcPr>
            <w:tcW w:w="6986" w:type="dxa"/>
            <w:noWrap/>
            <w:vAlign w:val="center"/>
          </w:tcPr>
          <w:p w14:paraId="39E8183D">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3B4A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DCBB7F2">
            <w:pPr>
              <w:spacing w:line="320" w:lineRule="exact"/>
              <w:jc w:val="center"/>
              <w:rPr>
                <w:rFonts w:hint="eastAsia" w:ascii="宋体" w:hAnsi="宋体"/>
                <w:color w:val="000000"/>
                <w:szCs w:val="21"/>
              </w:rPr>
            </w:pPr>
          </w:p>
        </w:tc>
        <w:tc>
          <w:tcPr>
            <w:tcW w:w="872" w:type="dxa"/>
            <w:vMerge w:val="continue"/>
            <w:noWrap w:val="0"/>
            <w:vAlign w:val="center"/>
          </w:tcPr>
          <w:p w14:paraId="715D7828">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1DDC1268">
            <w:pPr>
              <w:widowControl/>
              <w:jc w:val="center"/>
            </w:pPr>
          </w:p>
        </w:tc>
        <w:tc>
          <w:tcPr>
            <w:tcW w:w="6986" w:type="dxa"/>
            <w:noWrap/>
            <w:vAlign w:val="center"/>
          </w:tcPr>
          <w:p w14:paraId="0F9EDC7F">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4、配件：采用优质阻尼导轨及三合一连接件等五金配件，并做防锈、防腐等处理；</w:t>
            </w:r>
          </w:p>
        </w:tc>
      </w:tr>
      <w:tr w14:paraId="471E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06EF0A52">
            <w:pPr>
              <w:spacing w:line="320" w:lineRule="exact"/>
              <w:jc w:val="center"/>
              <w:rPr>
                <w:rFonts w:hint="eastAsia" w:ascii="宋体" w:hAnsi="宋体"/>
                <w:color w:val="000000"/>
                <w:szCs w:val="21"/>
              </w:rPr>
            </w:pPr>
          </w:p>
        </w:tc>
        <w:tc>
          <w:tcPr>
            <w:tcW w:w="872" w:type="dxa"/>
            <w:vMerge w:val="continue"/>
            <w:noWrap w:val="0"/>
            <w:vAlign w:val="center"/>
          </w:tcPr>
          <w:p w14:paraId="0CC6EEFA">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10B16076">
            <w:pPr>
              <w:widowControl/>
              <w:jc w:val="center"/>
            </w:pPr>
          </w:p>
        </w:tc>
        <w:tc>
          <w:tcPr>
            <w:tcW w:w="6986" w:type="dxa"/>
            <w:noWrap/>
            <w:vAlign w:val="center"/>
          </w:tcPr>
          <w:p w14:paraId="6C265A01">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214F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C4DC140">
            <w:pPr>
              <w:spacing w:line="320" w:lineRule="exact"/>
              <w:jc w:val="center"/>
              <w:rPr>
                <w:rFonts w:hint="eastAsia" w:ascii="宋体" w:hAnsi="宋体"/>
                <w:color w:val="000000"/>
                <w:szCs w:val="21"/>
              </w:rPr>
            </w:pPr>
          </w:p>
        </w:tc>
        <w:tc>
          <w:tcPr>
            <w:tcW w:w="872" w:type="dxa"/>
            <w:vMerge w:val="continue"/>
            <w:noWrap w:val="0"/>
            <w:vAlign w:val="center"/>
          </w:tcPr>
          <w:p w14:paraId="720E7F1B">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0762ADD9">
            <w:pPr>
              <w:widowControl/>
              <w:jc w:val="center"/>
            </w:pPr>
          </w:p>
        </w:tc>
        <w:tc>
          <w:tcPr>
            <w:tcW w:w="6986" w:type="dxa"/>
            <w:noWrap/>
            <w:vAlign w:val="center"/>
          </w:tcPr>
          <w:p w14:paraId="37E64C2A">
            <w:pPr>
              <w:widowControl/>
              <w:spacing w:line="320" w:lineRule="exact"/>
              <w:rPr>
                <w:rFonts w:hint="eastAsia" w:ascii="宋体" w:hAnsi="宋体" w:cs="宋体"/>
                <w:color w:val="000000"/>
                <w:szCs w:val="21"/>
              </w:rPr>
            </w:pPr>
            <w:r>
              <w:rPr>
                <w:rFonts w:hint="eastAsia" w:ascii="宋体" w:hAnsi="宋体" w:cs="宋体"/>
                <w:b/>
                <w:color w:val="FF0000"/>
                <w:kern w:val="0"/>
                <w:szCs w:val="21"/>
              </w:rPr>
              <w:t>▲6、阻尼导轨：依据QB/T 2454-2103《家具五金 抽屉导轨》、GB/T10125-2021《人造气氛腐蚀试验 盐雾试验》、QB/T 3827-1999《轻工产品金属镀层和化学处理层的耐腐蚀试验方法乙酸盐雾试验（ASS)法》、QB/T3832-1999《轻工产品金属镀层腐蚀试验结果的评价》、QB/T3826-1999《轻工产品金属镀层和化学处理层的耐腐蚀试验方法 中性盐雾试验(NSS)法》、GB/T 30648.1-2014《色漆和 清漆耐液体性的测定》、GB/T 3075-2021《金属材料 疲劳试验 轴向力控制方法》标准；检验结果：①喷涂层外观：涂层应无漏喷、锈蚀和脱色、掉色现象；涂层应光滑均匀，色泽一致，应无流挂、疙瘩、皱皮、飞漆等缺陷；冲压件应无脱层、裂缝；②操作力、垂直向下静载荷（≥500N）、水平侧向静载荷（≥350N）、拉出安全性及猛关或猛开符合要求；下沉量为抽屉导轨拉出长度≤1.5%；耐久性≥10万次符合要求；③铜加速乙酸盐雾、中性盐雾、乙酸盐雾（连续喷雾≥200小时），镀(涂)层本身的耐腐蚀等级、对基体的保护等级及外观评级均≥10级；④≥200h，0.9%的氯化钠水溶液试验后，起泡等级达到0级，剥落等级达到0级，粉化等级达到0级；⑤疲劳试验≥10万次，无裂纹；产品涂层和覆面层中可溶性重金属含量：可溶性铅、可溶性镉、可溶性铬、可溶性汞：均为未检出（“未检出”表示含量低于方法测定低限）；须提供第三方检测机构出具的具有CMA标志的检测报告扫描件，原件备查，检测报告需体现阻尼导轨满足以上参数的检验报告，对应参数在检测报告中标注；</w:t>
            </w:r>
          </w:p>
        </w:tc>
      </w:tr>
      <w:tr w14:paraId="7060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0DEA7DC0">
            <w:pPr>
              <w:jc w:val="center"/>
              <w:rPr>
                <w:rFonts w:hint="eastAsia" w:ascii="宋体" w:hAnsi="宋体"/>
                <w:bCs/>
                <w:szCs w:val="21"/>
              </w:rPr>
            </w:pPr>
            <w:r>
              <w:rPr>
                <w:rFonts w:hint="eastAsia" w:ascii="宋体" w:hAnsi="宋体"/>
                <w:bCs/>
                <w:szCs w:val="21"/>
              </w:rPr>
              <w:t>5</w:t>
            </w:r>
          </w:p>
        </w:tc>
        <w:tc>
          <w:tcPr>
            <w:tcW w:w="872" w:type="dxa"/>
            <w:vMerge w:val="restart"/>
            <w:noWrap w:val="0"/>
            <w:vAlign w:val="center"/>
          </w:tcPr>
          <w:p w14:paraId="13B39E81">
            <w:pPr>
              <w:jc w:val="center"/>
              <w:rPr>
                <w:rFonts w:hint="eastAsia" w:ascii="宋体" w:hAnsi="宋体"/>
                <w:color w:val="000000"/>
                <w:szCs w:val="21"/>
              </w:rPr>
            </w:pPr>
            <w:r>
              <w:rPr>
                <w:rFonts w:hint="eastAsia" w:ascii="宋体" w:hAnsi="宋体"/>
                <w:color w:val="000000"/>
                <w:szCs w:val="21"/>
              </w:rPr>
              <w:t>书椅1</w:t>
            </w:r>
          </w:p>
        </w:tc>
        <w:tc>
          <w:tcPr>
            <w:tcW w:w="1541" w:type="dxa"/>
            <w:vMerge w:val="restart"/>
            <w:noWrap/>
            <w:vAlign w:val="center"/>
          </w:tcPr>
          <w:p w14:paraId="774AA3E5">
            <w:pPr>
              <w:widowControl/>
              <w:jc w:val="center"/>
            </w:pPr>
            <w:r>
              <w:drawing>
                <wp:inline distT="0" distB="0" distL="114300" distR="114300">
                  <wp:extent cx="723900" cy="1028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723900" cy="1028700"/>
                          </a:xfrm>
                          <a:prstGeom prst="rect">
                            <a:avLst/>
                          </a:prstGeom>
                          <a:noFill/>
                          <a:ln>
                            <a:noFill/>
                          </a:ln>
                        </pic:spPr>
                      </pic:pic>
                    </a:graphicData>
                  </a:graphic>
                </wp:inline>
              </w:drawing>
            </w:r>
          </w:p>
        </w:tc>
        <w:tc>
          <w:tcPr>
            <w:tcW w:w="6986" w:type="dxa"/>
            <w:noWrap/>
            <w:vAlign w:val="center"/>
          </w:tcPr>
          <w:p w14:paraId="1C69B708">
            <w:pPr>
              <w:widowControl/>
              <w:spacing w:line="320" w:lineRule="exact"/>
              <w:jc w:val="left"/>
              <w:rPr>
                <w:rFonts w:hint="eastAsia" w:ascii="宋体" w:hAnsi="宋体" w:cs="宋体"/>
                <w:kern w:val="0"/>
                <w:szCs w:val="21"/>
              </w:rPr>
            </w:pPr>
            <w:r>
              <w:rPr>
                <w:rFonts w:hint="eastAsia" w:ascii="宋体" w:hAnsi="宋体" w:cs="宋体"/>
                <w:kern w:val="0"/>
                <w:szCs w:val="21"/>
              </w:rPr>
              <w:t>1、规格尺寸：常规</w:t>
            </w:r>
          </w:p>
        </w:tc>
      </w:tr>
      <w:tr w14:paraId="5FFB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4DC3B64">
            <w:pPr>
              <w:jc w:val="center"/>
              <w:rPr>
                <w:rFonts w:hint="eastAsia" w:ascii="宋体" w:hAnsi="宋体"/>
                <w:bCs/>
                <w:szCs w:val="21"/>
              </w:rPr>
            </w:pPr>
          </w:p>
        </w:tc>
        <w:tc>
          <w:tcPr>
            <w:tcW w:w="872" w:type="dxa"/>
            <w:vMerge w:val="continue"/>
            <w:noWrap w:val="0"/>
            <w:vAlign w:val="center"/>
          </w:tcPr>
          <w:p w14:paraId="3CBE327C">
            <w:pPr>
              <w:jc w:val="center"/>
              <w:rPr>
                <w:rFonts w:hint="eastAsia" w:ascii="宋体" w:hAnsi="宋体"/>
                <w:color w:val="000000"/>
                <w:szCs w:val="21"/>
              </w:rPr>
            </w:pPr>
          </w:p>
        </w:tc>
        <w:tc>
          <w:tcPr>
            <w:tcW w:w="1541" w:type="dxa"/>
            <w:vMerge w:val="continue"/>
            <w:noWrap/>
            <w:vAlign w:val="center"/>
          </w:tcPr>
          <w:p w14:paraId="14809DBC">
            <w:pPr>
              <w:widowControl/>
              <w:jc w:val="center"/>
            </w:pPr>
          </w:p>
        </w:tc>
        <w:tc>
          <w:tcPr>
            <w:tcW w:w="6986" w:type="dxa"/>
            <w:noWrap/>
            <w:vAlign w:val="center"/>
          </w:tcPr>
          <w:p w14:paraId="7FCA2449">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3667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0FE20D0">
            <w:pPr>
              <w:jc w:val="center"/>
              <w:rPr>
                <w:rFonts w:hint="eastAsia" w:ascii="宋体" w:hAnsi="宋体"/>
                <w:bCs/>
                <w:szCs w:val="21"/>
              </w:rPr>
            </w:pPr>
          </w:p>
        </w:tc>
        <w:tc>
          <w:tcPr>
            <w:tcW w:w="872" w:type="dxa"/>
            <w:vMerge w:val="continue"/>
            <w:noWrap w:val="0"/>
            <w:vAlign w:val="center"/>
          </w:tcPr>
          <w:p w14:paraId="6D1FE538">
            <w:pPr>
              <w:jc w:val="center"/>
              <w:rPr>
                <w:rFonts w:hint="eastAsia" w:ascii="宋体" w:hAnsi="宋体"/>
                <w:color w:val="000000"/>
                <w:szCs w:val="21"/>
              </w:rPr>
            </w:pPr>
          </w:p>
        </w:tc>
        <w:tc>
          <w:tcPr>
            <w:tcW w:w="1541" w:type="dxa"/>
            <w:vMerge w:val="continue"/>
            <w:noWrap/>
            <w:vAlign w:val="center"/>
          </w:tcPr>
          <w:p w14:paraId="03F4C9DD">
            <w:pPr>
              <w:widowControl/>
              <w:jc w:val="center"/>
            </w:pPr>
          </w:p>
        </w:tc>
        <w:tc>
          <w:tcPr>
            <w:tcW w:w="6986" w:type="dxa"/>
            <w:noWrap/>
            <w:vAlign w:val="center"/>
          </w:tcPr>
          <w:p w14:paraId="228576AA">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7FB9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19105F7">
            <w:pPr>
              <w:jc w:val="center"/>
              <w:rPr>
                <w:rFonts w:hint="eastAsia" w:ascii="宋体" w:hAnsi="宋体"/>
                <w:bCs/>
                <w:szCs w:val="21"/>
              </w:rPr>
            </w:pPr>
          </w:p>
        </w:tc>
        <w:tc>
          <w:tcPr>
            <w:tcW w:w="872" w:type="dxa"/>
            <w:vMerge w:val="continue"/>
            <w:noWrap w:val="0"/>
            <w:vAlign w:val="center"/>
          </w:tcPr>
          <w:p w14:paraId="329D04EB">
            <w:pPr>
              <w:jc w:val="center"/>
              <w:rPr>
                <w:rFonts w:hint="eastAsia" w:ascii="宋体" w:hAnsi="宋体"/>
                <w:color w:val="000000"/>
                <w:szCs w:val="21"/>
              </w:rPr>
            </w:pPr>
          </w:p>
        </w:tc>
        <w:tc>
          <w:tcPr>
            <w:tcW w:w="1541" w:type="dxa"/>
            <w:vMerge w:val="continue"/>
            <w:noWrap/>
            <w:vAlign w:val="center"/>
          </w:tcPr>
          <w:p w14:paraId="3AF3A785">
            <w:pPr>
              <w:widowControl/>
              <w:jc w:val="center"/>
            </w:pPr>
          </w:p>
        </w:tc>
        <w:tc>
          <w:tcPr>
            <w:tcW w:w="6986" w:type="dxa"/>
            <w:noWrap/>
            <w:vAlign w:val="center"/>
          </w:tcPr>
          <w:p w14:paraId="783A19EE">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7CD0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49AF699">
            <w:pPr>
              <w:jc w:val="center"/>
              <w:rPr>
                <w:rFonts w:hint="eastAsia" w:ascii="宋体" w:hAnsi="宋体"/>
                <w:bCs/>
                <w:szCs w:val="21"/>
              </w:rPr>
            </w:pPr>
          </w:p>
        </w:tc>
        <w:tc>
          <w:tcPr>
            <w:tcW w:w="872" w:type="dxa"/>
            <w:vMerge w:val="continue"/>
            <w:noWrap w:val="0"/>
            <w:vAlign w:val="center"/>
          </w:tcPr>
          <w:p w14:paraId="4D819951">
            <w:pPr>
              <w:jc w:val="center"/>
              <w:rPr>
                <w:rFonts w:hint="eastAsia" w:ascii="宋体" w:hAnsi="宋体"/>
                <w:color w:val="000000"/>
                <w:szCs w:val="21"/>
              </w:rPr>
            </w:pPr>
          </w:p>
        </w:tc>
        <w:tc>
          <w:tcPr>
            <w:tcW w:w="1541" w:type="dxa"/>
            <w:vMerge w:val="continue"/>
            <w:noWrap/>
            <w:vAlign w:val="center"/>
          </w:tcPr>
          <w:p w14:paraId="79F68652">
            <w:pPr>
              <w:widowControl/>
              <w:jc w:val="center"/>
            </w:pPr>
          </w:p>
        </w:tc>
        <w:tc>
          <w:tcPr>
            <w:tcW w:w="6986" w:type="dxa"/>
            <w:noWrap/>
            <w:vAlign w:val="center"/>
          </w:tcPr>
          <w:p w14:paraId="1F8026C7">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5CBB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0FBEC35E">
            <w:pPr>
              <w:jc w:val="center"/>
              <w:rPr>
                <w:rFonts w:hint="eastAsia" w:ascii="宋体" w:hAnsi="宋体"/>
                <w:bCs/>
                <w:szCs w:val="21"/>
              </w:rPr>
            </w:pPr>
            <w:r>
              <w:rPr>
                <w:rFonts w:hint="eastAsia" w:ascii="宋体" w:hAnsi="宋体"/>
                <w:bCs/>
                <w:szCs w:val="21"/>
              </w:rPr>
              <w:t>6</w:t>
            </w:r>
          </w:p>
        </w:tc>
        <w:tc>
          <w:tcPr>
            <w:tcW w:w="872" w:type="dxa"/>
            <w:vMerge w:val="restart"/>
            <w:noWrap w:val="0"/>
            <w:vAlign w:val="center"/>
          </w:tcPr>
          <w:p w14:paraId="3073B700">
            <w:pPr>
              <w:jc w:val="center"/>
              <w:rPr>
                <w:rFonts w:hint="eastAsia" w:ascii="宋体" w:hAnsi="宋体"/>
                <w:color w:val="000000"/>
                <w:szCs w:val="21"/>
              </w:rPr>
            </w:pPr>
            <w:r>
              <w:rPr>
                <w:rFonts w:hint="eastAsia" w:ascii="宋体" w:hAnsi="宋体"/>
                <w:color w:val="000000"/>
                <w:szCs w:val="21"/>
              </w:rPr>
              <w:t>皮沙发1</w:t>
            </w:r>
          </w:p>
        </w:tc>
        <w:tc>
          <w:tcPr>
            <w:tcW w:w="1541" w:type="dxa"/>
            <w:vMerge w:val="restart"/>
            <w:noWrap/>
            <w:vAlign w:val="center"/>
          </w:tcPr>
          <w:p w14:paraId="5C378D29">
            <w:pPr>
              <w:widowControl/>
              <w:jc w:val="center"/>
            </w:pPr>
            <w:r>
              <w:drawing>
                <wp:inline distT="0" distB="0" distL="114300" distR="114300">
                  <wp:extent cx="840740" cy="481965"/>
                  <wp:effectExtent l="0" t="0" r="16510"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40740" cy="481965"/>
                          </a:xfrm>
                          <a:prstGeom prst="rect">
                            <a:avLst/>
                          </a:prstGeom>
                          <a:noFill/>
                          <a:ln>
                            <a:noFill/>
                          </a:ln>
                        </pic:spPr>
                      </pic:pic>
                    </a:graphicData>
                  </a:graphic>
                </wp:inline>
              </w:drawing>
            </w:r>
          </w:p>
        </w:tc>
        <w:tc>
          <w:tcPr>
            <w:tcW w:w="6986" w:type="dxa"/>
            <w:noWrap/>
            <w:vAlign w:val="center"/>
          </w:tcPr>
          <w:p w14:paraId="41DFCE3F">
            <w:pPr>
              <w:widowControl/>
              <w:spacing w:line="320" w:lineRule="exact"/>
              <w:rPr>
                <w:rFonts w:hint="eastAsia" w:ascii="宋体" w:hAnsi="宋体" w:cs="宋体"/>
                <w:color w:val="000000"/>
                <w:szCs w:val="21"/>
              </w:rPr>
            </w:pPr>
            <w:r>
              <w:rPr>
                <w:rFonts w:hint="eastAsia" w:ascii="宋体" w:hAnsi="宋体" w:cs="宋体"/>
                <w:color w:val="000000"/>
                <w:szCs w:val="21"/>
              </w:rPr>
              <w:t>1、规格尺寸：W2100×D800×H800mm(±10mm)</w:t>
            </w:r>
          </w:p>
        </w:tc>
      </w:tr>
      <w:tr w14:paraId="7A86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F302485">
            <w:pPr>
              <w:jc w:val="center"/>
              <w:rPr>
                <w:rFonts w:hint="eastAsia" w:ascii="宋体" w:hAnsi="宋体"/>
                <w:bCs/>
                <w:szCs w:val="21"/>
              </w:rPr>
            </w:pPr>
          </w:p>
        </w:tc>
        <w:tc>
          <w:tcPr>
            <w:tcW w:w="872" w:type="dxa"/>
            <w:vMerge w:val="continue"/>
            <w:noWrap w:val="0"/>
            <w:vAlign w:val="center"/>
          </w:tcPr>
          <w:p w14:paraId="037D89C3">
            <w:pPr>
              <w:jc w:val="center"/>
              <w:rPr>
                <w:rFonts w:hint="eastAsia" w:ascii="宋体" w:hAnsi="宋体"/>
                <w:color w:val="000000"/>
                <w:szCs w:val="21"/>
              </w:rPr>
            </w:pPr>
          </w:p>
        </w:tc>
        <w:tc>
          <w:tcPr>
            <w:tcW w:w="1541" w:type="dxa"/>
            <w:vMerge w:val="continue"/>
            <w:noWrap/>
            <w:vAlign w:val="center"/>
          </w:tcPr>
          <w:p w14:paraId="6FC25787">
            <w:pPr>
              <w:widowControl/>
              <w:jc w:val="center"/>
            </w:pPr>
          </w:p>
        </w:tc>
        <w:tc>
          <w:tcPr>
            <w:tcW w:w="6986" w:type="dxa"/>
            <w:noWrap/>
            <w:vAlign w:val="center"/>
          </w:tcPr>
          <w:p w14:paraId="15D6C3D5">
            <w:pPr>
              <w:widowControl/>
              <w:spacing w:line="32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kern w:val="0"/>
                <w:szCs w:val="21"/>
              </w:rPr>
              <w:t>面料：采用西皮饰面，经液氨多道浸色及防潮、防腐等工艺处理，皮面柔软舒适，光泽持久，透气性、韧性等特点。</w:t>
            </w:r>
          </w:p>
        </w:tc>
      </w:tr>
      <w:tr w14:paraId="6838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31D5EA3">
            <w:pPr>
              <w:jc w:val="center"/>
              <w:rPr>
                <w:rFonts w:hint="eastAsia" w:ascii="宋体" w:hAnsi="宋体"/>
                <w:bCs/>
                <w:szCs w:val="21"/>
              </w:rPr>
            </w:pPr>
          </w:p>
        </w:tc>
        <w:tc>
          <w:tcPr>
            <w:tcW w:w="872" w:type="dxa"/>
            <w:vMerge w:val="continue"/>
            <w:noWrap w:val="0"/>
            <w:vAlign w:val="center"/>
          </w:tcPr>
          <w:p w14:paraId="6735F41F">
            <w:pPr>
              <w:jc w:val="center"/>
              <w:rPr>
                <w:rFonts w:hint="eastAsia" w:ascii="宋体" w:hAnsi="宋体"/>
                <w:color w:val="000000"/>
                <w:szCs w:val="21"/>
              </w:rPr>
            </w:pPr>
          </w:p>
        </w:tc>
        <w:tc>
          <w:tcPr>
            <w:tcW w:w="1541" w:type="dxa"/>
            <w:vMerge w:val="continue"/>
            <w:noWrap/>
            <w:vAlign w:val="center"/>
          </w:tcPr>
          <w:p w14:paraId="3A4BA485">
            <w:pPr>
              <w:widowControl/>
              <w:jc w:val="center"/>
            </w:pPr>
          </w:p>
        </w:tc>
        <w:tc>
          <w:tcPr>
            <w:tcW w:w="6986" w:type="dxa"/>
            <w:noWrap/>
            <w:vAlign w:val="center"/>
          </w:tcPr>
          <w:p w14:paraId="75A17512">
            <w:pPr>
              <w:widowControl/>
              <w:spacing w:line="32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海绵：采用PU成型发泡高密度海绵，持久不变形。表面有一层保护面，可防氧化，防碎，永不变形。</w:t>
            </w:r>
          </w:p>
        </w:tc>
      </w:tr>
      <w:tr w14:paraId="11B8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5AEC8F8C">
            <w:pPr>
              <w:jc w:val="center"/>
              <w:rPr>
                <w:rFonts w:hint="eastAsia" w:ascii="宋体" w:hAnsi="宋体"/>
                <w:bCs/>
                <w:szCs w:val="21"/>
              </w:rPr>
            </w:pPr>
          </w:p>
        </w:tc>
        <w:tc>
          <w:tcPr>
            <w:tcW w:w="872" w:type="dxa"/>
            <w:vMerge w:val="continue"/>
            <w:noWrap w:val="0"/>
            <w:vAlign w:val="center"/>
          </w:tcPr>
          <w:p w14:paraId="4675F2C8">
            <w:pPr>
              <w:jc w:val="center"/>
              <w:rPr>
                <w:rFonts w:hint="eastAsia" w:ascii="宋体" w:hAnsi="宋体"/>
                <w:color w:val="000000"/>
                <w:szCs w:val="21"/>
              </w:rPr>
            </w:pPr>
          </w:p>
        </w:tc>
        <w:tc>
          <w:tcPr>
            <w:tcW w:w="1541" w:type="dxa"/>
            <w:vMerge w:val="continue"/>
            <w:noWrap/>
            <w:vAlign w:val="center"/>
          </w:tcPr>
          <w:p w14:paraId="074003A6">
            <w:pPr>
              <w:widowControl/>
              <w:jc w:val="center"/>
            </w:pPr>
          </w:p>
        </w:tc>
        <w:tc>
          <w:tcPr>
            <w:tcW w:w="6986" w:type="dxa"/>
            <w:noWrap/>
            <w:vAlign w:val="center"/>
          </w:tcPr>
          <w:p w14:paraId="5003A165">
            <w:pPr>
              <w:widowControl/>
              <w:spacing w:line="320" w:lineRule="exact"/>
              <w:jc w:val="left"/>
              <w:rPr>
                <w:rFonts w:hint="eastAsia" w:ascii="宋体" w:hAnsi="宋体" w:cs="宋体"/>
                <w:color w:val="000000"/>
                <w:szCs w:val="21"/>
              </w:rPr>
            </w:pPr>
            <w:r>
              <w:rPr>
                <w:rFonts w:hint="eastAsia" w:ascii="宋体" w:hAnsi="宋体" w:cs="宋体"/>
                <w:kern w:val="0"/>
                <w:szCs w:val="21"/>
              </w:rPr>
              <w:t>4、弹簧：采用S形高强力钢制弹簧，采用氯酊喷胶；</w:t>
            </w:r>
          </w:p>
        </w:tc>
      </w:tr>
      <w:tr w14:paraId="20A6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65498F0">
            <w:pPr>
              <w:jc w:val="center"/>
              <w:rPr>
                <w:rFonts w:hint="eastAsia" w:ascii="宋体" w:hAnsi="宋体"/>
                <w:bCs/>
                <w:szCs w:val="21"/>
              </w:rPr>
            </w:pPr>
          </w:p>
        </w:tc>
        <w:tc>
          <w:tcPr>
            <w:tcW w:w="872" w:type="dxa"/>
            <w:vMerge w:val="continue"/>
            <w:noWrap w:val="0"/>
            <w:vAlign w:val="center"/>
          </w:tcPr>
          <w:p w14:paraId="3D52A105">
            <w:pPr>
              <w:jc w:val="center"/>
              <w:rPr>
                <w:rFonts w:hint="eastAsia" w:ascii="宋体" w:hAnsi="宋体"/>
                <w:color w:val="000000"/>
                <w:szCs w:val="21"/>
              </w:rPr>
            </w:pPr>
          </w:p>
        </w:tc>
        <w:tc>
          <w:tcPr>
            <w:tcW w:w="1541" w:type="dxa"/>
            <w:vMerge w:val="continue"/>
            <w:noWrap/>
            <w:vAlign w:val="center"/>
          </w:tcPr>
          <w:p w14:paraId="4348FEAC">
            <w:pPr>
              <w:widowControl/>
              <w:jc w:val="center"/>
            </w:pPr>
          </w:p>
        </w:tc>
        <w:tc>
          <w:tcPr>
            <w:tcW w:w="6986" w:type="dxa"/>
            <w:noWrap/>
            <w:vAlign w:val="center"/>
          </w:tcPr>
          <w:p w14:paraId="65064393">
            <w:pPr>
              <w:widowControl/>
              <w:spacing w:line="320" w:lineRule="exact"/>
              <w:jc w:val="left"/>
              <w:rPr>
                <w:rFonts w:hint="eastAsia" w:ascii="宋体" w:hAnsi="宋体" w:cs="宋体"/>
                <w:color w:val="000000"/>
                <w:szCs w:val="21"/>
              </w:rPr>
            </w:pPr>
            <w:r>
              <w:rPr>
                <w:rFonts w:hint="eastAsia" w:ascii="宋体" w:hAnsi="宋体" w:cs="宋体"/>
                <w:kern w:val="0"/>
                <w:szCs w:val="21"/>
              </w:rPr>
              <w:t>5、木内框架：选用上等的实木，材质坚硬、刚性强、含水率≤9%；</w:t>
            </w:r>
          </w:p>
        </w:tc>
      </w:tr>
      <w:tr w14:paraId="6810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5772295">
            <w:pPr>
              <w:jc w:val="center"/>
              <w:rPr>
                <w:rFonts w:hint="eastAsia" w:ascii="宋体" w:hAnsi="宋体"/>
                <w:bCs/>
                <w:szCs w:val="21"/>
              </w:rPr>
            </w:pPr>
          </w:p>
        </w:tc>
        <w:tc>
          <w:tcPr>
            <w:tcW w:w="872" w:type="dxa"/>
            <w:vMerge w:val="continue"/>
            <w:noWrap w:val="0"/>
            <w:vAlign w:val="center"/>
          </w:tcPr>
          <w:p w14:paraId="79D35E9D">
            <w:pPr>
              <w:jc w:val="center"/>
              <w:rPr>
                <w:rFonts w:hint="eastAsia" w:ascii="宋体" w:hAnsi="宋体"/>
                <w:color w:val="000000"/>
                <w:szCs w:val="21"/>
              </w:rPr>
            </w:pPr>
          </w:p>
        </w:tc>
        <w:tc>
          <w:tcPr>
            <w:tcW w:w="1541" w:type="dxa"/>
            <w:vMerge w:val="continue"/>
            <w:noWrap/>
            <w:vAlign w:val="center"/>
          </w:tcPr>
          <w:p w14:paraId="01283265">
            <w:pPr>
              <w:widowControl/>
              <w:jc w:val="center"/>
            </w:pPr>
          </w:p>
        </w:tc>
        <w:tc>
          <w:tcPr>
            <w:tcW w:w="6986" w:type="dxa"/>
            <w:noWrap/>
            <w:vAlign w:val="center"/>
          </w:tcPr>
          <w:p w14:paraId="683B04BA">
            <w:pPr>
              <w:widowControl/>
              <w:spacing w:line="320" w:lineRule="exact"/>
              <w:jc w:val="left"/>
              <w:rPr>
                <w:rFonts w:hint="eastAsia" w:ascii="宋体" w:hAnsi="宋体" w:cs="宋体"/>
                <w:kern w:val="0"/>
                <w:szCs w:val="21"/>
              </w:rPr>
            </w:pPr>
            <w:r>
              <w:rPr>
                <w:rFonts w:hint="eastAsia" w:ascii="宋体" w:hAnsi="宋体" w:cs="宋体"/>
                <w:kern w:val="0"/>
                <w:szCs w:val="21"/>
              </w:rPr>
              <w:t>6、脚架：采用不锈钢脚架；</w:t>
            </w:r>
          </w:p>
        </w:tc>
      </w:tr>
      <w:tr w14:paraId="3511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27516943">
            <w:pPr>
              <w:jc w:val="center"/>
              <w:rPr>
                <w:rFonts w:hint="eastAsia" w:ascii="宋体" w:hAnsi="宋体"/>
                <w:bCs/>
                <w:szCs w:val="21"/>
              </w:rPr>
            </w:pPr>
          </w:p>
        </w:tc>
        <w:tc>
          <w:tcPr>
            <w:tcW w:w="872" w:type="dxa"/>
            <w:vMerge w:val="continue"/>
            <w:noWrap w:val="0"/>
            <w:vAlign w:val="center"/>
          </w:tcPr>
          <w:p w14:paraId="293F743F">
            <w:pPr>
              <w:jc w:val="center"/>
              <w:rPr>
                <w:rFonts w:hint="eastAsia" w:ascii="宋体" w:hAnsi="宋体"/>
                <w:color w:val="000000"/>
                <w:szCs w:val="21"/>
              </w:rPr>
            </w:pPr>
          </w:p>
        </w:tc>
        <w:tc>
          <w:tcPr>
            <w:tcW w:w="1541" w:type="dxa"/>
            <w:vMerge w:val="continue"/>
            <w:noWrap/>
            <w:vAlign w:val="center"/>
          </w:tcPr>
          <w:p w14:paraId="004A4DED">
            <w:pPr>
              <w:widowControl/>
              <w:jc w:val="center"/>
            </w:pPr>
          </w:p>
        </w:tc>
        <w:tc>
          <w:tcPr>
            <w:tcW w:w="6986" w:type="dxa"/>
            <w:noWrap/>
            <w:vAlign w:val="center"/>
          </w:tcPr>
          <w:p w14:paraId="63F9AC83">
            <w:pPr>
              <w:widowControl/>
              <w:spacing w:line="320" w:lineRule="exact"/>
              <w:jc w:val="left"/>
              <w:rPr>
                <w:rFonts w:hint="eastAsia" w:ascii="宋体" w:hAnsi="宋体" w:cs="宋体"/>
                <w:kern w:val="0"/>
                <w:szCs w:val="21"/>
              </w:rPr>
            </w:pPr>
            <w:r>
              <w:rPr>
                <w:rFonts w:hint="eastAsia" w:ascii="宋体" w:hAnsi="宋体" w:cs="宋体"/>
                <w:b/>
                <w:color w:val="FF0000"/>
                <w:kern w:val="0"/>
                <w:szCs w:val="21"/>
              </w:rPr>
              <w:t>▲7、海绵：依据GB/T 10802-2006《通用软质聚醚型聚氨酯泡沫塑料》、GB 17927.2-2011《软体家具 床垫和沙发 抗引燃特性的评定 第2部分:模拟火柴火焰》、QB/T 1952.1-2012《软体家具 沙发》、QB/T 2080-2018《高回弹软质聚氨酯泡沫塑料》、GB 8624-2012《建筑材料及制品燃烧性能分级》、QB/T 2280-2016《办公家具办公椅》标准，检验结果：①物理力学性能：75%压缩永久变形≤3%，撕裂强度≥12N/cm，65%/25%压陷比≥4.0，伸长率≥200%，干热老化后拉伸强度≥160KPa，湿热老化后拉伸强度≥160KPa；</w:t>
            </w:r>
            <w:r>
              <w:rPr>
                <w:rFonts w:ascii="宋体" w:hAnsi="宋体" w:cs="宋体"/>
                <w:b/>
                <w:color w:val="FF0000"/>
                <w:kern w:val="0"/>
                <w:szCs w:val="21"/>
              </w:rPr>
              <w:t>②</w:t>
            </w:r>
            <w:r>
              <w:rPr>
                <w:rFonts w:hint="eastAsia" w:ascii="宋体" w:hAnsi="宋体" w:cs="宋体"/>
                <w:b/>
                <w:color w:val="FF0000"/>
                <w:kern w:val="0"/>
                <w:szCs w:val="21"/>
              </w:rPr>
              <w:t>≥6万次恒定负荷反复压陷疲劳后40%压陷硬度损失值≤20%；甲醛释放量、TVOC均为未检出（“未检出”表示含量低于方法测定低限）；③泡沫塑数：表观密度≥50kg/m3，回弹性能≥50%；拉伸强度≥90KPa；④家具制品用泡沫塑料燃烧性能等级B2级，平均燃烧时间≤22s，平均燃烧高度≤220mm；须提供第三方检测机构出具的具有CMA标志的检测报告扫描件，原件备查，检测报告需体现海绵满足以上参数的检验报告，对应参数在检测报告中标注；</w:t>
            </w:r>
          </w:p>
        </w:tc>
      </w:tr>
      <w:tr w14:paraId="4E6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8720489">
            <w:pPr>
              <w:jc w:val="center"/>
              <w:rPr>
                <w:rFonts w:hint="eastAsia" w:ascii="宋体" w:hAnsi="宋体"/>
                <w:bCs/>
                <w:szCs w:val="21"/>
              </w:rPr>
            </w:pPr>
          </w:p>
        </w:tc>
        <w:tc>
          <w:tcPr>
            <w:tcW w:w="872" w:type="dxa"/>
            <w:vMerge w:val="continue"/>
            <w:noWrap w:val="0"/>
            <w:vAlign w:val="center"/>
          </w:tcPr>
          <w:p w14:paraId="5EACF4DA">
            <w:pPr>
              <w:jc w:val="center"/>
              <w:rPr>
                <w:rFonts w:hint="eastAsia" w:ascii="宋体" w:hAnsi="宋体"/>
                <w:color w:val="000000"/>
                <w:szCs w:val="21"/>
              </w:rPr>
            </w:pPr>
          </w:p>
        </w:tc>
        <w:tc>
          <w:tcPr>
            <w:tcW w:w="1541" w:type="dxa"/>
            <w:vMerge w:val="continue"/>
            <w:noWrap/>
            <w:vAlign w:val="center"/>
          </w:tcPr>
          <w:p w14:paraId="0310A945">
            <w:pPr>
              <w:widowControl/>
              <w:jc w:val="center"/>
            </w:pPr>
          </w:p>
        </w:tc>
        <w:tc>
          <w:tcPr>
            <w:tcW w:w="6986" w:type="dxa"/>
            <w:noWrap/>
            <w:vAlign w:val="center"/>
          </w:tcPr>
          <w:p w14:paraId="50FD0B65">
            <w:pPr>
              <w:widowControl/>
              <w:spacing w:line="320" w:lineRule="exact"/>
              <w:rPr>
                <w:rFonts w:hint="eastAsia" w:ascii="宋体" w:hAnsi="宋体" w:cs="宋体"/>
                <w:color w:val="000000"/>
                <w:szCs w:val="21"/>
              </w:rPr>
            </w:pPr>
            <w:r>
              <w:rPr>
                <w:rFonts w:hint="eastAsia" w:ascii="宋体" w:hAnsi="宋体" w:cs="宋体"/>
                <w:b/>
                <w:color w:val="FF0000"/>
                <w:kern w:val="0"/>
                <w:szCs w:val="21"/>
              </w:rPr>
              <w:t>▲8、皮革（西皮）：皮革（西皮）符合GB/T 16799-2018《家具用皮革》、QB/T 4341-2012《抗菌聚氨酯合成革 抗菌性能试验方法和抗菌效果》、QB/T 4199-2011《皮革 防霉性能测定方法》和 GB 20286-2006《公共场所阻燃制品及组件燃烧性能要求和标识》标准规定的要求：摩擦色牢度、耐磨性检测合格；撕裂力≥78N；禁用偶氮染料和游离甲醛未检出；抗菌率（鲍曼不动杆菌）≥99%；防霉等级（绿色木霉）1级；燃烧性能等级符合阻燃2级规定要求（热速率释放峰值≤216kw、5min内放出的总能量≤39MJ、试件未整体燃烧符合要求）。须提供第三方检测机构出具的具有CMA标志的检测报告扫描件，原件备查，检测报告需体现皮革（西皮）满足以上参数的检验报告，对应参数在检测报告中标注；</w:t>
            </w:r>
          </w:p>
        </w:tc>
      </w:tr>
      <w:tr w14:paraId="2FF8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01A90CE3">
            <w:pPr>
              <w:jc w:val="center"/>
              <w:rPr>
                <w:rFonts w:hint="eastAsia" w:ascii="宋体" w:hAnsi="宋体"/>
                <w:bCs/>
                <w:szCs w:val="21"/>
              </w:rPr>
            </w:pPr>
            <w:r>
              <w:rPr>
                <w:rFonts w:hint="eastAsia" w:ascii="宋体" w:hAnsi="宋体"/>
                <w:bCs/>
                <w:szCs w:val="21"/>
              </w:rPr>
              <w:t>7</w:t>
            </w:r>
          </w:p>
        </w:tc>
        <w:tc>
          <w:tcPr>
            <w:tcW w:w="872" w:type="dxa"/>
            <w:vMerge w:val="restart"/>
            <w:noWrap w:val="0"/>
            <w:vAlign w:val="center"/>
          </w:tcPr>
          <w:p w14:paraId="0E59C725">
            <w:pPr>
              <w:jc w:val="center"/>
              <w:rPr>
                <w:rFonts w:hint="eastAsia" w:ascii="宋体" w:hAnsi="宋体"/>
                <w:color w:val="000000"/>
                <w:szCs w:val="21"/>
              </w:rPr>
            </w:pPr>
            <w:r>
              <w:rPr>
                <w:rFonts w:hint="eastAsia" w:ascii="宋体" w:hAnsi="宋体"/>
                <w:color w:val="000000"/>
                <w:szCs w:val="21"/>
              </w:rPr>
              <w:t>木沙发1</w:t>
            </w:r>
          </w:p>
        </w:tc>
        <w:tc>
          <w:tcPr>
            <w:tcW w:w="1541" w:type="dxa"/>
            <w:vMerge w:val="restart"/>
            <w:noWrap/>
            <w:vAlign w:val="center"/>
          </w:tcPr>
          <w:p w14:paraId="03E19D42">
            <w:pPr>
              <w:widowControl/>
              <w:jc w:val="center"/>
            </w:pPr>
            <w:r>
              <w:drawing>
                <wp:inline distT="0" distB="0" distL="114300" distR="114300">
                  <wp:extent cx="840105" cy="574675"/>
                  <wp:effectExtent l="0" t="0" r="1714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40105" cy="574675"/>
                          </a:xfrm>
                          <a:prstGeom prst="rect">
                            <a:avLst/>
                          </a:prstGeom>
                          <a:noFill/>
                          <a:ln>
                            <a:noFill/>
                          </a:ln>
                        </pic:spPr>
                      </pic:pic>
                    </a:graphicData>
                  </a:graphic>
                </wp:inline>
              </w:drawing>
            </w:r>
          </w:p>
        </w:tc>
        <w:tc>
          <w:tcPr>
            <w:tcW w:w="6986" w:type="dxa"/>
            <w:noWrap/>
            <w:vAlign w:val="center"/>
          </w:tcPr>
          <w:p w14:paraId="36EA53DE">
            <w:pPr>
              <w:widowControl/>
              <w:spacing w:line="320" w:lineRule="exact"/>
              <w:jc w:val="left"/>
              <w:rPr>
                <w:rFonts w:ascii="宋体" w:hAnsi="宋体" w:cs="宋体"/>
                <w:kern w:val="0"/>
                <w:szCs w:val="21"/>
              </w:rPr>
            </w:pPr>
            <w:r>
              <w:rPr>
                <w:rFonts w:hint="eastAsia" w:ascii="宋体" w:hAnsi="宋体" w:cs="宋体"/>
                <w:kern w:val="0"/>
                <w:szCs w:val="21"/>
              </w:rPr>
              <w:t>1、规格尺寸：W1905</w:t>
            </w:r>
            <w:r>
              <w:rPr>
                <w:rFonts w:hint="eastAsia" w:ascii="宋体" w:hAnsi="宋体" w:cs="宋体"/>
                <w:color w:val="000000"/>
                <w:szCs w:val="21"/>
              </w:rPr>
              <w:t>×D</w:t>
            </w:r>
            <w:r>
              <w:rPr>
                <w:rFonts w:hint="eastAsia" w:ascii="宋体" w:hAnsi="宋体" w:cs="宋体"/>
                <w:kern w:val="0"/>
                <w:szCs w:val="21"/>
              </w:rPr>
              <w:t>760</w:t>
            </w:r>
            <w:r>
              <w:rPr>
                <w:rFonts w:hint="eastAsia" w:ascii="宋体" w:hAnsi="宋体" w:cs="宋体"/>
                <w:color w:val="000000"/>
                <w:szCs w:val="21"/>
              </w:rPr>
              <w:t>×H</w:t>
            </w:r>
            <w:r>
              <w:rPr>
                <w:rFonts w:hint="eastAsia" w:ascii="宋体" w:hAnsi="宋体" w:cs="宋体"/>
                <w:kern w:val="0"/>
                <w:szCs w:val="21"/>
              </w:rPr>
              <w:t>880mm(±10mm)</w:t>
            </w:r>
          </w:p>
        </w:tc>
      </w:tr>
      <w:tr w14:paraId="1F1A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90BD489">
            <w:pPr>
              <w:jc w:val="center"/>
              <w:rPr>
                <w:rFonts w:hint="eastAsia" w:ascii="宋体" w:hAnsi="宋体"/>
                <w:bCs/>
                <w:szCs w:val="21"/>
              </w:rPr>
            </w:pPr>
          </w:p>
        </w:tc>
        <w:tc>
          <w:tcPr>
            <w:tcW w:w="872" w:type="dxa"/>
            <w:vMerge w:val="continue"/>
            <w:noWrap w:val="0"/>
            <w:vAlign w:val="center"/>
          </w:tcPr>
          <w:p w14:paraId="734FEA33">
            <w:pPr>
              <w:jc w:val="center"/>
              <w:rPr>
                <w:rFonts w:hint="eastAsia" w:ascii="宋体" w:hAnsi="宋体"/>
                <w:color w:val="000000"/>
                <w:szCs w:val="21"/>
              </w:rPr>
            </w:pPr>
          </w:p>
        </w:tc>
        <w:tc>
          <w:tcPr>
            <w:tcW w:w="1541" w:type="dxa"/>
            <w:vMerge w:val="continue"/>
            <w:noWrap/>
            <w:vAlign w:val="center"/>
          </w:tcPr>
          <w:p w14:paraId="3678A6B2">
            <w:pPr>
              <w:widowControl/>
              <w:jc w:val="center"/>
            </w:pPr>
          </w:p>
        </w:tc>
        <w:tc>
          <w:tcPr>
            <w:tcW w:w="6986" w:type="dxa"/>
            <w:noWrap/>
            <w:vAlign w:val="center"/>
          </w:tcPr>
          <w:p w14:paraId="451F329A">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40A1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2B5449F">
            <w:pPr>
              <w:jc w:val="center"/>
              <w:rPr>
                <w:rFonts w:hint="eastAsia" w:ascii="宋体" w:hAnsi="宋体"/>
                <w:bCs/>
                <w:szCs w:val="21"/>
              </w:rPr>
            </w:pPr>
          </w:p>
        </w:tc>
        <w:tc>
          <w:tcPr>
            <w:tcW w:w="872" w:type="dxa"/>
            <w:vMerge w:val="continue"/>
            <w:noWrap w:val="0"/>
            <w:vAlign w:val="center"/>
          </w:tcPr>
          <w:p w14:paraId="740D347C">
            <w:pPr>
              <w:jc w:val="center"/>
              <w:rPr>
                <w:rFonts w:hint="eastAsia" w:ascii="宋体" w:hAnsi="宋体"/>
                <w:color w:val="000000"/>
                <w:szCs w:val="21"/>
              </w:rPr>
            </w:pPr>
          </w:p>
        </w:tc>
        <w:tc>
          <w:tcPr>
            <w:tcW w:w="1541" w:type="dxa"/>
            <w:vMerge w:val="continue"/>
            <w:noWrap/>
            <w:vAlign w:val="center"/>
          </w:tcPr>
          <w:p w14:paraId="08AEC515">
            <w:pPr>
              <w:widowControl/>
              <w:jc w:val="center"/>
            </w:pPr>
          </w:p>
        </w:tc>
        <w:tc>
          <w:tcPr>
            <w:tcW w:w="6986" w:type="dxa"/>
            <w:noWrap/>
            <w:vAlign w:val="center"/>
          </w:tcPr>
          <w:p w14:paraId="792849DD">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5E77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537802D">
            <w:pPr>
              <w:jc w:val="center"/>
              <w:rPr>
                <w:rFonts w:hint="eastAsia" w:ascii="宋体" w:hAnsi="宋体"/>
                <w:bCs/>
                <w:szCs w:val="21"/>
              </w:rPr>
            </w:pPr>
          </w:p>
        </w:tc>
        <w:tc>
          <w:tcPr>
            <w:tcW w:w="872" w:type="dxa"/>
            <w:vMerge w:val="continue"/>
            <w:noWrap w:val="0"/>
            <w:vAlign w:val="center"/>
          </w:tcPr>
          <w:p w14:paraId="3CCC7C43">
            <w:pPr>
              <w:jc w:val="center"/>
              <w:rPr>
                <w:rFonts w:hint="eastAsia" w:ascii="宋体" w:hAnsi="宋体"/>
                <w:color w:val="000000"/>
                <w:szCs w:val="21"/>
              </w:rPr>
            </w:pPr>
          </w:p>
        </w:tc>
        <w:tc>
          <w:tcPr>
            <w:tcW w:w="1541" w:type="dxa"/>
            <w:vMerge w:val="continue"/>
            <w:noWrap/>
            <w:vAlign w:val="center"/>
          </w:tcPr>
          <w:p w14:paraId="40DBCF02">
            <w:pPr>
              <w:widowControl/>
              <w:jc w:val="center"/>
            </w:pPr>
          </w:p>
        </w:tc>
        <w:tc>
          <w:tcPr>
            <w:tcW w:w="6986" w:type="dxa"/>
            <w:noWrap/>
            <w:vAlign w:val="center"/>
          </w:tcPr>
          <w:p w14:paraId="70DA4915">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09AB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22DB3AF7">
            <w:pPr>
              <w:jc w:val="center"/>
              <w:rPr>
                <w:rFonts w:hint="eastAsia" w:ascii="宋体" w:hAnsi="宋体"/>
                <w:bCs/>
                <w:szCs w:val="21"/>
              </w:rPr>
            </w:pPr>
          </w:p>
        </w:tc>
        <w:tc>
          <w:tcPr>
            <w:tcW w:w="872" w:type="dxa"/>
            <w:vMerge w:val="continue"/>
            <w:noWrap w:val="0"/>
            <w:vAlign w:val="center"/>
          </w:tcPr>
          <w:p w14:paraId="573DD448">
            <w:pPr>
              <w:jc w:val="center"/>
              <w:rPr>
                <w:rFonts w:hint="eastAsia" w:ascii="宋体" w:hAnsi="宋体"/>
                <w:color w:val="000000"/>
                <w:szCs w:val="21"/>
              </w:rPr>
            </w:pPr>
          </w:p>
        </w:tc>
        <w:tc>
          <w:tcPr>
            <w:tcW w:w="1541" w:type="dxa"/>
            <w:vMerge w:val="continue"/>
            <w:noWrap/>
            <w:vAlign w:val="center"/>
          </w:tcPr>
          <w:p w14:paraId="73C67AE1">
            <w:pPr>
              <w:widowControl/>
              <w:jc w:val="center"/>
            </w:pPr>
          </w:p>
        </w:tc>
        <w:tc>
          <w:tcPr>
            <w:tcW w:w="6986" w:type="dxa"/>
            <w:noWrap/>
            <w:vAlign w:val="center"/>
          </w:tcPr>
          <w:p w14:paraId="246817CE">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12A1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0FD793C3">
            <w:pPr>
              <w:jc w:val="center"/>
              <w:rPr>
                <w:rFonts w:hint="eastAsia" w:ascii="宋体" w:hAnsi="宋体"/>
                <w:bCs/>
                <w:szCs w:val="21"/>
              </w:rPr>
            </w:pPr>
          </w:p>
        </w:tc>
        <w:tc>
          <w:tcPr>
            <w:tcW w:w="872" w:type="dxa"/>
            <w:vMerge w:val="continue"/>
            <w:noWrap w:val="0"/>
            <w:vAlign w:val="center"/>
          </w:tcPr>
          <w:p w14:paraId="7FF7F4E5">
            <w:pPr>
              <w:jc w:val="center"/>
              <w:rPr>
                <w:rFonts w:hint="eastAsia" w:ascii="宋体" w:hAnsi="宋体"/>
                <w:color w:val="000000"/>
                <w:szCs w:val="21"/>
              </w:rPr>
            </w:pPr>
          </w:p>
        </w:tc>
        <w:tc>
          <w:tcPr>
            <w:tcW w:w="1541" w:type="dxa"/>
            <w:vMerge w:val="continue"/>
            <w:noWrap/>
            <w:vAlign w:val="center"/>
          </w:tcPr>
          <w:p w14:paraId="51D5983F">
            <w:pPr>
              <w:widowControl/>
              <w:jc w:val="center"/>
            </w:pPr>
          </w:p>
        </w:tc>
        <w:tc>
          <w:tcPr>
            <w:tcW w:w="6986" w:type="dxa"/>
            <w:noWrap/>
            <w:vAlign w:val="center"/>
          </w:tcPr>
          <w:p w14:paraId="1CD65B8C">
            <w:pPr>
              <w:widowControl/>
              <w:spacing w:line="320" w:lineRule="exact"/>
              <w:rPr>
                <w:rFonts w:hint="eastAsia" w:ascii="宋体" w:hAnsi="宋体" w:cs="宋体"/>
                <w:color w:val="000000"/>
                <w:szCs w:val="21"/>
              </w:rPr>
            </w:pPr>
            <w:r>
              <w:rPr>
                <w:rFonts w:hint="eastAsia" w:ascii="宋体" w:hAnsi="宋体" w:cs="宋体"/>
                <w:b/>
                <w:color w:val="FF0000"/>
                <w:kern w:val="0"/>
                <w:szCs w:val="21"/>
              </w:rPr>
              <w:t>▲6、油漆：依据GB 18581-2020《木器涂料中有害物质限量》、GB/T 1741-2020《漆膜耐霉菌性测定法》、GB/T 21866-2008《抗菌涂料(漆膜)抗菌性测定法和抗菌效果》、GB/T 23999-2009《室内装饰装修用水性木器涂料标准》、HJ 2537-2014《环境标志产品技术要求 水性涂料》标准，检验结果：VOC含量≤10g/L；甲醛含量≤10mg/kg；总铅（Pb）含量≤5mg/kg；可溶性重金属：镉（Cd）含量≤5mg/kg、铬（Cr）含量≤5mg/kg、汞（Hg）含量≤5mg/kg；乙二醇醚及醚脂总和含量≤20mg/kg；苯系物总和含量（限苯、甲苯、二甲苯含乙苯）≤20mg/kg；烷基酚聚氧乙烯醚总和含量≤20mg/kg；多环芳烃总和含量（限萘和蔥）≤5mg/kg；游离二氰酸酯总和含量（限甲苯二异氰酸酯、六亚甲基二异氰酸酯）≤0.1%；卤代烃总和含量≤0.01%；苯、甲苯、二甲苯、乙苯的总量≤20mg/kg；硬度（擦伤）≥4H；抗细菌率（大肠杆菌（大肠埃希氏菌））≥99%；须提供第三方检测机构出具的具有CMA标志的检测报告扫描件，原件备查，检测报告需体现油漆满足以上参数的检验报告，对应参数在检测报告中标注；</w:t>
            </w:r>
          </w:p>
        </w:tc>
      </w:tr>
      <w:tr w14:paraId="5E0F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2A9B79AD">
            <w:pPr>
              <w:jc w:val="center"/>
              <w:rPr>
                <w:rFonts w:hint="eastAsia" w:ascii="宋体" w:hAnsi="宋体"/>
                <w:bCs/>
                <w:szCs w:val="21"/>
              </w:rPr>
            </w:pPr>
            <w:r>
              <w:rPr>
                <w:rFonts w:hint="eastAsia" w:ascii="宋体" w:hAnsi="宋体"/>
                <w:bCs/>
                <w:szCs w:val="21"/>
              </w:rPr>
              <w:t>8</w:t>
            </w:r>
          </w:p>
        </w:tc>
        <w:tc>
          <w:tcPr>
            <w:tcW w:w="872" w:type="dxa"/>
            <w:vMerge w:val="restart"/>
            <w:noWrap w:val="0"/>
            <w:vAlign w:val="center"/>
          </w:tcPr>
          <w:p w14:paraId="59141B42">
            <w:pPr>
              <w:jc w:val="center"/>
              <w:rPr>
                <w:rFonts w:hint="eastAsia" w:ascii="宋体" w:hAnsi="宋体"/>
                <w:color w:val="000000"/>
                <w:szCs w:val="21"/>
              </w:rPr>
            </w:pPr>
            <w:r>
              <w:rPr>
                <w:rFonts w:hint="eastAsia" w:ascii="宋体" w:hAnsi="宋体"/>
                <w:color w:val="000000"/>
                <w:szCs w:val="21"/>
              </w:rPr>
              <w:t>茶几1</w:t>
            </w:r>
          </w:p>
        </w:tc>
        <w:tc>
          <w:tcPr>
            <w:tcW w:w="1541" w:type="dxa"/>
            <w:vMerge w:val="restart"/>
            <w:noWrap/>
            <w:vAlign w:val="center"/>
          </w:tcPr>
          <w:p w14:paraId="3D0B0AF3">
            <w:pPr>
              <w:widowControl/>
              <w:jc w:val="center"/>
            </w:pPr>
            <w:r>
              <w:drawing>
                <wp:inline distT="0" distB="0" distL="114300" distR="114300">
                  <wp:extent cx="840740" cy="457200"/>
                  <wp:effectExtent l="0" t="0" r="165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840740" cy="457200"/>
                          </a:xfrm>
                          <a:prstGeom prst="rect">
                            <a:avLst/>
                          </a:prstGeom>
                          <a:noFill/>
                          <a:ln>
                            <a:noFill/>
                          </a:ln>
                        </pic:spPr>
                      </pic:pic>
                    </a:graphicData>
                  </a:graphic>
                </wp:inline>
              </w:drawing>
            </w:r>
          </w:p>
        </w:tc>
        <w:tc>
          <w:tcPr>
            <w:tcW w:w="6986" w:type="dxa"/>
            <w:noWrap/>
            <w:vAlign w:val="center"/>
          </w:tcPr>
          <w:p w14:paraId="3D375FD2">
            <w:pPr>
              <w:widowControl/>
              <w:spacing w:line="320" w:lineRule="exact"/>
              <w:jc w:val="left"/>
              <w:rPr>
                <w:rFonts w:hint="eastAsia" w:ascii="宋体" w:hAnsi="宋体" w:cs="宋体"/>
                <w:kern w:val="0"/>
                <w:szCs w:val="21"/>
              </w:rPr>
            </w:pPr>
            <w:r>
              <w:rPr>
                <w:rFonts w:hint="eastAsia" w:ascii="宋体" w:hAnsi="宋体" w:cs="宋体"/>
                <w:kern w:val="0"/>
                <w:szCs w:val="21"/>
              </w:rPr>
              <w:t>1、规格尺寸：W1200×D600×H450mm(±10mm)</w:t>
            </w:r>
          </w:p>
        </w:tc>
      </w:tr>
      <w:tr w14:paraId="127F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CAB99E3">
            <w:pPr>
              <w:jc w:val="center"/>
              <w:rPr>
                <w:rFonts w:hint="eastAsia" w:ascii="宋体" w:hAnsi="宋体"/>
                <w:bCs/>
                <w:szCs w:val="21"/>
              </w:rPr>
            </w:pPr>
          </w:p>
        </w:tc>
        <w:tc>
          <w:tcPr>
            <w:tcW w:w="872" w:type="dxa"/>
            <w:vMerge w:val="continue"/>
            <w:noWrap w:val="0"/>
            <w:vAlign w:val="center"/>
          </w:tcPr>
          <w:p w14:paraId="09EC4AAD">
            <w:pPr>
              <w:jc w:val="center"/>
              <w:rPr>
                <w:rFonts w:hint="eastAsia" w:ascii="宋体" w:hAnsi="宋体"/>
                <w:color w:val="000000"/>
                <w:szCs w:val="21"/>
              </w:rPr>
            </w:pPr>
          </w:p>
        </w:tc>
        <w:tc>
          <w:tcPr>
            <w:tcW w:w="1541" w:type="dxa"/>
            <w:vMerge w:val="continue"/>
            <w:noWrap/>
            <w:vAlign w:val="center"/>
          </w:tcPr>
          <w:p w14:paraId="5259D5E2">
            <w:pPr>
              <w:widowControl/>
              <w:jc w:val="center"/>
            </w:pPr>
          </w:p>
        </w:tc>
        <w:tc>
          <w:tcPr>
            <w:tcW w:w="6986" w:type="dxa"/>
            <w:noWrap/>
            <w:vAlign w:val="center"/>
          </w:tcPr>
          <w:p w14:paraId="59FAE967">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317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200E13B1">
            <w:pPr>
              <w:jc w:val="center"/>
              <w:rPr>
                <w:rFonts w:hint="eastAsia" w:ascii="宋体" w:hAnsi="宋体"/>
                <w:bCs/>
                <w:szCs w:val="21"/>
              </w:rPr>
            </w:pPr>
          </w:p>
        </w:tc>
        <w:tc>
          <w:tcPr>
            <w:tcW w:w="872" w:type="dxa"/>
            <w:vMerge w:val="continue"/>
            <w:noWrap w:val="0"/>
            <w:vAlign w:val="center"/>
          </w:tcPr>
          <w:p w14:paraId="52F0BE12">
            <w:pPr>
              <w:jc w:val="center"/>
              <w:rPr>
                <w:rFonts w:hint="eastAsia" w:ascii="宋体" w:hAnsi="宋体"/>
                <w:color w:val="000000"/>
                <w:szCs w:val="21"/>
              </w:rPr>
            </w:pPr>
          </w:p>
        </w:tc>
        <w:tc>
          <w:tcPr>
            <w:tcW w:w="1541" w:type="dxa"/>
            <w:vMerge w:val="continue"/>
            <w:noWrap/>
            <w:vAlign w:val="center"/>
          </w:tcPr>
          <w:p w14:paraId="3C5A7D71">
            <w:pPr>
              <w:widowControl/>
              <w:jc w:val="center"/>
            </w:pPr>
          </w:p>
        </w:tc>
        <w:tc>
          <w:tcPr>
            <w:tcW w:w="6986" w:type="dxa"/>
            <w:noWrap/>
            <w:vAlign w:val="center"/>
          </w:tcPr>
          <w:p w14:paraId="7635F332">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5F58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A51C7E3">
            <w:pPr>
              <w:jc w:val="center"/>
              <w:rPr>
                <w:rFonts w:hint="eastAsia" w:ascii="宋体" w:hAnsi="宋体"/>
                <w:bCs/>
                <w:szCs w:val="21"/>
              </w:rPr>
            </w:pPr>
          </w:p>
        </w:tc>
        <w:tc>
          <w:tcPr>
            <w:tcW w:w="872" w:type="dxa"/>
            <w:vMerge w:val="continue"/>
            <w:noWrap w:val="0"/>
            <w:vAlign w:val="center"/>
          </w:tcPr>
          <w:p w14:paraId="0CE9A0DB">
            <w:pPr>
              <w:jc w:val="center"/>
              <w:rPr>
                <w:rFonts w:hint="eastAsia" w:ascii="宋体" w:hAnsi="宋体"/>
                <w:color w:val="000000"/>
                <w:szCs w:val="21"/>
              </w:rPr>
            </w:pPr>
          </w:p>
        </w:tc>
        <w:tc>
          <w:tcPr>
            <w:tcW w:w="1541" w:type="dxa"/>
            <w:vMerge w:val="continue"/>
            <w:noWrap/>
            <w:vAlign w:val="center"/>
          </w:tcPr>
          <w:p w14:paraId="5C2310C2">
            <w:pPr>
              <w:widowControl/>
              <w:jc w:val="center"/>
            </w:pPr>
          </w:p>
        </w:tc>
        <w:tc>
          <w:tcPr>
            <w:tcW w:w="6986" w:type="dxa"/>
            <w:noWrap/>
            <w:vAlign w:val="center"/>
          </w:tcPr>
          <w:p w14:paraId="2AC9A480">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7954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58E29AA">
            <w:pPr>
              <w:jc w:val="center"/>
              <w:rPr>
                <w:rFonts w:hint="eastAsia" w:ascii="宋体" w:hAnsi="宋体"/>
                <w:bCs/>
                <w:szCs w:val="21"/>
              </w:rPr>
            </w:pPr>
          </w:p>
        </w:tc>
        <w:tc>
          <w:tcPr>
            <w:tcW w:w="872" w:type="dxa"/>
            <w:vMerge w:val="continue"/>
            <w:noWrap w:val="0"/>
            <w:vAlign w:val="center"/>
          </w:tcPr>
          <w:p w14:paraId="1E867037">
            <w:pPr>
              <w:jc w:val="center"/>
              <w:rPr>
                <w:rFonts w:hint="eastAsia" w:ascii="宋体" w:hAnsi="宋体"/>
                <w:color w:val="000000"/>
                <w:szCs w:val="21"/>
              </w:rPr>
            </w:pPr>
          </w:p>
        </w:tc>
        <w:tc>
          <w:tcPr>
            <w:tcW w:w="1541" w:type="dxa"/>
            <w:vMerge w:val="continue"/>
            <w:noWrap/>
            <w:vAlign w:val="center"/>
          </w:tcPr>
          <w:p w14:paraId="29C1595B">
            <w:pPr>
              <w:widowControl/>
              <w:jc w:val="center"/>
            </w:pPr>
          </w:p>
        </w:tc>
        <w:tc>
          <w:tcPr>
            <w:tcW w:w="6986" w:type="dxa"/>
            <w:noWrap/>
            <w:vAlign w:val="center"/>
          </w:tcPr>
          <w:p w14:paraId="7E3DD409">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4252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47D3BD3">
            <w:pPr>
              <w:jc w:val="center"/>
              <w:rPr>
                <w:rFonts w:hint="eastAsia" w:ascii="宋体" w:hAnsi="宋体"/>
                <w:bCs/>
                <w:szCs w:val="21"/>
              </w:rPr>
            </w:pPr>
          </w:p>
        </w:tc>
        <w:tc>
          <w:tcPr>
            <w:tcW w:w="872" w:type="dxa"/>
            <w:vMerge w:val="continue"/>
            <w:noWrap w:val="0"/>
            <w:vAlign w:val="center"/>
          </w:tcPr>
          <w:p w14:paraId="46326152">
            <w:pPr>
              <w:jc w:val="center"/>
              <w:rPr>
                <w:rFonts w:hint="eastAsia" w:ascii="宋体" w:hAnsi="宋体"/>
                <w:color w:val="000000"/>
                <w:szCs w:val="21"/>
              </w:rPr>
            </w:pPr>
          </w:p>
        </w:tc>
        <w:tc>
          <w:tcPr>
            <w:tcW w:w="1541" w:type="dxa"/>
            <w:vMerge w:val="continue"/>
            <w:noWrap/>
            <w:vAlign w:val="center"/>
          </w:tcPr>
          <w:p w14:paraId="432D0BC1">
            <w:pPr>
              <w:widowControl/>
              <w:jc w:val="center"/>
            </w:pPr>
          </w:p>
        </w:tc>
        <w:tc>
          <w:tcPr>
            <w:tcW w:w="6986" w:type="dxa"/>
            <w:noWrap/>
            <w:vAlign w:val="center"/>
          </w:tcPr>
          <w:p w14:paraId="19A29F77">
            <w:pPr>
              <w:widowControl/>
              <w:spacing w:line="320" w:lineRule="exact"/>
              <w:rPr>
                <w:rFonts w:hint="eastAsia" w:ascii="宋体" w:hAnsi="宋体" w:cs="宋体"/>
                <w:color w:val="000000"/>
                <w:szCs w:val="21"/>
              </w:rPr>
            </w:pPr>
            <w:r>
              <w:rPr>
                <w:rFonts w:hint="eastAsia" w:ascii="宋体" w:hAnsi="宋体" w:cs="宋体"/>
                <w:b/>
                <w:color w:val="FF0000"/>
                <w:kern w:val="0"/>
                <w:szCs w:val="21"/>
              </w:rPr>
              <w:t>▲6、橡胶木料：依据GB/T 3324-2017（或2024）《木家具通用技术条件》 、GB 18580-2017《室内装饰装修材料 人造板及其制品中甲醛释放限量》、QB/T 4371-2012《家具抗菌性能的评价》标准，检验结果：甲醛释放量 (气候箱法)≤0.05 mg/m</w:t>
            </w:r>
            <w:r>
              <w:rPr>
                <w:rFonts w:hint="eastAsia" w:ascii="宋体" w:hAnsi="宋体" w:cs="宋体"/>
                <w:b/>
                <w:color w:val="FF0000"/>
                <w:kern w:val="0"/>
                <w:szCs w:val="21"/>
                <w:vertAlign w:val="superscript"/>
              </w:rPr>
              <w:t>3</w:t>
            </w:r>
            <w:r>
              <w:rPr>
                <w:rFonts w:hint="eastAsia" w:ascii="宋体" w:hAnsi="宋体" w:cs="宋体"/>
                <w:b/>
                <w:color w:val="FF0000"/>
                <w:kern w:val="0"/>
                <w:szCs w:val="21"/>
              </w:rPr>
              <w:t>，抗菌性能：抑菌率(抗菌率)：金黄色葡萄球菌≥99%，大肠杆菌(大肠埃希氏菌)≥99%，外观：应无贯通裂缝，木家具中不应有虫蛀现象，外表应无腐朽材，内表轻微腐朽面积不应超过零件面积的20%，外表和存放物品部位用材应无树脂囊；须提供第三方检测机构出具的具有CMA标志的检测报告扫描件，原件备查，检测报告需体现橡胶木料满足以上参数的检验报告，对应参数在检测报告中标注；</w:t>
            </w:r>
          </w:p>
        </w:tc>
      </w:tr>
      <w:tr w14:paraId="3FB8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27C19250">
            <w:pPr>
              <w:jc w:val="center"/>
              <w:rPr>
                <w:rFonts w:hint="eastAsia" w:ascii="宋体" w:hAnsi="宋体"/>
                <w:bCs/>
                <w:szCs w:val="21"/>
              </w:rPr>
            </w:pPr>
            <w:r>
              <w:rPr>
                <w:rFonts w:hint="eastAsia" w:ascii="宋体" w:hAnsi="宋体"/>
                <w:bCs/>
                <w:szCs w:val="21"/>
              </w:rPr>
              <w:t>9</w:t>
            </w:r>
          </w:p>
        </w:tc>
        <w:tc>
          <w:tcPr>
            <w:tcW w:w="872" w:type="dxa"/>
            <w:vMerge w:val="restart"/>
            <w:noWrap w:val="0"/>
            <w:vAlign w:val="center"/>
          </w:tcPr>
          <w:p w14:paraId="05A7AFBA">
            <w:pPr>
              <w:jc w:val="center"/>
              <w:rPr>
                <w:rFonts w:hint="eastAsia" w:ascii="宋体" w:hAnsi="宋体"/>
                <w:color w:val="000000"/>
                <w:szCs w:val="21"/>
              </w:rPr>
            </w:pPr>
            <w:r>
              <w:rPr>
                <w:rFonts w:hint="eastAsia" w:ascii="宋体" w:hAnsi="宋体"/>
                <w:color w:val="000000"/>
                <w:szCs w:val="21"/>
              </w:rPr>
              <w:t>木沙发2</w:t>
            </w:r>
          </w:p>
        </w:tc>
        <w:tc>
          <w:tcPr>
            <w:tcW w:w="1541" w:type="dxa"/>
            <w:vMerge w:val="restart"/>
            <w:noWrap/>
            <w:vAlign w:val="center"/>
          </w:tcPr>
          <w:p w14:paraId="74059B87">
            <w:pPr>
              <w:widowControl/>
              <w:jc w:val="center"/>
            </w:pPr>
            <w:r>
              <w:drawing>
                <wp:inline distT="0" distB="0" distL="114300" distR="114300">
                  <wp:extent cx="840105" cy="574675"/>
                  <wp:effectExtent l="0" t="0" r="17145"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840105" cy="574675"/>
                          </a:xfrm>
                          <a:prstGeom prst="rect">
                            <a:avLst/>
                          </a:prstGeom>
                          <a:noFill/>
                          <a:ln>
                            <a:noFill/>
                          </a:ln>
                        </pic:spPr>
                      </pic:pic>
                    </a:graphicData>
                  </a:graphic>
                </wp:inline>
              </w:drawing>
            </w:r>
          </w:p>
        </w:tc>
        <w:tc>
          <w:tcPr>
            <w:tcW w:w="6986" w:type="dxa"/>
            <w:noWrap/>
            <w:vAlign w:val="center"/>
          </w:tcPr>
          <w:p w14:paraId="530C8016">
            <w:pPr>
              <w:widowControl/>
              <w:spacing w:line="320" w:lineRule="exact"/>
              <w:jc w:val="left"/>
              <w:rPr>
                <w:rFonts w:hint="eastAsia" w:ascii="宋体" w:hAnsi="宋体" w:cs="宋体"/>
                <w:kern w:val="0"/>
                <w:szCs w:val="21"/>
              </w:rPr>
            </w:pPr>
            <w:r>
              <w:rPr>
                <w:rFonts w:hint="eastAsia" w:ascii="宋体" w:hAnsi="宋体" w:cs="宋体"/>
                <w:kern w:val="0"/>
                <w:szCs w:val="21"/>
              </w:rPr>
              <w:t>1、规格尺寸：W1905</w:t>
            </w:r>
            <w:r>
              <w:rPr>
                <w:rFonts w:hint="eastAsia" w:ascii="宋体" w:hAnsi="宋体" w:cs="宋体"/>
                <w:color w:val="000000"/>
                <w:szCs w:val="21"/>
              </w:rPr>
              <w:t>×D</w:t>
            </w:r>
            <w:r>
              <w:rPr>
                <w:rFonts w:hint="eastAsia" w:ascii="宋体" w:hAnsi="宋体" w:cs="宋体"/>
                <w:kern w:val="0"/>
                <w:szCs w:val="21"/>
              </w:rPr>
              <w:t>760</w:t>
            </w:r>
            <w:r>
              <w:rPr>
                <w:rFonts w:hint="eastAsia" w:ascii="宋体" w:hAnsi="宋体" w:cs="宋体"/>
                <w:color w:val="000000"/>
                <w:szCs w:val="21"/>
              </w:rPr>
              <w:t>×H</w:t>
            </w:r>
            <w:r>
              <w:rPr>
                <w:rFonts w:hint="eastAsia" w:ascii="宋体" w:hAnsi="宋体" w:cs="宋体"/>
                <w:kern w:val="0"/>
                <w:szCs w:val="21"/>
              </w:rPr>
              <w:t>880mm(±10mm)</w:t>
            </w:r>
          </w:p>
        </w:tc>
      </w:tr>
      <w:tr w14:paraId="721E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85EE084">
            <w:pPr>
              <w:jc w:val="center"/>
              <w:rPr>
                <w:rFonts w:hint="eastAsia" w:ascii="宋体" w:hAnsi="宋体"/>
                <w:bCs/>
                <w:szCs w:val="21"/>
              </w:rPr>
            </w:pPr>
          </w:p>
        </w:tc>
        <w:tc>
          <w:tcPr>
            <w:tcW w:w="872" w:type="dxa"/>
            <w:vMerge w:val="continue"/>
            <w:noWrap w:val="0"/>
            <w:vAlign w:val="center"/>
          </w:tcPr>
          <w:p w14:paraId="4BCD1DFE">
            <w:pPr>
              <w:jc w:val="center"/>
              <w:rPr>
                <w:rFonts w:hint="eastAsia" w:ascii="宋体" w:hAnsi="宋体"/>
                <w:color w:val="000000"/>
                <w:szCs w:val="21"/>
              </w:rPr>
            </w:pPr>
          </w:p>
        </w:tc>
        <w:tc>
          <w:tcPr>
            <w:tcW w:w="1541" w:type="dxa"/>
            <w:vMerge w:val="continue"/>
            <w:noWrap/>
            <w:vAlign w:val="center"/>
          </w:tcPr>
          <w:p w14:paraId="104C0B07">
            <w:pPr>
              <w:widowControl/>
              <w:jc w:val="center"/>
            </w:pPr>
          </w:p>
        </w:tc>
        <w:tc>
          <w:tcPr>
            <w:tcW w:w="6986" w:type="dxa"/>
            <w:noWrap/>
            <w:vAlign w:val="center"/>
          </w:tcPr>
          <w:p w14:paraId="7AD9E785">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41E5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5F098D9">
            <w:pPr>
              <w:jc w:val="center"/>
              <w:rPr>
                <w:rFonts w:hint="eastAsia" w:ascii="宋体" w:hAnsi="宋体"/>
                <w:bCs/>
                <w:szCs w:val="21"/>
              </w:rPr>
            </w:pPr>
          </w:p>
        </w:tc>
        <w:tc>
          <w:tcPr>
            <w:tcW w:w="872" w:type="dxa"/>
            <w:vMerge w:val="continue"/>
            <w:noWrap w:val="0"/>
            <w:vAlign w:val="center"/>
          </w:tcPr>
          <w:p w14:paraId="7186CBC6">
            <w:pPr>
              <w:jc w:val="center"/>
              <w:rPr>
                <w:rFonts w:hint="eastAsia" w:ascii="宋体" w:hAnsi="宋体"/>
                <w:color w:val="000000"/>
                <w:szCs w:val="21"/>
              </w:rPr>
            </w:pPr>
          </w:p>
        </w:tc>
        <w:tc>
          <w:tcPr>
            <w:tcW w:w="1541" w:type="dxa"/>
            <w:vMerge w:val="continue"/>
            <w:noWrap/>
            <w:vAlign w:val="center"/>
          </w:tcPr>
          <w:p w14:paraId="341362E7">
            <w:pPr>
              <w:widowControl/>
              <w:jc w:val="center"/>
            </w:pPr>
          </w:p>
        </w:tc>
        <w:tc>
          <w:tcPr>
            <w:tcW w:w="6986" w:type="dxa"/>
            <w:noWrap/>
            <w:vAlign w:val="center"/>
          </w:tcPr>
          <w:p w14:paraId="34084578">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0113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9A17759">
            <w:pPr>
              <w:jc w:val="center"/>
              <w:rPr>
                <w:rFonts w:hint="eastAsia" w:ascii="宋体" w:hAnsi="宋体"/>
                <w:bCs/>
                <w:szCs w:val="21"/>
              </w:rPr>
            </w:pPr>
          </w:p>
        </w:tc>
        <w:tc>
          <w:tcPr>
            <w:tcW w:w="872" w:type="dxa"/>
            <w:vMerge w:val="continue"/>
            <w:noWrap w:val="0"/>
            <w:vAlign w:val="center"/>
          </w:tcPr>
          <w:p w14:paraId="260357C3">
            <w:pPr>
              <w:jc w:val="center"/>
              <w:rPr>
                <w:rFonts w:hint="eastAsia" w:ascii="宋体" w:hAnsi="宋体"/>
                <w:color w:val="000000"/>
                <w:szCs w:val="21"/>
              </w:rPr>
            </w:pPr>
          </w:p>
        </w:tc>
        <w:tc>
          <w:tcPr>
            <w:tcW w:w="1541" w:type="dxa"/>
            <w:vMerge w:val="continue"/>
            <w:noWrap/>
            <w:vAlign w:val="center"/>
          </w:tcPr>
          <w:p w14:paraId="5D247ABF">
            <w:pPr>
              <w:widowControl/>
              <w:jc w:val="center"/>
            </w:pPr>
          </w:p>
        </w:tc>
        <w:tc>
          <w:tcPr>
            <w:tcW w:w="6986" w:type="dxa"/>
            <w:noWrap/>
            <w:vAlign w:val="center"/>
          </w:tcPr>
          <w:p w14:paraId="0089FF70">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3C9C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92C6FE9">
            <w:pPr>
              <w:jc w:val="center"/>
              <w:rPr>
                <w:rFonts w:hint="eastAsia" w:ascii="宋体" w:hAnsi="宋体"/>
                <w:bCs/>
                <w:szCs w:val="21"/>
              </w:rPr>
            </w:pPr>
          </w:p>
        </w:tc>
        <w:tc>
          <w:tcPr>
            <w:tcW w:w="872" w:type="dxa"/>
            <w:vMerge w:val="continue"/>
            <w:noWrap w:val="0"/>
            <w:vAlign w:val="center"/>
          </w:tcPr>
          <w:p w14:paraId="0AE05F9E">
            <w:pPr>
              <w:jc w:val="center"/>
              <w:rPr>
                <w:rFonts w:hint="eastAsia" w:ascii="宋体" w:hAnsi="宋体"/>
                <w:color w:val="000000"/>
                <w:szCs w:val="21"/>
              </w:rPr>
            </w:pPr>
          </w:p>
        </w:tc>
        <w:tc>
          <w:tcPr>
            <w:tcW w:w="1541" w:type="dxa"/>
            <w:vMerge w:val="continue"/>
            <w:noWrap/>
            <w:vAlign w:val="center"/>
          </w:tcPr>
          <w:p w14:paraId="675BA846">
            <w:pPr>
              <w:widowControl/>
              <w:jc w:val="center"/>
            </w:pPr>
          </w:p>
        </w:tc>
        <w:tc>
          <w:tcPr>
            <w:tcW w:w="6986" w:type="dxa"/>
            <w:noWrap/>
            <w:vAlign w:val="center"/>
          </w:tcPr>
          <w:p w14:paraId="7E46075A">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5EF0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11361330">
            <w:pPr>
              <w:jc w:val="center"/>
              <w:rPr>
                <w:rFonts w:hint="eastAsia" w:ascii="宋体" w:hAnsi="宋体"/>
                <w:bCs/>
                <w:szCs w:val="21"/>
              </w:rPr>
            </w:pPr>
            <w:r>
              <w:rPr>
                <w:rFonts w:hint="eastAsia" w:ascii="宋体" w:hAnsi="宋体"/>
                <w:bCs/>
                <w:szCs w:val="21"/>
              </w:rPr>
              <w:t>10</w:t>
            </w:r>
          </w:p>
        </w:tc>
        <w:tc>
          <w:tcPr>
            <w:tcW w:w="872" w:type="dxa"/>
            <w:vMerge w:val="restart"/>
            <w:noWrap w:val="0"/>
            <w:vAlign w:val="center"/>
          </w:tcPr>
          <w:p w14:paraId="7BA6A51A">
            <w:pPr>
              <w:jc w:val="center"/>
              <w:rPr>
                <w:rFonts w:hint="eastAsia" w:ascii="宋体" w:hAnsi="宋体"/>
                <w:color w:val="000000"/>
                <w:szCs w:val="21"/>
              </w:rPr>
            </w:pPr>
            <w:r>
              <w:rPr>
                <w:rFonts w:hint="eastAsia" w:ascii="宋体" w:hAnsi="宋体"/>
                <w:color w:val="000000"/>
                <w:szCs w:val="21"/>
              </w:rPr>
              <w:t>茶几2</w:t>
            </w:r>
          </w:p>
        </w:tc>
        <w:tc>
          <w:tcPr>
            <w:tcW w:w="1541" w:type="dxa"/>
            <w:vMerge w:val="restart"/>
            <w:noWrap/>
            <w:vAlign w:val="center"/>
          </w:tcPr>
          <w:p w14:paraId="562B248C">
            <w:pPr>
              <w:widowControl/>
              <w:jc w:val="center"/>
            </w:pPr>
            <w:r>
              <w:drawing>
                <wp:inline distT="0" distB="0" distL="114300" distR="114300">
                  <wp:extent cx="840740" cy="457200"/>
                  <wp:effectExtent l="0" t="0" r="165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840740" cy="457200"/>
                          </a:xfrm>
                          <a:prstGeom prst="rect">
                            <a:avLst/>
                          </a:prstGeom>
                          <a:noFill/>
                          <a:ln>
                            <a:noFill/>
                          </a:ln>
                        </pic:spPr>
                      </pic:pic>
                    </a:graphicData>
                  </a:graphic>
                </wp:inline>
              </w:drawing>
            </w:r>
          </w:p>
        </w:tc>
        <w:tc>
          <w:tcPr>
            <w:tcW w:w="6986" w:type="dxa"/>
            <w:noWrap/>
            <w:vAlign w:val="center"/>
          </w:tcPr>
          <w:p w14:paraId="38D05845">
            <w:pPr>
              <w:widowControl/>
              <w:spacing w:line="320" w:lineRule="exact"/>
              <w:jc w:val="left"/>
              <w:rPr>
                <w:rFonts w:hint="eastAsia" w:ascii="宋体" w:hAnsi="宋体" w:cs="宋体"/>
                <w:kern w:val="0"/>
                <w:szCs w:val="21"/>
              </w:rPr>
            </w:pPr>
            <w:r>
              <w:rPr>
                <w:rFonts w:hint="eastAsia" w:ascii="宋体" w:hAnsi="宋体" w:cs="宋体"/>
                <w:kern w:val="0"/>
                <w:szCs w:val="21"/>
              </w:rPr>
              <w:t>1、规格尺寸：W1200×D600×H450mm(±10mm)</w:t>
            </w:r>
          </w:p>
        </w:tc>
      </w:tr>
      <w:tr w14:paraId="02D8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4CBD4302">
            <w:pPr>
              <w:jc w:val="center"/>
              <w:rPr>
                <w:rFonts w:hint="eastAsia" w:ascii="宋体" w:hAnsi="宋体"/>
                <w:bCs/>
                <w:szCs w:val="21"/>
              </w:rPr>
            </w:pPr>
          </w:p>
        </w:tc>
        <w:tc>
          <w:tcPr>
            <w:tcW w:w="872" w:type="dxa"/>
            <w:vMerge w:val="continue"/>
            <w:noWrap w:val="0"/>
            <w:vAlign w:val="center"/>
          </w:tcPr>
          <w:p w14:paraId="27A03DC9">
            <w:pPr>
              <w:jc w:val="center"/>
              <w:rPr>
                <w:rFonts w:hint="eastAsia" w:ascii="宋体" w:hAnsi="宋体"/>
                <w:color w:val="000000"/>
                <w:szCs w:val="21"/>
              </w:rPr>
            </w:pPr>
          </w:p>
        </w:tc>
        <w:tc>
          <w:tcPr>
            <w:tcW w:w="1541" w:type="dxa"/>
            <w:vMerge w:val="continue"/>
            <w:noWrap/>
            <w:vAlign w:val="center"/>
          </w:tcPr>
          <w:p w14:paraId="0DB9A098">
            <w:pPr>
              <w:widowControl/>
              <w:jc w:val="center"/>
            </w:pPr>
          </w:p>
        </w:tc>
        <w:tc>
          <w:tcPr>
            <w:tcW w:w="6986" w:type="dxa"/>
            <w:noWrap/>
            <w:vAlign w:val="center"/>
          </w:tcPr>
          <w:p w14:paraId="206BAEF9">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1D46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F0708E3">
            <w:pPr>
              <w:jc w:val="center"/>
              <w:rPr>
                <w:rFonts w:hint="eastAsia" w:ascii="宋体" w:hAnsi="宋体"/>
                <w:bCs/>
                <w:szCs w:val="21"/>
              </w:rPr>
            </w:pPr>
          </w:p>
        </w:tc>
        <w:tc>
          <w:tcPr>
            <w:tcW w:w="872" w:type="dxa"/>
            <w:vMerge w:val="continue"/>
            <w:noWrap w:val="0"/>
            <w:vAlign w:val="center"/>
          </w:tcPr>
          <w:p w14:paraId="783189F1">
            <w:pPr>
              <w:jc w:val="center"/>
              <w:rPr>
                <w:rFonts w:hint="eastAsia" w:ascii="宋体" w:hAnsi="宋体"/>
                <w:color w:val="000000"/>
                <w:szCs w:val="21"/>
              </w:rPr>
            </w:pPr>
          </w:p>
        </w:tc>
        <w:tc>
          <w:tcPr>
            <w:tcW w:w="1541" w:type="dxa"/>
            <w:vMerge w:val="continue"/>
            <w:noWrap/>
            <w:vAlign w:val="center"/>
          </w:tcPr>
          <w:p w14:paraId="0266D368">
            <w:pPr>
              <w:widowControl/>
              <w:jc w:val="center"/>
            </w:pPr>
          </w:p>
        </w:tc>
        <w:tc>
          <w:tcPr>
            <w:tcW w:w="6986" w:type="dxa"/>
            <w:noWrap/>
            <w:vAlign w:val="center"/>
          </w:tcPr>
          <w:p w14:paraId="51CDB3DA">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532F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6647432B">
            <w:pPr>
              <w:jc w:val="center"/>
              <w:rPr>
                <w:rFonts w:hint="eastAsia" w:ascii="宋体" w:hAnsi="宋体"/>
                <w:bCs/>
                <w:szCs w:val="21"/>
              </w:rPr>
            </w:pPr>
          </w:p>
        </w:tc>
        <w:tc>
          <w:tcPr>
            <w:tcW w:w="872" w:type="dxa"/>
            <w:vMerge w:val="continue"/>
            <w:noWrap w:val="0"/>
            <w:vAlign w:val="center"/>
          </w:tcPr>
          <w:p w14:paraId="5B83E9E4">
            <w:pPr>
              <w:jc w:val="center"/>
              <w:rPr>
                <w:rFonts w:hint="eastAsia" w:ascii="宋体" w:hAnsi="宋体"/>
                <w:color w:val="000000"/>
                <w:szCs w:val="21"/>
              </w:rPr>
            </w:pPr>
          </w:p>
        </w:tc>
        <w:tc>
          <w:tcPr>
            <w:tcW w:w="1541" w:type="dxa"/>
            <w:vMerge w:val="continue"/>
            <w:noWrap/>
            <w:vAlign w:val="center"/>
          </w:tcPr>
          <w:p w14:paraId="075560CE">
            <w:pPr>
              <w:widowControl/>
              <w:jc w:val="center"/>
            </w:pPr>
          </w:p>
        </w:tc>
        <w:tc>
          <w:tcPr>
            <w:tcW w:w="6986" w:type="dxa"/>
            <w:noWrap/>
            <w:vAlign w:val="center"/>
          </w:tcPr>
          <w:p w14:paraId="1CF0027A">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1FC9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5A9E38EE">
            <w:pPr>
              <w:jc w:val="center"/>
              <w:rPr>
                <w:rFonts w:hint="eastAsia" w:ascii="宋体" w:hAnsi="宋体"/>
                <w:bCs/>
                <w:szCs w:val="21"/>
              </w:rPr>
            </w:pPr>
          </w:p>
        </w:tc>
        <w:tc>
          <w:tcPr>
            <w:tcW w:w="872" w:type="dxa"/>
            <w:vMerge w:val="continue"/>
            <w:noWrap w:val="0"/>
            <w:vAlign w:val="center"/>
          </w:tcPr>
          <w:p w14:paraId="0B9BCD24">
            <w:pPr>
              <w:jc w:val="center"/>
              <w:rPr>
                <w:rFonts w:hint="eastAsia" w:ascii="宋体" w:hAnsi="宋体"/>
                <w:color w:val="000000"/>
                <w:szCs w:val="21"/>
              </w:rPr>
            </w:pPr>
          </w:p>
        </w:tc>
        <w:tc>
          <w:tcPr>
            <w:tcW w:w="1541" w:type="dxa"/>
            <w:vMerge w:val="continue"/>
            <w:noWrap/>
            <w:vAlign w:val="center"/>
          </w:tcPr>
          <w:p w14:paraId="0C3A7849">
            <w:pPr>
              <w:widowControl/>
              <w:jc w:val="center"/>
            </w:pPr>
          </w:p>
        </w:tc>
        <w:tc>
          <w:tcPr>
            <w:tcW w:w="6986" w:type="dxa"/>
            <w:noWrap/>
            <w:vAlign w:val="center"/>
          </w:tcPr>
          <w:p w14:paraId="14AF356A">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50EF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5144B4E6">
            <w:pPr>
              <w:jc w:val="center"/>
              <w:rPr>
                <w:rFonts w:hint="eastAsia" w:ascii="宋体" w:hAnsi="宋体"/>
                <w:bCs/>
                <w:szCs w:val="21"/>
              </w:rPr>
            </w:pPr>
            <w:r>
              <w:rPr>
                <w:rFonts w:hint="eastAsia" w:ascii="宋体" w:hAnsi="宋体"/>
                <w:bCs/>
                <w:szCs w:val="21"/>
              </w:rPr>
              <w:t>11</w:t>
            </w:r>
          </w:p>
        </w:tc>
        <w:tc>
          <w:tcPr>
            <w:tcW w:w="872" w:type="dxa"/>
            <w:vMerge w:val="restart"/>
            <w:noWrap w:val="0"/>
            <w:vAlign w:val="center"/>
          </w:tcPr>
          <w:p w14:paraId="69DFFE6A">
            <w:pPr>
              <w:jc w:val="center"/>
              <w:rPr>
                <w:rFonts w:hint="eastAsia" w:ascii="宋体" w:hAnsi="宋体"/>
                <w:color w:val="000000"/>
                <w:szCs w:val="21"/>
              </w:rPr>
            </w:pPr>
            <w:r>
              <w:rPr>
                <w:rFonts w:hint="eastAsia" w:ascii="宋体" w:hAnsi="宋体"/>
                <w:color w:val="000000"/>
                <w:szCs w:val="21"/>
              </w:rPr>
              <w:t>木沙发3</w:t>
            </w:r>
          </w:p>
        </w:tc>
        <w:tc>
          <w:tcPr>
            <w:tcW w:w="1541" w:type="dxa"/>
            <w:vMerge w:val="restart"/>
            <w:noWrap/>
            <w:vAlign w:val="center"/>
          </w:tcPr>
          <w:p w14:paraId="20E58840">
            <w:pPr>
              <w:widowControl/>
              <w:jc w:val="center"/>
            </w:pPr>
            <w:r>
              <w:drawing>
                <wp:inline distT="0" distB="0" distL="114300" distR="114300">
                  <wp:extent cx="840105" cy="574675"/>
                  <wp:effectExtent l="0" t="0" r="17145"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840105" cy="574675"/>
                          </a:xfrm>
                          <a:prstGeom prst="rect">
                            <a:avLst/>
                          </a:prstGeom>
                          <a:noFill/>
                          <a:ln>
                            <a:noFill/>
                          </a:ln>
                        </pic:spPr>
                      </pic:pic>
                    </a:graphicData>
                  </a:graphic>
                </wp:inline>
              </w:drawing>
            </w:r>
          </w:p>
        </w:tc>
        <w:tc>
          <w:tcPr>
            <w:tcW w:w="6986" w:type="dxa"/>
            <w:noWrap/>
            <w:vAlign w:val="center"/>
          </w:tcPr>
          <w:p w14:paraId="177E9B5B">
            <w:pPr>
              <w:widowControl/>
              <w:spacing w:line="320" w:lineRule="exact"/>
              <w:jc w:val="left"/>
              <w:rPr>
                <w:rFonts w:hint="eastAsia" w:ascii="宋体" w:hAnsi="宋体" w:cs="宋体"/>
                <w:kern w:val="0"/>
                <w:szCs w:val="21"/>
              </w:rPr>
            </w:pPr>
            <w:r>
              <w:rPr>
                <w:rFonts w:hint="eastAsia" w:ascii="宋体" w:hAnsi="宋体" w:cs="宋体"/>
                <w:kern w:val="0"/>
                <w:szCs w:val="21"/>
              </w:rPr>
              <w:t>1、规格尺寸：W1905</w:t>
            </w:r>
            <w:r>
              <w:rPr>
                <w:rFonts w:hint="eastAsia" w:ascii="宋体" w:hAnsi="宋体" w:cs="宋体"/>
                <w:color w:val="000000"/>
                <w:szCs w:val="21"/>
              </w:rPr>
              <w:t>×D</w:t>
            </w:r>
            <w:r>
              <w:rPr>
                <w:rFonts w:hint="eastAsia" w:ascii="宋体" w:hAnsi="宋体" w:cs="宋体"/>
                <w:kern w:val="0"/>
                <w:szCs w:val="21"/>
              </w:rPr>
              <w:t>760</w:t>
            </w:r>
            <w:r>
              <w:rPr>
                <w:rFonts w:hint="eastAsia" w:ascii="宋体" w:hAnsi="宋体" w:cs="宋体"/>
                <w:color w:val="000000"/>
                <w:szCs w:val="21"/>
              </w:rPr>
              <w:t>×H</w:t>
            </w:r>
            <w:r>
              <w:rPr>
                <w:rFonts w:hint="eastAsia" w:ascii="宋体" w:hAnsi="宋体" w:cs="宋体"/>
                <w:kern w:val="0"/>
                <w:szCs w:val="21"/>
              </w:rPr>
              <w:t>880mm(±10mm)</w:t>
            </w:r>
          </w:p>
        </w:tc>
      </w:tr>
      <w:tr w14:paraId="6EE7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D8A0DB5">
            <w:pPr>
              <w:jc w:val="center"/>
              <w:rPr>
                <w:rFonts w:hint="eastAsia" w:ascii="宋体" w:hAnsi="宋体"/>
                <w:bCs/>
                <w:szCs w:val="21"/>
              </w:rPr>
            </w:pPr>
          </w:p>
        </w:tc>
        <w:tc>
          <w:tcPr>
            <w:tcW w:w="872" w:type="dxa"/>
            <w:vMerge w:val="continue"/>
            <w:noWrap w:val="0"/>
            <w:vAlign w:val="center"/>
          </w:tcPr>
          <w:p w14:paraId="7B0FAC65">
            <w:pPr>
              <w:jc w:val="center"/>
              <w:rPr>
                <w:rFonts w:hint="eastAsia" w:ascii="宋体" w:hAnsi="宋体"/>
                <w:color w:val="000000"/>
                <w:szCs w:val="21"/>
              </w:rPr>
            </w:pPr>
          </w:p>
        </w:tc>
        <w:tc>
          <w:tcPr>
            <w:tcW w:w="1541" w:type="dxa"/>
            <w:vMerge w:val="continue"/>
            <w:noWrap/>
            <w:vAlign w:val="center"/>
          </w:tcPr>
          <w:p w14:paraId="7F474FA7">
            <w:pPr>
              <w:widowControl/>
              <w:jc w:val="center"/>
            </w:pPr>
          </w:p>
        </w:tc>
        <w:tc>
          <w:tcPr>
            <w:tcW w:w="6986" w:type="dxa"/>
            <w:noWrap/>
            <w:vAlign w:val="center"/>
          </w:tcPr>
          <w:p w14:paraId="5549A312">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3ED5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36E2B693">
            <w:pPr>
              <w:jc w:val="center"/>
              <w:rPr>
                <w:rFonts w:hint="eastAsia" w:ascii="宋体" w:hAnsi="宋体"/>
                <w:bCs/>
                <w:szCs w:val="21"/>
              </w:rPr>
            </w:pPr>
          </w:p>
        </w:tc>
        <w:tc>
          <w:tcPr>
            <w:tcW w:w="872" w:type="dxa"/>
            <w:vMerge w:val="continue"/>
            <w:noWrap w:val="0"/>
            <w:vAlign w:val="center"/>
          </w:tcPr>
          <w:p w14:paraId="6F9562DD">
            <w:pPr>
              <w:jc w:val="center"/>
              <w:rPr>
                <w:rFonts w:hint="eastAsia" w:ascii="宋体" w:hAnsi="宋体"/>
                <w:color w:val="000000"/>
                <w:szCs w:val="21"/>
              </w:rPr>
            </w:pPr>
          </w:p>
        </w:tc>
        <w:tc>
          <w:tcPr>
            <w:tcW w:w="1541" w:type="dxa"/>
            <w:vMerge w:val="continue"/>
            <w:noWrap/>
            <w:vAlign w:val="center"/>
          </w:tcPr>
          <w:p w14:paraId="0549CE1A">
            <w:pPr>
              <w:widowControl/>
              <w:jc w:val="center"/>
            </w:pPr>
          </w:p>
        </w:tc>
        <w:tc>
          <w:tcPr>
            <w:tcW w:w="6986" w:type="dxa"/>
            <w:noWrap/>
            <w:vAlign w:val="center"/>
          </w:tcPr>
          <w:p w14:paraId="2475DA70">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0B06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980C301">
            <w:pPr>
              <w:jc w:val="center"/>
              <w:rPr>
                <w:rFonts w:hint="eastAsia" w:ascii="宋体" w:hAnsi="宋体"/>
                <w:bCs/>
                <w:szCs w:val="21"/>
              </w:rPr>
            </w:pPr>
          </w:p>
        </w:tc>
        <w:tc>
          <w:tcPr>
            <w:tcW w:w="872" w:type="dxa"/>
            <w:vMerge w:val="continue"/>
            <w:noWrap w:val="0"/>
            <w:vAlign w:val="center"/>
          </w:tcPr>
          <w:p w14:paraId="3827E567">
            <w:pPr>
              <w:jc w:val="center"/>
              <w:rPr>
                <w:rFonts w:hint="eastAsia" w:ascii="宋体" w:hAnsi="宋体"/>
                <w:color w:val="000000"/>
                <w:szCs w:val="21"/>
              </w:rPr>
            </w:pPr>
          </w:p>
        </w:tc>
        <w:tc>
          <w:tcPr>
            <w:tcW w:w="1541" w:type="dxa"/>
            <w:vMerge w:val="continue"/>
            <w:noWrap/>
            <w:vAlign w:val="center"/>
          </w:tcPr>
          <w:p w14:paraId="101ED4B7">
            <w:pPr>
              <w:widowControl/>
              <w:jc w:val="center"/>
            </w:pPr>
          </w:p>
        </w:tc>
        <w:tc>
          <w:tcPr>
            <w:tcW w:w="6986" w:type="dxa"/>
            <w:noWrap/>
            <w:vAlign w:val="center"/>
          </w:tcPr>
          <w:p w14:paraId="46D50709">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01FB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7C13093">
            <w:pPr>
              <w:jc w:val="center"/>
              <w:rPr>
                <w:rFonts w:hint="eastAsia" w:ascii="宋体" w:hAnsi="宋体"/>
                <w:bCs/>
                <w:szCs w:val="21"/>
              </w:rPr>
            </w:pPr>
          </w:p>
        </w:tc>
        <w:tc>
          <w:tcPr>
            <w:tcW w:w="872" w:type="dxa"/>
            <w:vMerge w:val="continue"/>
            <w:noWrap w:val="0"/>
            <w:vAlign w:val="center"/>
          </w:tcPr>
          <w:p w14:paraId="26EDD7C4">
            <w:pPr>
              <w:jc w:val="center"/>
              <w:rPr>
                <w:rFonts w:hint="eastAsia" w:ascii="宋体" w:hAnsi="宋体"/>
                <w:color w:val="000000"/>
                <w:szCs w:val="21"/>
              </w:rPr>
            </w:pPr>
          </w:p>
        </w:tc>
        <w:tc>
          <w:tcPr>
            <w:tcW w:w="1541" w:type="dxa"/>
            <w:vMerge w:val="continue"/>
            <w:noWrap/>
            <w:vAlign w:val="center"/>
          </w:tcPr>
          <w:p w14:paraId="4EEDFC05">
            <w:pPr>
              <w:widowControl/>
              <w:jc w:val="center"/>
            </w:pPr>
          </w:p>
        </w:tc>
        <w:tc>
          <w:tcPr>
            <w:tcW w:w="6986" w:type="dxa"/>
            <w:noWrap/>
            <w:vAlign w:val="center"/>
          </w:tcPr>
          <w:p w14:paraId="001B9BB1">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r w14:paraId="52D7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restart"/>
            <w:noWrap w:val="0"/>
            <w:vAlign w:val="center"/>
          </w:tcPr>
          <w:p w14:paraId="181789F9">
            <w:pPr>
              <w:jc w:val="center"/>
              <w:rPr>
                <w:rFonts w:hint="eastAsia" w:ascii="宋体" w:hAnsi="宋体"/>
                <w:bCs/>
                <w:szCs w:val="21"/>
              </w:rPr>
            </w:pPr>
            <w:r>
              <w:rPr>
                <w:rFonts w:hint="eastAsia" w:ascii="宋体" w:hAnsi="宋体"/>
                <w:bCs/>
                <w:szCs w:val="21"/>
              </w:rPr>
              <w:t>12</w:t>
            </w:r>
          </w:p>
        </w:tc>
        <w:tc>
          <w:tcPr>
            <w:tcW w:w="872" w:type="dxa"/>
            <w:vMerge w:val="restart"/>
            <w:noWrap w:val="0"/>
            <w:vAlign w:val="center"/>
          </w:tcPr>
          <w:p w14:paraId="6ADD8152">
            <w:pPr>
              <w:jc w:val="center"/>
              <w:rPr>
                <w:rFonts w:hint="eastAsia" w:ascii="宋体" w:hAnsi="宋体"/>
                <w:color w:val="000000"/>
                <w:szCs w:val="21"/>
              </w:rPr>
            </w:pPr>
            <w:r>
              <w:rPr>
                <w:rFonts w:hint="eastAsia" w:ascii="宋体" w:hAnsi="宋体"/>
                <w:color w:val="000000"/>
                <w:szCs w:val="21"/>
              </w:rPr>
              <w:t>茶几3</w:t>
            </w:r>
          </w:p>
        </w:tc>
        <w:tc>
          <w:tcPr>
            <w:tcW w:w="1541" w:type="dxa"/>
            <w:vMerge w:val="restart"/>
            <w:noWrap/>
            <w:vAlign w:val="center"/>
          </w:tcPr>
          <w:p w14:paraId="5D1295F3">
            <w:pPr>
              <w:widowControl/>
              <w:jc w:val="center"/>
            </w:pPr>
            <w:r>
              <w:drawing>
                <wp:inline distT="0" distB="0" distL="114300" distR="114300">
                  <wp:extent cx="840740" cy="457200"/>
                  <wp:effectExtent l="0" t="0" r="165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840740" cy="457200"/>
                          </a:xfrm>
                          <a:prstGeom prst="rect">
                            <a:avLst/>
                          </a:prstGeom>
                          <a:noFill/>
                          <a:ln>
                            <a:noFill/>
                          </a:ln>
                        </pic:spPr>
                      </pic:pic>
                    </a:graphicData>
                  </a:graphic>
                </wp:inline>
              </w:drawing>
            </w:r>
          </w:p>
        </w:tc>
        <w:tc>
          <w:tcPr>
            <w:tcW w:w="6986" w:type="dxa"/>
            <w:noWrap/>
            <w:vAlign w:val="center"/>
          </w:tcPr>
          <w:p w14:paraId="134323BB">
            <w:pPr>
              <w:widowControl/>
              <w:spacing w:line="320" w:lineRule="exact"/>
              <w:jc w:val="left"/>
              <w:rPr>
                <w:rFonts w:hint="eastAsia" w:ascii="宋体" w:hAnsi="宋体" w:cs="宋体"/>
                <w:kern w:val="0"/>
                <w:szCs w:val="21"/>
              </w:rPr>
            </w:pPr>
            <w:r>
              <w:rPr>
                <w:rFonts w:hint="eastAsia" w:ascii="宋体" w:hAnsi="宋体" w:cs="宋体"/>
                <w:kern w:val="0"/>
                <w:szCs w:val="21"/>
              </w:rPr>
              <w:t>1、规格尺寸：W1200×D600×H450mm(±10mm)</w:t>
            </w:r>
          </w:p>
        </w:tc>
      </w:tr>
      <w:tr w14:paraId="7123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4D9F754">
            <w:pPr>
              <w:spacing w:line="320" w:lineRule="exact"/>
              <w:jc w:val="center"/>
              <w:rPr>
                <w:rFonts w:hint="eastAsia" w:ascii="宋体" w:hAnsi="宋体"/>
                <w:color w:val="000000"/>
                <w:szCs w:val="21"/>
              </w:rPr>
            </w:pPr>
          </w:p>
        </w:tc>
        <w:tc>
          <w:tcPr>
            <w:tcW w:w="872" w:type="dxa"/>
            <w:vMerge w:val="continue"/>
            <w:noWrap w:val="0"/>
            <w:vAlign w:val="center"/>
          </w:tcPr>
          <w:p w14:paraId="0AC6BC0F">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4BCE7117">
            <w:pPr>
              <w:widowControl/>
              <w:jc w:val="center"/>
            </w:pPr>
          </w:p>
        </w:tc>
        <w:tc>
          <w:tcPr>
            <w:tcW w:w="6986" w:type="dxa"/>
            <w:noWrap/>
            <w:vAlign w:val="center"/>
          </w:tcPr>
          <w:p w14:paraId="5E24D609">
            <w:pPr>
              <w:widowControl/>
              <w:spacing w:line="320" w:lineRule="exact"/>
              <w:rPr>
                <w:rFonts w:hint="eastAsia" w:ascii="宋体" w:hAnsi="宋体" w:cs="宋体"/>
                <w:color w:val="000000"/>
                <w:szCs w:val="21"/>
              </w:rPr>
            </w:pPr>
            <w:r>
              <w:rPr>
                <w:rFonts w:hint="eastAsia" w:ascii="宋体" w:hAnsi="宋体" w:cs="宋体"/>
                <w:color w:val="000000"/>
                <w:szCs w:val="21"/>
              </w:rPr>
              <w:t>2、基材：采用优质橡胶</w:t>
            </w:r>
            <w:r>
              <w:rPr>
                <w:rFonts w:hint="eastAsia" w:ascii="宋体" w:hAnsi="宋体" w:cs="宋体"/>
                <w:kern w:val="0"/>
                <w:szCs w:val="21"/>
              </w:rPr>
              <w:t>木实木制作，表面无死节，结构稳定，符合GB/T 3324-2024《木家具通用技术条件》。</w:t>
            </w:r>
          </w:p>
        </w:tc>
      </w:tr>
      <w:tr w14:paraId="2FAD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195B6E5A">
            <w:pPr>
              <w:spacing w:line="320" w:lineRule="exact"/>
              <w:jc w:val="center"/>
              <w:rPr>
                <w:rFonts w:hint="eastAsia" w:ascii="宋体" w:hAnsi="宋体"/>
                <w:color w:val="000000"/>
                <w:szCs w:val="21"/>
              </w:rPr>
            </w:pPr>
          </w:p>
        </w:tc>
        <w:tc>
          <w:tcPr>
            <w:tcW w:w="872" w:type="dxa"/>
            <w:vMerge w:val="continue"/>
            <w:noWrap w:val="0"/>
            <w:vAlign w:val="center"/>
          </w:tcPr>
          <w:p w14:paraId="29FC2638">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4C21F636">
            <w:pPr>
              <w:widowControl/>
              <w:jc w:val="center"/>
            </w:pPr>
          </w:p>
        </w:tc>
        <w:tc>
          <w:tcPr>
            <w:tcW w:w="6986" w:type="dxa"/>
            <w:noWrap/>
            <w:vAlign w:val="center"/>
          </w:tcPr>
          <w:p w14:paraId="0E8987C9">
            <w:pPr>
              <w:widowControl/>
              <w:spacing w:line="32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kern w:val="0"/>
                <w:szCs w:val="21"/>
              </w:rPr>
              <w:t>油漆：采用环保水性油漆处理，有害物质限量要求符合GB 18581-2020《木器涂料中有害物质限量》标准；</w:t>
            </w:r>
          </w:p>
        </w:tc>
      </w:tr>
      <w:tr w14:paraId="793D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590597CB">
            <w:pPr>
              <w:spacing w:line="320" w:lineRule="exact"/>
              <w:jc w:val="center"/>
              <w:rPr>
                <w:rFonts w:hint="eastAsia" w:ascii="宋体" w:hAnsi="宋体"/>
                <w:color w:val="000000"/>
                <w:szCs w:val="21"/>
              </w:rPr>
            </w:pPr>
          </w:p>
        </w:tc>
        <w:tc>
          <w:tcPr>
            <w:tcW w:w="872" w:type="dxa"/>
            <w:vMerge w:val="continue"/>
            <w:noWrap w:val="0"/>
            <w:vAlign w:val="center"/>
          </w:tcPr>
          <w:p w14:paraId="70F81DEF">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61478CBB">
            <w:pPr>
              <w:widowControl/>
              <w:jc w:val="center"/>
            </w:pPr>
          </w:p>
        </w:tc>
        <w:tc>
          <w:tcPr>
            <w:tcW w:w="6986" w:type="dxa"/>
            <w:noWrap/>
            <w:vAlign w:val="center"/>
          </w:tcPr>
          <w:p w14:paraId="422726D8">
            <w:pPr>
              <w:widowControl/>
              <w:spacing w:line="320" w:lineRule="exact"/>
              <w:rPr>
                <w:rFonts w:hint="eastAsia" w:ascii="宋体" w:hAnsi="宋体" w:cs="宋体"/>
                <w:color w:val="000000"/>
                <w:szCs w:val="21"/>
              </w:rPr>
            </w:pPr>
            <w:r>
              <w:rPr>
                <w:rFonts w:hint="eastAsia" w:ascii="宋体" w:hAnsi="宋体" w:cs="宋体"/>
                <w:color w:val="000000"/>
                <w:szCs w:val="21"/>
              </w:rPr>
              <w:t>4、配件：采用优质五金配件，并做防锈、防腐等处理；</w:t>
            </w:r>
          </w:p>
        </w:tc>
      </w:tr>
      <w:tr w14:paraId="7EA6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Merge w:val="continue"/>
            <w:noWrap w:val="0"/>
            <w:vAlign w:val="center"/>
          </w:tcPr>
          <w:p w14:paraId="7654551F">
            <w:pPr>
              <w:spacing w:line="320" w:lineRule="exact"/>
              <w:jc w:val="center"/>
              <w:rPr>
                <w:rFonts w:hint="eastAsia" w:ascii="宋体" w:hAnsi="宋体"/>
                <w:color w:val="000000"/>
                <w:szCs w:val="21"/>
              </w:rPr>
            </w:pPr>
          </w:p>
        </w:tc>
        <w:tc>
          <w:tcPr>
            <w:tcW w:w="872" w:type="dxa"/>
            <w:vMerge w:val="continue"/>
            <w:noWrap w:val="0"/>
            <w:vAlign w:val="center"/>
          </w:tcPr>
          <w:p w14:paraId="7FD7E94A">
            <w:pPr>
              <w:widowControl/>
              <w:jc w:val="center"/>
              <w:textAlignment w:val="center"/>
              <w:rPr>
                <w:rFonts w:hint="eastAsia" w:ascii="宋体" w:hAnsi="宋体" w:cs="宋体"/>
                <w:color w:val="000000"/>
                <w:kern w:val="0"/>
                <w:sz w:val="22"/>
                <w:szCs w:val="22"/>
                <w:lang w:bidi="ar"/>
              </w:rPr>
            </w:pPr>
          </w:p>
        </w:tc>
        <w:tc>
          <w:tcPr>
            <w:tcW w:w="1541" w:type="dxa"/>
            <w:vMerge w:val="continue"/>
            <w:noWrap/>
            <w:vAlign w:val="center"/>
          </w:tcPr>
          <w:p w14:paraId="15E68DE8">
            <w:pPr>
              <w:widowControl/>
              <w:jc w:val="center"/>
            </w:pPr>
          </w:p>
        </w:tc>
        <w:tc>
          <w:tcPr>
            <w:tcW w:w="6986" w:type="dxa"/>
            <w:noWrap/>
            <w:vAlign w:val="center"/>
          </w:tcPr>
          <w:p w14:paraId="72504A4E">
            <w:pPr>
              <w:widowControl/>
              <w:spacing w:line="320" w:lineRule="exact"/>
              <w:rPr>
                <w:rFonts w:hint="eastAsia" w:ascii="宋体" w:hAnsi="宋体" w:cs="宋体"/>
                <w:color w:val="000000"/>
                <w:szCs w:val="21"/>
              </w:rPr>
            </w:pPr>
            <w:r>
              <w:rPr>
                <w:rFonts w:hint="eastAsia" w:ascii="宋体" w:hAnsi="宋体" w:cs="宋体"/>
                <w:color w:val="000000"/>
                <w:szCs w:val="21"/>
              </w:rPr>
              <w:t>5、工艺：同色部件的色泽应相似，应无褪色、掉色现象，涂层不应有皱皮、发粘或漏漆现象，应平整光滑、清晰,无明显粒子、涨边现象;应无明显加工痕迹、划痕、裂纹、鼓泡、和杂渣。</w:t>
            </w:r>
          </w:p>
        </w:tc>
      </w:tr>
    </w:tbl>
    <w:p w14:paraId="15183C7D">
      <w:pPr>
        <w:rPr>
          <w:rFonts w:hint="eastAsia"/>
          <w:b/>
          <w:szCs w:val="21"/>
        </w:rPr>
      </w:pPr>
      <w:r>
        <w:rPr>
          <w:b/>
          <w:szCs w:val="21"/>
        </w:rPr>
        <w:br w:type="page"/>
      </w:r>
      <w:r>
        <w:rPr>
          <w:rFonts w:hint="eastAsia"/>
          <w:b/>
          <w:szCs w:val="21"/>
        </w:rPr>
        <w:t>1、附件：平面布置图</w:t>
      </w:r>
    </w:p>
    <w:p w14:paraId="15A63A30">
      <w:pPr>
        <w:rPr>
          <w:bCs/>
          <w:szCs w:val="21"/>
        </w:rPr>
      </w:pPr>
      <w:r>
        <w:rPr>
          <w:rFonts w:hint="eastAsia"/>
          <w:bCs/>
          <w:szCs w:val="21"/>
        </w:rPr>
        <w:t>投标人应根据如下平面图进行设计，提供家具摆放图及空间效果图。</w:t>
      </w:r>
    </w:p>
    <w:p w14:paraId="4D25150B">
      <w:pPr>
        <w:jc w:val="center"/>
        <w:rPr>
          <w:b/>
          <w:szCs w:val="21"/>
        </w:rPr>
      </w:pPr>
      <w:r>
        <w:rPr>
          <w:b/>
          <w:szCs w:val="21"/>
        </w:rPr>
        <w:drawing>
          <wp:inline distT="0" distB="0" distL="114300" distR="114300">
            <wp:extent cx="5353050" cy="3824605"/>
            <wp:effectExtent l="0" t="0" r="0" b="4445"/>
            <wp:docPr id="13" name="图片 13" descr="a7dd6d3f26d3d619b9c1011d1722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7dd6d3f26d3d619b9c1011d1722cbc"/>
                    <pic:cNvPicPr>
                      <a:picLocks noChangeAspect="1"/>
                    </pic:cNvPicPr>
                  </pic:nvPicPr>
                  <pic:blipFill>
                    <a:blip r:embed="rId12"/>
                    <a:stretch>
                      <a:fillRect/>
                    </a:stretch>
                  </pic:blipFill>
                  <pic:spPr>
                    <a:xfrm>
                      <a:off x="0" y="0"/>
                      <a:ext cx="5353050" cy="3824605"/>
                    </a:xfrm>
                    <a:prstGeom prst="rect">
                      <a:avLst/>
                    </a:prstGeom>
                    <a:noFill/>
                    <a:ln>
                      <a:noFill/>
                    </a:ln>
                  </pic:spPr>
                </pic:pic>
              </a:graphicData>
            </a:graphic>
          </wp:inline>
        </w:drawing>
      </w:r>
    </w:p>
    <w:p w14:paraId="617A7DDB">
      <w:pPr>
        <w:pStyle w:val="5"/>
        <w:rPr>
          <w:rFonts w:hint="eastAsia"/>
          <w:lang w:val="en-US"/>
        </w:rPr>
      </w:pPr>
      <w:r>
        <w:rPr>
          <w:b/>
          <w:szCs w:val="21"/>
        </w:rPr>
        <w:drawing>
          <wp:inline distT="0" distB="0" distL="114300" distR="114300">
            <wp:extent cx="5427980" cy="3877945"/>
            <wp:effectExtent l="0" t="0" r="1270" b="8255"/>
            <wp:docPr id="14" name="图片 14" descr="95d8ff44c6ebf8ec745ff8ea06ea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5d8ff44c6ebf8ec745ff8ea06ea0ef"/>
                    <pic:cNvPicPr>
                      <a:picLocks noChangeAspect="1"/>
                    </pic:cNvPicPr>
                  </pic:nvPicPr>
                  <pic:blipFill>
                    <a:blip r:embed="rId13"/>
                    <a:stretch>
                      <a:fillRect/>
                    </a:stretch>
                  </pic:blipFill>
                  <pic:spPr>
                    <a:xfrm>
                      <a:off x="0" y="0"/>
                      <a:ext cx="5427980" cy="3877945"/>
                    </a:xfrm>
                    <a:prstGeom prst="rect">
                      <a:avLst/>
                    </a:prstGeom>
                    <a:noFill/>
                    <a:ln>
                      <a:noFill/>
                    </a:ln>
                  </pic:spPr>
                </pic:pic>
              </a:graphicData>
            </a:graphic>
          </wp:inline>
        </w:drawing>
      </w:r>
    </w:p>
    <w:p w14:paraId="60A5856C"/>
    <w:p w14:paraId="35F4D6EE">
      <w:pPr>
        <w:pStyle w:val="4"/>
        <w:adjustRightInd/>
        <w:spacing w:line="360" w:lineRule="auto"/>
        <w:jc w:val="both"/>
        <w:textAlignment w:val="auto"/>
        <w:rPr>
          <w:rFonts w:hint="eastAsia"/>
          <w:color w:val="000000"/>
          <w:sz w:val="28"/>
          <w:szCs w:val="28"/>
        </w:rPr>
      </w:pPr>
      <w:bookmarkStart w:id="5" w:name="_Toc1831"/>
      <w:bookmarkStart w:id="6" w:name="_Toc5267"/>
      <w:r>
        <w:rPr>
          <w:rFonts w:hint="eastAsia"/>
          <w:sz w:val="28"/>
          <w:szCs w:val="28"/>
        </w:rPr>
        <w:t>三、商务</w:t>
      </w:r>
      <w:bookmarkEnd w:id="5"/>
      <w:r>
        <w:rPr>
          <w:rFonts w:hint="eastAsia"/>
          <w:sz w:val="28"/>
          <w:szCs w:val="28"/>
        </w:rPr>
        <w:t>要求</w:t>
      </w:r>
      <w:r>
        <w:rPr>
          <w:rFonts w:hint="eastAsia"/>
          <w:color w:val="000000"/>
          <w:sz w:val="28"/>
          <w:szCs w:val="28"/>
        </w:rPr>
        <w:t>（带“★”指标项为关键参数，如出现负偏离，将被视为未实质性满足招标文件要求作投标无效处理。）</w:t>
      </w:r>
      <w:bookmarkEnd w:id="6"/>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14:paraId="3716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center"/>
          </w:tcPr>
          <w:p w14:paraId="655294D8">
            <w:pPr>
              <w:spacing w:line="276" w:lineRule="auto"/>
              <w:jc w:val="center"/>
              <w:rPr>
                <w:rFonts w:ascii="宋体" w:hAnsi="宋体" w:cs="宋体"/>
                <w:b/>
                <w:szCs w:val="21"/>
              </w:rPr>
            </w:pPr>
            <w:r>
              <w:rPr>
                <w:rFonts w:hint="eastAsia" w:ascii="宋体" w:hAnsi="宋体" w:cs="宋体"/>
                <w:b/>
                <w:szCs w:val="21"/>
              </w:rPr>
              <w:t>序号</w:t>
            </w:r>
          </w:p>
        </w:tc>
        <w:tc>
          <w:tcPr>
            <w:tcW w:w="1620" w:type="dxa"/>
            <w:noWrap w:val="0"/>
            <w:vAlign w:val="center"/>
          </w:tcPr>
          <w:p w14:paraId="2760624E">
            <w:pPr>
              <w:spacing w:line="276" w:lineRule="auto"/>
              <w:jc w:val="center"/>
              <w:rPr>
                <w:rFonts w:ascii="宋体" w:hAnsi="宋体" w:cs="宋体"/>
                <w:b/>
                <w:szCs w:val="21"/>
              </w:rPr>
            </w:pPr>
            <w:r>
              <w:rPr>
                <w:rFonts w:hint="eastAsia" w:ascii="宋体" w:hAnsi="宋体" w:cs="宋体"/>
                <w:b/>
                <w:szCs w:val="21"/>
              </w:rPr>
              <w:t>目录</w:t>
            </w:r>
          </w:p>
        </w:tc>
        <w:tc>
          <w:tcPr>
            <w:tcW w:w="5940" w:type="dxa"/>
            <w:noWrap w:val="0"/>
            <w:vAlign w:val="center"/>
          </w:tcPr>
          <w:p w14:paraId="70D37094">
            <w:pPr>
              <w:spacing w:line="276" w:lineRule="auto"/>
              <w:jc w:val="center"/>
              <w:rPr>
                <w:rFonts w:ascii="宋体" w:hAnsi="宋体" w:cs="宋体"/>
                <w:b/>
                <w:szCs w:val="21"/>
              </w:rPr>
            </w:pPr>
            <w:r>
              <w:rPr>
                <w:rFonts w:hint="eastAsia" w:ascii="宋体" w:hAnsi="宋体" w:cs="宋体"/>
                <w:b/>
                <w:szCs w:val="21"/>
              </w:rPr>
              <w:t>招标商务需求</w:t>
            </w:r>
          </w:p>
        </w:tc>
      </w:tr>
      <w:tr w14:paraId="5698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14:paraId="0A5C3441">
            <w:pPr>
              <w:spacing w:line="276" w:lineRule="auto"/>
              <w:rPr>
                <w:rFonts w:ascii="宋体" w:hAnsi="宋体" w:cs="宋体"/>
                <w:b/>
                <w:szCs w:val="21"/>
              </w:rPr>
            </w:pPr>
            <w:r>
              <w:rPr>
                <w:rFonts w:hint="eastAsia" w:ascii="宋体" w:hAnsi="宋体" w:cs="宋体"/>
                <w:b/>
                <w:szCs w:val="21"/>
              </w:rPr>
              <w:t>（一）免费保修期内售后服务要求</w:t>
            </w:r>
          </w:p>
        </w:tc>
      </w:tr>
      <w:tr w14:paraId="50D9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14:paraId="7EFFC89F">
            <w:pPr>
              <w:spacing w:line="276" w:lineRule="auto"/>
              <w:jc w:val="center"/>
              <w:rPr>
                <w:rFonts w:ascii="宋体" w:hAnsi="宋体" w:cs="宋体"/>
                <w:b/>
                <w:szCs w:val="21"/>
              </w:rPr>
            </w:pPr>
            <w:r>
              <w:rPr>
                <w:rFonts w:hint="eastAsia" w:ascii="宋体" w:hAnsi="宋体" w:cs="宋体"/>
                <w:b/>
                <w:szCs w:val="21"/>
              </w:rPr>
              <w:t>1</w:t>
            </w:r>
          </w:p>
        </w:tc>
        <w:tc>
          <w:tcPr>
            <w:tcW w:w="1620" w:type="dxa"/>
            <w:noWrap w:val="0"/>
            <w:vAlign w:val="center"/>
          </w:tcPr>
          <w:p w14:paraId="0B44934C">
            <w:pPr>
              <w:spacing w:line="276" w:lineRule="auto"/>
              <w:jc w:val="center"/>
              <w:rPr>
                <w:rFonts w:ascii="宋体" w:hAnsi="宋体" w:cs="宋体"/>
                <w:b/>
                <w:szCs w:val="21"/>
              </w:rPr>
            </w:pPr>
            <w:r>
              <w:rPr>
                <w:rFonts w:hint="eastAsia" w:ascii="宋体" w:hAnsi="宋体" w:cs="宋体"/>
                <w:b/>
                <w:szCs w:val="21"/>
              </w:rPr>
              <w:t>免费保修期</w:t>
            </w:r>
          </w:p>
        </w:tc>
        <w:tc>
          <w:tcPr>
            <w:tcW w:w="5940" w:type="dxa"/>
            <w:noWrap w:val="0"/>
            <w:vAlign w:val="center"/>
          </w:tcPr>
          <w:p w14:paraId="215BDAEA">
            <w:pPr>
              <w:widowControl/>
              <w:spacing w:line="276" w:lineRule="auto"/>
              <w:rPr>
                <w:rFonts w:ascii="宋体" w:hAnsi="宋体" w:cs="宋体"/>
                <w:b/>
                <w:szCs w:val="21"/>
              </w:rPr>
            </w:pPr>
            <w:r>
              <w:rPr>
                <w:rFonts w:hint="eastAsia" w:ascii="宋体" w:hAnsi="宋体" w:cs="宋体"/>
                <w:b/>
                <w:szCs w:val="21"/>
              </w:rPr>
              <w:t>★ 所有产品质保期至少</w:t>
            </w:r>
            <w:r>
              <w:rPr>
                <w:rFonts w:hint="eastAsia" w:ascii="宋体" w:hAnsi="宋体" w:cs="宋体"/>
                <w:b/>
                <w:szCs w:val="21"/>
                <w:u w:val="single"/>
              </w:rPr>
              <w:t xml:space="preserve"> 3 年</w:t>
            </w:r>
            <w:r>
              <w:rPr>
                <w:rFonts w:hint="eastAsia" w:ascii="宋体" w:hAnsi="宋体" w:cs="宋体"/>
                <w:b/>
                <w:szCs w:val="21"/>
              </w:rPr>
              <w:t>，若产品原厂质保期超过3年的，维保时间按较长的计算，自最终验收合格之日（以验收报告合格签字为标准）起计算。</w:t>
            </w:r>
          </w:p>
          <w:p w14:paraId="5E455F5F">
            <w:pPr>
              <w:spacing w:line="276" w:lineRule="auto"/>
              <w:rPr>
                <w:rFonts w:ascii="宋体" w:hAnsi="宋体" w:cs="宋体"/>
                <w:b/>
                <w:szCs w:val="21"/>
              </w:rPr>
            </w:pPr>
            <w:r>
              <w:rPr>
                <w:rFonts w:hint="eastAsia" w:ascii="宋体" w:hAnsi="宋体" w:cs="宋体"/>
                <w:b/>
                <w:szCs w:val="21"/>
              </w:rPr>
              <w:t>质保期内，中标人向采购人提供免费上门保修服务，且提供免费原厂配件更换。</w:t>
            </w:r>
          </w:p>
          <w:p w14:paraId="14C0360F">
            <w:pPr>
              <w:spacing w:line="276" w:lineRule="auto"/>
              <w:rPr>
                <w:rFonts w:ascii="宋体" w:hAnsi="宋体" w:cs="宋体"/>
                <w:b/>
                <w:szCs w:val="21"/>
              </w:rPr>
            </w:pPr>
            <w:r>
              <w:rPr>
                <w:rFonts w:hint="eastAsia" w:ascii="宋体" w:hAnsi="宋体" w:cs="宋体"/>
                <w:b/>
                <w:szCs w:val="21"/>
              </w:rPr>
              <w:t>保修承担方为：中标人</w:t>
            </w:r>
          </w:p>
        </w:tc>
      </w:tr>
      <w:tr w14:paraId="028C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14:paraId="6CD94C42">
            <w:pPr>
              <w:spacing w:line="276" w:lineRule="auto"/>
              <w:jc w:val="center"/>
              <w:rPr>
                <w:rFonts w:ascii="宋体" w:hAnsi="宋体" w:cs="宋体"/>
                <w:bCs/>
                <w:szCs w:val="21"/>
              </w:rPr>
            </w:pPr>
            <w:r>
              <w:rPr>
                <w:rFonts w:hint="eastAsia" w:ascii="宋体" w:hAnsi="宋体" w:cs="宋体"/>
                <w:bCs/>
                <w:szCs w:val="21"/>
              </w:rPr>
              <w:t>2</w:t>
            </w:r>
          </w:p>
        </w:tc>
        <w:tc>
          <w:tcPr>
            <w:tcW w:w="1620" w:type="dxa"/>
            <w:noWrap w:val="0"/>
            <w:vAlign w:val="center"/>
          </w:tcPr>
          <w:p w14:paraId="0F050A15">
            <w:pPr>
              <w:spacing w:line="276" w:lineRule="auto"/>
              <w:jc w:val="center"/>
              <w:rPr>
                <w:rFonts w:ascii="宋体" w:hAnsi="宋体" w:cs="宋体"/>
                <w:bCs/>
                <w:szCs w:val="21"/>
              </w:rPr>
            </w:pPr>
            <w:r>
              <w:rPr>
                <w:rFonts w:hint="eastAsia" w:ascii="宋体" w:hAnsi="宋体" w:cs="宋体"/>
                <w:bCs/>
                <w:szCs w:val="21"/>
              </w:rPr>
              <w:t>维修响应及故障解决时间</w:t>
            </w:r>
          </w:p>
        </w:tc>
        <w:tc>
          <w:tcPr>
            <w:tcW w:w="5940" w:type="dxa"/>
            <w:noWrap w:val="0"/>
            <w:vAlign w:val="center"/>
          </w:tcPr>
          <w:p w14:paraId="73EFB0BE">
            <w:pPr>
              <w:widowControl/>
              <w:spacing w:line="276" w:lineRule="auto"/>
              <w:jc w:val="left"/>
              <w:rPr>
                <w:rFonts w:ascii="宋体" w:hAnsi="宋体" w:cs="宋体"/>
                <w:bCs/>
                <w:szCs w:val="21"/>
              </w:rPr>
            </w:pPr>
            <w:r>
              <w:rPr>
                <w:rFonts w:hint="eastAsia" w:ascii="宋体" w:hAnsi="宋体" w:cs="宋体"/>
                <w:bCs/>
                <w:szCs w:val="21"/>
              </w:rPr>
              <w:t>在质保期内，一旦发生设备故障等问题，中标人应在接到报修通知的1小时内响应，故障报修后2个小时内到达现场提供服务。如果设备故障在检修1个自然日仍无法排除，中标人应在1个自然日内提供不低于故障设备规格型号档次的备用设备供采购单位使用，同时中标人应在3个自然日内修复故障设备，因此给造成的损失，应负责赔偿。</w:t>
            </w:r>
          </w:p>
          <w:p w14:paraId="72331D97">
            <w:pPr>
              <w:spacing w:line="276" w:lineRule="auto"/>
              <w:rPr>
                <w:rFonts w:ascii="宋体" w:hAnsi="宋体" w:cs="宋体"/>
                <w:bCs/>
                <w:szCs w:val="21"/>
              </w:rPr>
            </w:pPr>
            <w:r>
              <w:rPr>
                <w:rFonts w:hint="eastAsia" w:ascii="宋体" w:hAnsi="宋体" w:cs="宋体"/>
                <w:bCs/>
                <w:szCs w:val="21"/>
              </w:rPr>
              <w:t>在规定时间内没有完成维修也未能换货的，每超过1天赔偿故障设备单价金额的20%，超过3天如中标人仍不能完成修理或不能调换，按原价赔偿处理。质保期内产生的一切费用均由中标人承担（含需要返原厂修理的所有费用）。</w:t>
            </w:r>
          </w:p>
        </w:tc>
      </w:tr>
      <w:tr w14:paraId="58B8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60" w:type="dxa"/>
            <w:vMerge w:val="restart"/>
            <w:noWrap w:val="0"/>
            <w:vAlign w:val="center"/>
          </w:tcPr>
          <w:p w14:paraId="749813B2">
            <w:pPr>
              <w:spacing w:line="276" w:lineRule="auto"/>
              <w:jc w:val="center"/>
              <w:rPr>
                <w:rFonts w:ascii="宋体" w:hAnsi="宋体" w:cs="宋体"/>
                <w:bCs/>
                <w:szCs w:val="21"/>
              </w:rPr>
            </w:pPr>
            <w:r>
              <w:rPr>
                <w:rFonts w:hint="eastAsia" w:ascii="宋体" w:hAnsi="宋体" w:cs="宋体"/>
                <w:bCs/>
                <w:szCs w:val="21"/>
              </w:rPr>
              <w:t>3</w:t>
            </w:r>
          </w:p>
        </w:tc>
        <w:tc>
          <w:tcPr>
            <w:tcW w:w="1620" w:type="dxa"/>
            <w:vMerge w:val="restart"/>
            <w:noWrap w:val="0"/>
            <w:vAlign w:val="center"/>
          </w:tcPr>
          <w:p w14:paraId="6E4C8193">
            <w:pPr>
              <w:spacing w:line="276" w:lineRule="auto"/>
              <w:jc w:val="center"/>
              <w:rPr>
                <w:rFonts w:ascii="宋体" w:hAnsi="宋体" w:cs="宋体"/>
                <w:bCs/>
                <w:szCs w:val="21"/>
              </w:rPr>
            </w:pPr>
            <w:r>
              <w:rPr>
                <w:rFonts w:hint="eastAsia" w:ascii="宋体" w:hAnsi="宋体" w:cs="宋体"/>
                <w:bCs/>
                <w:szCs w:val="21"/>
              </w:rPr>
              <w:t>维修服务</w:t>
            </w:r>
          </w:p>
        </w:tc>
        <w:tc>
          <w:tcPr>
            <w:tcW w:w="5940" w:type="dxa"/>
            <w:noWrap w:val="0"/>
            <w:vAlign w:val="center"/>
          </w:tcPr>
          <w:p w14:paraId="22029BC8">
            <w:pPr>
              <w:spacing w:line="276" w:lineRule="auto"/>
              <w:rPr>
                <w:rFonts w:ascii="宋体" w:hAnsi="宋体" w:cs="宋体"/>
                <w:bCs/>
                <w:szCs w:val="21"/>
              </w:rPr>
            </w:pPr>
            <w:r>
              <w:rPr>
                <w:rFonts w:hint="eastAsia" w:ascii="宋体" w:hAnsi="宋体" w:cs="宋体"/>
                <w:bCs/>
                <w:szCs w:val="21"/>
              </w:rPr>
              <w:t>3.1 在深圳市内有固定的官方或授权维修服务点。中标人需安排1名维修人员负责对接并优先处理采购人的相关维修维护事项。</w:t>
            </w:r>
          </w:p>
        </w:tc>
      </w:tr>
      <w:tr w14:paraId="15C2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60" w:type="dxa"/>
            <w:vMerge w:val="continue"/>
            <w:noWrap w:val="0"/>
            <w:vAlign w:val="center"/>
          </w:tcPr>
          <w:p w14:paraId="1BCA7B3F">
            <w:pPr>
              <w:spacing w:line="276" w:lineRule="auto"/>
              <w:jc w:val="center"/>
              <w:rPr>
                <w:rFonts w:ascii="宋体" w:hAnsi="宋体" w:cs="宋体"/>
                <w:bCs/>
                <w:szCs w:val="21"/>
              </w:rPr>
            </w:pPr>
          </w:p>
        </w:tc>
        <w:tc>
          <w:tcPr>
            <w:tcW w:w="1620" w:type="dxa"/>
            <w:vMerge w:val="continue"/>
            <w:noWrap w:val="0"/>
            <w:vAlign w:val="center"/>
          </w:tcPr>
          <w:p w14:paraId="0F57E3F9">
            <w:pPr>
              <w:spacing w:line="276" w:lineRule="auto"/>
              <w:jc w:val="center"/>
              <w:rPr>
                <w:rFonts w:ascii="宋体" w:hAnsi="宋体" w:cs="宋体"/>
                <w:bCs/>
                <w:szCs w:val="21"/>
              </w:rPr>
            </w:pPr>
          </w:p>
        </w:tc>
        <w:tc>
          <w:tcPr>
            <w:tcW w:w="5940" w:type="dxa"/>
            <w:noWrap w:val="0"/>
            <w:vAlign w:val="center"/>
          </w:tcPr>
          <w:p w14:paraId="1708163E">
            <w:pPr>
              <w:spacing w:line="276" w:lineRule="auto"/>
              <w:rPr>
                <w:rFonts w:ascii="宋体" w:hAnsi="宋体" w:cs="宋体"/>
                <w:bCs/>
                <w:szCs w:val="21"/>
              </w:rPr>
            </w:pPr>
            <w:r>
              <w:rPr>
                <w:rFonts w:hint="eastAsia" w:ascii="宋体" w:hAnsi="宋体" w:cs="宋体"/>
                <w:bCs/>
                <w:szCs w:val="21"/>
              </w:rPr>
              <w:t>3.2所有设备质保期内服务方式均为中标人接到报修通知后派人上门到采购单位设备使用现场维修。</w:t>
            </w:r>
          </w:p>
        </w:tc>
      </w:tr>
      <w:tr w14:paraId="2E25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60" w:type="dxa"/>
            <w:vMerge w:val="restart"/>
            <w:noWrap w:val="0"/>
            <w:vAlign w:val="center"/>
          </w:tcPr>
          <w:p w14:paraId="07F116FA">
            <w:pPr>
              <w:spacing w:line="276" w:lineRule="auto"/>
              <w:jc w:val="center"/>
              <w:rPr>
                <w:rFonts w:ascii="宋体" w:hAnsi="宋体" w:cs="宋体"/>
                <w:bCs/>
                <w:szCs w:val="21"/>
              </w:rPr>
            </w:pPr>
            <w:r>
              <w:rPr>
                <w:rFonts w:hint="eastAsia" w:ascii="宋体" w:hAnsi="宋体" w:cs="宋体"/>
                <w:bCs/>
                <w:szCs w:val="21"/>
              </w:rPr>
              <w:t>4</w:t>
            </w:r>
          </w:p>
        </w:tc>
        <w:tc>
          <w:tcPr>
            <w:tcW w:w="1620" w:type="dxa"/>
            <w:vMerge w:val="restart"/>
            <w:noWrap w:val="0"/>
            <w:vAlign w:val="center"/>
          </w:tcPr>
          <w:p w14:paraId="6BA99375">
            <w:pPr>
              <w:spacing w:line="276" w:lineRule="auto"/>
              <w:jc w:val="center"/>
              <w:rPr>
                <w:rFonts w:ascii="宋体" w:hAnsi="宋体" w:cs="宋体"/>
                <w:bCs/>
                <w:szCs w:val="21"/>
              </w:rPr>
            </w:pPr>
            <w:r>
              <w:rPr>
                <w:rFonts w:hint="eastAsia" w:ascii="宋体" w:hAnsi="宋体" w:cs="宋体"/>
                <w:bCs/>
                <w:szCs w:val="21"/>
              </w:rPr>
              <w:t>其他</w:t>
            </w:r>
          </w:p>
        </w:tc>
        <w:tc>
          <w:tcPr>
            <w:tcW w:w="5940" w:type="dxa"/>
            <w:noWrap w:val="0"/>
            <w:vAlign w:val="center"/>
          </w:tcPr>
          <w:p w14:paraId="7615A397">
            <w:pPr>
              <w:spacing w:line="276" w:lineRule="auto"/>
              <w:rPr>
                <w:rFonts w:ascii="宋体" w:hAnsi="宋体" w:cs="宋体"/>
                <w:bCs/>
                <w:szCs w:val="21"/>
              </w:rPr>
            </w:pPr>
            <w:r>
              <w:rPr>
                <w:rFonts w:hint="eastAsia" w:ascii="宋体" w:hAnsi="宋体" w:cs="宋体"/>
                <w:bCs/>
                <w:szCs w:val="21"/>
              </w:rPr>
              <w:t>4.1货物由采购单位用户在场拆包装箱查验货物合格性，如查验异常则拒收。中标人所投产品质量必须符合国家标准。如不能满足此要求，采购单位有权拒收货物，并要求投标人赔偿以此造成的一切损失。</w:t>
            </w:r>
          </w:p>
        </w:tc>
      </w:tr>
      <w:tr w14:paraId="5651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60" w:type="dxa"/>
            <w:vMerge w:val="continue"/>
            <w:noWrap w:val="0"/>
            <w:vAlign w:val="center"/>
          </w:tcPr>
          <w:p w14:paraId="0E409CCA">
            <w:pPr>
              <w:spacing w:line="276" w:lineRule="auto"/>
              <w:jc w:val="center"/>
              <w:rPr>
                <w:rFonts w:ascii="宋体" w:hAnsi="宋体" w:cs="宋体"/>
                <w:bCs/>
                <w:szCs w:val="21"/>
              </w:rPr>
            </w:pPr>
          </w:p>
        </w:tc>
        <w:tc>
          <w:tcPr>
            <w:tcW w:w="1620" w:type="dxa"/>
            <w:vMerge w:val="continue"/>
            <w:noWrap w:val="0"/>
            <w:vAlign w:val="center"/>
          </w:tcPr>
          <w:p w14:paraId="56575267">
            <w:pPr>
              <w:spacing w:line="276" w:lineRule="auto"/>
              <w:rPr>
                <w:rFonts w:ascii="宋体" w:hAnsi="宋体" w:cs="宋体"/>
                <w:bCs/>
                <w:szCs w:val="21"/>
              </w:rPr>
            </w:pPr>
          </w:p>
        </w:tc>
        <w:tc>
          <w:tcPr>
            <w:tcW w:w="5940" w:type="dxa"/>
            <w:noWrap w:val="0"/>
            <w:vAlign w:val="center"/>
          </w:tcPr>
          <w:p w14:paraId="68859C03">
            <w:pPr>
              <w:spacing w:line="276" w:lineRule="auto"/>
              <w:rPr>
                <w:rFonts w:ascii="宋体" w:hAnsi="宋体" w:cs="宋体"/>
                <w:bCs/>
                <w:szCs w:val="21"/>
              </w:rPr>
            </w:pPr>
            <w:r>
              <w:rPr>
                <w:rFonts w:hint="eastAsia" w:ascii="宋体" w:hAnsi="宋体" w:cs="宋体"/>
                <w:bCs/>
                <w:szCs w:val="21"/>
              </w:rPr>
              <w:t>4.2 中标人需在中标公告公示之日起3个自然日内根据采购人要求提供中标产品品牌型号的相关参数证明材料，包括但不限于出厂检测报告、产品链接、产品说明书等。</w:t>
            </w:r>
          </w:p>
        </w:tc>
      </w:tr>
      <w:tr w14:paraId="7037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14:paraId="5030F2B5">
            <w:pPr>
              <w:spacing w:line="276" w:lineRule="auto"/>
              <w:rPr>
                <w:rFonts w:ascii="宋体" w:hAnsi="宋体" w:cs="宋体"/>
                <w:b/>
                <w:szCs w:val="21"/>
              </w:rPr>
            </w:pPr>
            <w:r>
              <w:rPr>
                <w:rFonts w:hint="eastAsia" w:ascii="宋体" w:hAnsi="宋体" w:cs="宋体"/>
                <w:b/>
                <w:szCs w:val="21"/>
              </w:rPr>
              <w:t>（二）免费保修期外售后服务要求</w:t>
            </w:r>
          </w:p>
        </w:tc>
      </w:tr>
      <w:tr w14:paraId="6380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60" w:type="dxa"/>
            <w:vMerge w:val="restart"/>
            <w:noWrap w:val="0"/>
            <w:vAlign w:val="center"/>
          </w:tcPr>
          <w:p w14:paraId="64C6403D">
            <w:pPr>
              <w:spacing w:line="276" w:lineRule="auto"/>
              <w:jc w:val="center"/>
              <w:rPr>
                <w:rFonts w:ascii="宋体" w:hAnsi="宋体" w:cs="宋体"/>
                <w:bCs/>
                <w:szCs w:val="21"/>
              </w:rPr>
            </w:pPr>
            <w:r>
              <w:rPr>
                <w:rFonts w:hint="eastAsia" w:ascii="宋体" w:hAnsi="宋体" w:cs="宋体"/>
                <w:bCs/>
                <w:szCs w:val="21"/>
              </w:rPr>
              <w:t>1</w:t>
            </w:r>
          </w:p>
        </w:tc>
        <w:tc>
          <w:tcPr>
            <w:tcW w:w="1620" w:type="dxa"/>
            <w:vMerge w:val="restart"/>
            <w:noWrap w:val="0"/>
            <w:vAlign w:val="center"/>
          </w:tcPr>
          <w:p w14:paraId="1607255C">
            <w:pPr>
              <w:spacing w:line="276" w:lineRule="auto"/>
              <w:jc w:val="center"/>
              <w:rPr>
                <w:rFonts w:ascii="宋体" w:hAnsi="宋体" w:cs="宋体"/>
                <w:bCs/>
                <w:szCs w:val="21"/>
              </w:rPr>
            </w:pPr>
            <w:r>
              <w:rPr>
                <w:rFonts w:hint="eastAsia" w:ascii="宋体" w:hAnsi="宋体" w:cs="宋体"/>
                <w:bCs/>
                <w:szCs w:val="21"/>
              </w:rPr>
              <w:t>维保期外</w:t>
            </w:r>
          </w:p>
        </w:tc>
        <w:tc>
          <w:tcPr>
            <w:tcW w:w="5940" w:type="dxa"/>
            <w:noWrap w:val="0"/>
            <w:vAlign w:val="center"/>
          </w:tcPr>
          <w:p w14:paraId="36D7B035">
            <w:pPr>
              <w:spacing w:line="276" w:lineRule="auto"/>
              <w:rPr>
                <w:rFonts w:ascii="宋体" w:hAnsi="宋体" w:cs="宋体"/>
                <w:bCs/>
                <w:szCs w:val="21"/>
              </w:rPr>
            </w:pPr>
            <w:r>
              <w:rPr>
                <w:rFonts w:hint="eastAsia" w:ascii="宋体" w:hAnsi="宋体" w:cs="宋体"/>
                <w:bCs/>
                <w:szCs w:val="21"/>
              </w:rPr>
              <w:t>1.1中标人保证继续为采购人提供货物的维修服务，对于超过三包期的产品出现故障，中标人按照《部分商品修理更换退货责任规定》（新“三包规定”）等法律规定分别收取备件费和维修费。配件收费、人工收费按原厂厂家统一优惠价格收取,维修维护费不超过当期市场价格。</w:t>
            </w:r>
          </w:p>
        </w:tc>
      </w:tr>
      <w:tr w14:paraId="5BAC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60" w:type="dxa"/>
            <w:vMerge w:val="continue"/>
            <w:noWrap w:val="0"/>
            <w:vAlign w:val="center"/>
          </w:tcPr>
          <w:p w14:paraId="004C9585">
            <w:pPr>
              <w:spacing w:line="276" w:lineRule="auto"/>
              <w:rPr>
                <w:rFonts w:ascii="宋体" w:hAnsi="宋体" w:cs="宋体"/>
                <w:bCs/>
                <w:szCs w:val="21"/>
              </w:rPr>
            </w:pPr>
          </w:p>
        </w:tc>
        <w:tc>
          <w:tcPr>
            <w:tcW w:w="1620" w:type="dxa"/>
            <w:vMerge w:val="continue"/>
            <w:noWrap w:val="0"/>
            <w:vAlign w:val="center"/>
          </w:tcPr>
          <w:p w14:paraId="2A5000AD">
            <w:pPr>
              <w:spacing w:line="276" w:lineRule="auto"/>
              <w:rPr>
                <w:rFonts w:ascii="宋体" w:hAnsi="宋体" w:cs="宋体"/>
                <w:bCs/>
                <w:szCs w:val="21"/>
              </w:rPr>
            </w:pPr>
          </w:p>
        </w:tc>
        <w:tc>
          <w:tcPr>
            <w:tcW w:w="5940" w:type="dxa"/>
            <w:noWrap w:val="0"/>
            <w:vAlign w:val="center"/>
          </w:tcPr>
          <w:p w14:paraId="64BA20EE">
            <w:pPr>
              <w:spacing w:line="276" w:lineRule="auto"/>
              <w:rPr>
                <w:rFonts w:ascii="宋体" w:hAnsi="宋体" w:cs="宋体"/>
                <w:bCs/>
                <w:szCs w:val="21"/>
              </w:rPr>
            </w:pPr>
            <w:r>
              <w:rPr>
                <w:rFonts w:hint="eastAsia" w:ascii="宋体" w:hAnsi="宋体" w:cs="宋体"/>
                <w:bCs/>
                <w:szCs w:val="21"/>
              </w:rPr>
              <w:t>1.2中标人按深圳地区同类设备的最优价格提供终身有偿维修服务。当发生故障时，中标人在2小时内响应。在整个设备运行过程中，中标人帮助采购单位解决在应用过程中遇到的各种技术问题。</w:t>
            </w:r>
          </w:p>
        </w:tc>
      </w:tr>
      <w:tr w14:paraId="1139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60" w:type="dxa"/>
            <w:vMerge w:val="continue"/>
            <w:noWrap w:val="0"/>
            <w:vAlign w:val="center"/>
          </w:tcPr>
          <w:p w14:paraId="57F3BD30">
            <w:pPr>
              <w:spacing w:line="276" w:lineRule="auto"/>
              <w:rPr>
                <w:rFonts w:ascii="宋体" w:hAnsi="宋体" w:cs="宋体"/>
                <w:bCs/>
                <w:szCs w:val="21"/>
              </w:rPr>
            </w:pPr>
          </w:p>
        </w:tc>
        <w:tc>
          <w:tcPr>
            <w:tcW w:w="1620" w:type="dxa"/>
            <w:vMerge w:val="continue"/>
            <w:noWrap w:val="0"/>
            <w:vAlign w:val="center"/>
          </w:tcPr>
          <w:p w14:paraId="77D341FF">
            <w:pPr>
              <w:spacing w:line="276" w:lineRule="auto"/>
              <w:rPr>
                <w:rFonts w:ascii="宋体" w:hAnsi="宋体" w:cs="宋体"/>
                <w:bCs/>
                <w:szCs w:val="21"/>
              </w:rPr>
            </w:pPr>
          </w:p>
        </w:tc>
        <w:tc>
          <w:tcPr>
            <w:tcW w:w="5940" w:type="dxa"/>
            <w:noWrap w:val="0"/>
            <w:vAlign w:val="center"/>
          </w:tcPr>
          <w:p w14:paraId="4B780DE7">
            <w:pPr>
              <w:spacing w:line="276" w:lineRule="auto"/>
              <w:rPr>
                <w:rFonts w:ascii="宋体" w:hAnsi="宋体" w:cs="宋体"/>
                <w:bCs/>
                <w:szCs w:val="21"/>
              </w:rPr>
            </w:pPr>
            <w:r>
              <w:rPr>
                <w:rFonts w:hint="eastAsia" w:ascii="宋体" w:hAnsi="宋体" w:cs="宋体"/>
                <w:bCs/>
                <w:szCs w:val="21"/>
              </w:rPr>
              <w:t>1.3保修期外的货物维修费用的支付应先维修后付款。备品备件的购买应先交货后付款。</w:t>
            </w:r>
          </w:p>
        </w:tc>
      </w:tr>
      <w:tr w14:paraId="0EDB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noWrap w:val="0"/>
            <w:vAlign w:val="top"/>
          </w:tcPr>
          <w:p w14:paraId="141623FC">
            <w:pPr>
              <w:spacing w:line="276" w:lineRule="auto"/>
              <w:rPr>
                <w:rFonts w:ascii="宋体" w:hAnsi="宋体" w:cs="宋体"/>
                <w:b/>
                <w:szCs w:val="21"/>
              </w:rPr>
            </w:pPr>
            <w:r>
              <w:rPr>
                <w:rFonts w:hint="eastAsia" w:ascii="宋体" w:hAnsi="宋体" w:cs="宋体"/>
                <w:b/>
                <w:szCs w:val="21"/>
              </w:rPr>
              <w:t>（三）其他商务要求</w:t>
            </w:r>
          </w:p>
        </w:tc>
      </w:tr>
      <w:tr w14:paraId="1DB6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vMerge w:val="restart"/>
            <w:noWrap w:val="0"/>
            <w:vAlign w:val="center"/>
          </w:tcPr>
          <w:p w14:paraId="43298424">
            <w:pPr>
              <w:spacing w:line="276" w:lineRule="auto"/>
              <w:jc w:val="center"/>
              <w:rPr>
                <w:rFonts w:ascii="宋体" w:hAnsi="宋体" w:cs="宋体"/>
                <w:bCs/>
                <w:szCs w:val="21"/>
              </w:rPr>
            </w:pPr>
            <w:r>
              <w:rPr>
                <w:rFonts w:hint="eastAsia" w:ascii="宋体" w:hAnsi="宋体" w:cs="宋体"/>
                <w:bCs/>
                <w:szCs w:val="21"/>
              </w:rPr>
              <w:t>1</w:t>
            </w:r>
          </w:p>
        </w:tc>
        <w:tc>
          <w:tcPr>
            <w:tcW w:w="1620" w:type="dxa"/>
            <w:vMerge w:val="restart"/>
            <w:noWrap w:val="0"/>
            <w:vAlign w:val="center"/>
          </w:tcPr>
          <w:p w14:paraId="1B3DE138">
            <w:pPr>
              <w:spacing w:line="276" w:lineRule="auto"/>
              <w:jc w:val="center"/>
              <w:rPr>
                <w:rFonts w:ascii="宋体" w:hAnsi="宋体" w:cs="宋体"/>
                <w:bCs/>
                <w:szCs w:val="21"/>
              </w:rPr>
            </w:pPr>
            <w:r>
              <w:rPr>
                <w:rFonts w:hint="eastAsia" w:ascii="宋体" w:hAnsi="宋体" w:cs="宋体"/>
                <w:bCs/>
                <w:szCs w:val="21"/>
              </w:rPr>
              <w:t>关于交货</w:t>
            </w:r>
          </w:p>
        </w:tc>
        <w:tc>
          <w:tcPr>
            <w:tcW w:w="5940" w:type="dxa"/>
            <w:noWrap w:val="0"/>
            <w:vAlign w:val="top"/>
          </w:tcPr>
          <w:p w14:paraId="10C3ADBE">
            <w:pPr>
              <w:spacing w:line="276" w:lineRule="auto"/>
              <w:rPr>
                <w:rFonts w:ascii="宋体" w:hAnsi="宋体" w:cs="宋体"/>
                <w:bCs/>
                <w:szCs w:val="21"/>
              </w:rPr>
            </w:pPr>
            <w:r>
              <w:rPr>
                <w:rFonts w:hint="eastAsia" w:ascii="宋体" w:hAnsi="宋体" w:cs="宋体"/>
                <w:bCs/>
                <w:szCs w:val="21"/>
              </w:rPr>
              <w:t>1.1交货地点：采购单位指定地点，须根据采购人要求可分时间段分批次送货到指定地点。</w:t>
            </w:r>
          </w:p>
        </w:tc>
      </w:tr>
      <w:tr w14:paraId="1DAB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60" w:type="dxa"/>
            <w:vMerge w:val="continue"/>
            <w:noWrap w:val="0"/>
            <w:vAlign w:val="center"/>
          </w:tcPr>
          <w:p w14:paraId="18948C54">
            <w:pPr>
              <w:spacing w:line="276" w:lineRule="auto"/>
              <w:jc w:val="center"/>
              <w:rPr>
                <w:rFonts w:ascii="宋体" w:hAnsi="宋体" w:cs="宋体"/>
                <w:bCs/>
                <w:szCs w:val="21"/>
              </w:rPr>
            </w:pPr>
          </w:p>
        </w:tc>
        <w:tc>
          <w:tcPr>
            <w:tcW w:w="1620" w:type="dxa"/>
            <w:vMerge w:val="continue"/>
            <w:noWrap w:val="0"/>
            <w:vAlign w:val="center"/>
          </w:tcPr>
          <w:p w14:paraId="187B36DD">
            <w:pPr>
              <w:spacing w:line="276" w:lineRule="auto"/>
              <w:jc w:val="center"/>
              <w:rPr>
                <w:rFonts w:ascii="宋体" w:hAnsi="宋体" w:cs="宋体"/>
                <w:bCs/>
                <w:szCs w:val="21"/>
              </w:rPr>
            </w:pPr>
          </w:p>
        </w:tc>
        <w:tc>
          <w:tcPr>
            <w:tcW w:w="5940" w:type="dxa"/>
            <w:noWrap w:val="0"/>
            <w:vAlign w:val="top"/>
          </w:tcPr>
          <w:p w14:paraId="3124F0C9">
            <w:pPr>
              <w:spacing w:line="276" w:lineRule="auto"/>
              <w:rPr>
                <w:rFonts w:ascii="宋体" w:hAnsi="宋体" w:cs="宋体"/>
                <w:bCs/>
                <w:szCs w:val="21"/>
              </w:rPr>
            </w:pPr>
            <w:r>
              <w:rPr>
                <w:rFonts w:hint="eastAsia" w:ascii="宋体" w:hAnsi="宋体" w:cs="宋体"/>
                <w:bCs/>
                <w:szCs w:val="21"/>
              </w:rPr>
              <w:t>1.2交货义务：中标人必须承担的设备运输、安装调试、验收检测和提供设备操作说明书、图纸等其他类似的义务。</w:t>
            </w:r>
          </w:p>
        </w:tc>
      </w:tr>
      <w:tr w14:paraId="4F11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60" w:type="dxa"/>
            <w:vMerge w:val="continue"/>
            <w:noWrap w:val="0"/>
            <w:vAlign w:val="center"/>
          </w:tcPr>
          <w:p w14:paraId="4BE4558B">
            <w:pPr>
              <w:spacing w:line="276" w:lineRule="auto"/>
              <w:jc w:val="center"/>
              <w:rPr>
                <w:rFonts w:ascii="宋体" w:hAnsi="宋体" w:cs="宋体"/>
                <w:bCs/>
                <w:szCs w:val="21"/>
              </w:rPr>
            </w:pPr>
          </w:p>
        </w:tc>
        <w:tc>
          <w:tcPr>
            <w:tcW w:w="1620" w:type="dxa"/>
            <w:vMerge w:val="continue"/>
            <w:noWrap w:val="0"/>
            <w:vAlign w:val="center"/>
          </w:tcPr>
          <w:p w14:paraId="7238C8A2">
            <w:pPr>
              <w:spacing w:line="276" w:lineRule="auto"/>
              <w:jc w:val="center"/>
              <w:rPr>
                <w:rFonts w:ascii="宋体" w:hAnsi="宋体" w:cs="宋体"/>
                <w:bCs/>
                <w:szCs w:val="21"/>
              </w:rPr>
            </w:pPr>
          </w:p>
        </w:tc>
        <w:tc>
          <w:tcPr>
            <w:tcW w:w="5940" w:type="dxa"/>
            <w:noWrap w:val="0"/>
            <w:vAlign w:val="top"/>
          </w:tcPr>
          <w:p w14:paraId="5762CB90">
            <w:pPr>
              <w:spacing w:line="276" w:lineRule="auto"/>
              <w:rPr>
                <w:rFonts w:ascii="宋体" w:hAnsi="宋体" w:cs="宋体"/>
                <w:bCs/>
                <w:szCs w:val="21"/>
              </w:rPr>
            </w:pPr>
            <w:r>
              <w:rPr>
                <w:rFonts w:hint="eastAsia" w:ascii="宋体" w:hAnsi="宋体" w:cs="宋体"/>
                <w:b/>
                <w:szCs w:val="21"/>
              </w:rPr>
              <w:t>★1.3交货期限：中标通知书发布之日起25天（日历日）内交货，根据采购人要求可分时间段分批次送货。（如因楼宇交付使用延期，则交货时间顺延）产品的附件、备品备件及专用工具、技术文件和资料等应随产品一同交付。投标人必须按照采购人的时间要求完成交货，如不能在规定时间完成交货，由此带来的一切违约、赔偿等风险损失由投标人自行承担。自中标通知书发布之日起到合同签署之日，期间双方往来的各类事项同样适用合同相关约定。</w:t>
            </w:r>
          </w:p>
        </w:tc>
      </w:tr>
      <w:tr w14:paraId="6BAD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60" w:type="dxa"/>
            <w:vMerge w:val="continue"/>
            <w:noWrap w:val="0"/>
            <w:vAlign w:val="center"/>
          </w:tcPr>
          <w:p w14:paraId="3A1BFE6C">
            <w:pPr>
              <w:spacing w:line="276" w:lineRule="auto"/>
              <w:jc w:val="center"/>
              <w:rPr>
                <w:rFonts w:ascii="宋体" w:hAnsi="宋体" w:cs="宋体"/>
                <w:bCs/>
                <w:szCs w:val="21"/>
              </w:rPr>
            </w:pPr>
          </w:p>
        </w:tc>
        <w:tc>
          <w:tcPr>
            <w:tcW w:w="1620" w:type="dxa"/>
            <w:vMerge w:val="continue"/>
            <w:noWrap w:val="0"/>
            <w:vAlign w:val="center"/>
          </w:tcPr>
          <w:p w14:paraId="09C8784F">
            <w:pPr>
              <w:spacing w:line="276" w:lineRule="auto"/>
              <w:jc w:val="center"/>
              <w:rPr>
                <w:rFonts w:ascii="宋体" w:hAnsi="宋体" w:cs="宋体"/>
                <w:bCs/>
                <w:szCs w:val="21"/>
              </w:rPr>
            </w:pPr>
          </w:p>
        </w:tc>
        <w:tc>
          <w:tcPr>
            <w:tcW w:w="5940" w:type="dxa"/>
            <w:noWrap w:val="0"/>
            <w:vAlign w:val="top"/>
          </w:tcPr>
          <w:p w14:paraId="0BBFB047">
            <w:pPr>
              <w:spacing w:line="276" w:lineRule="auto"/>
              <w:rPr>
                <w:rFonts w:ascii="宋体" w:hAnsi="宋体" w:cs="宋体"/>
                <w:bCs/>
                <w:szCs w:val="21"/>
              </w:rPr>
            </w:pPr>
            <w:r>
              <w:rPr>
                <w:rFonts w:hint="eastAsia" w:ascii="宋体" w:hAnsi="宋体" w:cs="宋体"/>
                <w:bCs/>
                <w:szCs w:val="21"/>
              </w:rPr>
              <w:t>1.4所有货物必须按照投标文件技术参数响应情况交付，除非受现场安装环境等因素影响，由采购人发起变更，否则中标人不允许擅自做任何变更。如中标人未经采购人同意，擅自变更，由此带来的一切风险损失由中标人自行承担。</w:t>
            </w:r>
          </w:p>
        </w:tc>
      </w:tr>
      <w:tr w14:paraId="0247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60" w:type="dxa"/>
            <w:vMerge w:val="continue"/>
            <w:noWrap w:val="0"/>
            <w:vAlign w:val="center"/>
          </w:tcPr>
          <w:p w14:paraId="1201C9A6">
            <w:pPr>
              <w:spacing w:line="276" w:lineRule="auto"/>
              <w:jc w:val="center"/>
              <w:rPr>
                <w:rFonts w:ascii="宋体" w:hAnsi="宋体" w:cs="宋体"/>
                <w:bCs/>
                <w:szCs w:val="21"/>
              </w:rPr>
            </w:pPr>
          </w:p>
        </w:tc>
        <w:tc>
          <w:tcPr>
            <w:tcW w:w="1620" w:type="dxa"/>
            <w:vMerge w:val="continue"/>
            <w:noWrap w:val="0"/>
            <w:vAlign w:val="center"/>
          </w:tcPr>
          <w:p w14:paraId="00155768">
            <w:pPr>
              <w:spacing w:line="276" w:lineRule="auto"/>
              <w:jc w:val="center"/>
              <w:rPr>
                <w:rFonts w:ascii="宋体" w:hAnsi="宋体" w:cs="宋体"/>
                <w:bCs/>
                <w:szCs w:val="21"/>
              </w:rPr>
            </w:pPr>
          </w:p>
        </w:tc>
        <w:tc>
          <w:tcPr>
            <w:tcW w:w="5940" w:type="dxa"/>
            <w:noWrap w:val="0"/>
            <w:vAlign w:val="top"/>
          </w:tcPr>
          <w:p w14:paraId="56064B87">
            <w:pPr>
              <w:spacing w:line="276" w:lineRule="auto"/>
              <w:rPr>
                <w:rFonts w:ascii="宋体" w:hAnsi="宋体" w:cs="宋体"/>
                <w:bCs/>
                <w:szCs w:val="21"/>
              </w:rPr>
            </w:pPr>
            <w:r>
              <w:rPr>
                <w:rFonts w:hint="eastAsia" w:ascii="宋体" w:hAnsi="宋体" w:cs="宋体"/>
                <w:bCs/>
                <w:szCs w:val="21"/>
              </w:rPr>
              <w:t>1.5中标人应免费派技术人员进行现场开箱、安装、调试，并提供货物安装调试的一切技术支持，确保货物达到正常运行状态。中标人应按其投标文件中的承诺，进行其他售后服务工作。</w:t>
            </w:r>
          </w:p>
        </w:tc>
      </w:tr>
      <w:tr w14:paraId="60CF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noWrap w:val="0"/>
            <w:vAlign w:val="center"/>
          </w:tcPr>
          <w:p w14:paraId="5F32391F">
            <w:pPr>
              <w:spacing w:line="276" w:lineRule="auto"/>
              <w:jc w:val="center"/>
              <w:rPr>
                <w:rFonts w:ascii="宋体" w:hAnsi="宋体" w:cs="宋体"/>
                <w:bCs/>
                <w:szCs w:val="21"/>
              </w:rPr>
            </w:pPr>
          </w:p>
        </w:tc>
        <w:tc>
          <w:tcPr>
            <w:tcW w:w="1620" w:type="dxa"/>
            <w:vMerge w:val="continue"/>
            <w:noWrap w:val="0"/>
            <w:vAlign w:val="center"/>
          </w:tcPr>
          <w:p w14:paraId="4B21483F">
            <w:pPr>
              <w:spacing w:line="276" w:lineRule="auto"/>
              <w:jc w:val="center"/>
              <w:rPr>
                <w:rFonts w:ascii="宋体" w:hAnsi="宋体" w:cs="宋体"/>
                <w:bCs/>
                <w:szCs w:val="21"/>
              </w:rPr>
            </w:pPr>
          </w:p>
        </w:tc>
        <w:tc>
          <w:tcPr>
            <w:tcW w:w="5940" w:type="dxa"/>
            <w:noWrap w:val="0"/>
            <w:vAlign w:val="top"/>
          </w:tcPr>
          <w:p w14:paraId="287305ED">
            <w:pPr>
              <w:spacing w:line="276" w:lineRule="auto"/>
              <w:rPr>
                <w:rFonts w:ascii="宋体" w:hAnsi="宋体" w:cs="宋体"/>
                <w:bCs/>
                <w:szCs w:val="21"/>
              </w:rPr>
            </w:pPr>
            <w:r>
              <w:rPr>
                <w:rFonts w:hint="eastAsia" w:ascii="宋体" w:hAnsi="宋体" w:cs="宋体"/>
                <w:bCs/>
                <w:szCs w:val="21"/>
              </w:rPr>
              <w:t>1.6本项目中所涉及产品必须满足现场户型要求，中标人应做好全面复核测量工作，并提供满足现场户型摆放安装的要求，相关作业产生的费用应包含在投标标价中。项目结算时，不做预算及相关调整。</w:t>
            </w:r>
          </w:p>
        </w:tc>
      </w:tr>
      <w:tr w14:paraId="38A3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12D7ED5E">
            <w:pPr>
              <w:spacing w:line="276" w:lineRule="auto"/>
              <w:jc w:val="center"/>
              <w:rPr>
                <w:rFonts w:ascii="宋体" w:hAnsi="宋体" w:cs="宋体"/>
                <w:bCs/>
                <w:szCs w:val="21"/>
              </w:rPr>
            </w:pPr>
            <w:r>
              <w:rPr>
                <w:rFonts w:hint="eastAsia" w:ascii="宋体" w:hAnsi="宋体" w:cs="宋体"/>
                <w:bCs/>
                <w:szCs w:val="21"/>
              </w:rPr>
              <w:t>2</w:t>
            </w:r>
          </w:p>
        </w:tc>
        <w:tc>
          <w:tcPr>
            <w:tcW w:w="1620" w:type="dxa"/>
            <w:vMerge w:val="restart"/>
            <w:noWrap w:val="0"/>
            <w:vAlign w:val="center"/>
          </w:tcPr>
          <w:p w14:paraId="5E16B648">
            <w:pPr>
              <w:spacing w:line="276" w:lineRule="auto"/>
              <w:jc w:val="center"/>
              <w:rPr>
                <w:rFonts w:ascii="宋体" w:hAnsi="宋体" w:cs="宋体"/>
                <w:bCs/>
                <w:szCs w:val="21"/>
              </w:rPr>
            </w:pPr>
            <w:r>
              <w:rPr>
                <w:rFonts w:hint="eastAsia" w:ascii="宋体" w:hAnsi="宋体" w:cs="宋体"/>
                <w:bCs/>
                <w:szCs w:val="21"/>
              </w:rPr>
              <w:t>安装调试及验收</w:t>
            </w:r>
          </w:p>
        </w:tc>
        <w:tc>
          <w:tcPr>
            <w:tcW w:w="5940" w:type="dxa"/>
            <w:noWrap w:val="0"/>
            <w:vAlign w:val="center"/>
          </w:tcPr>
          <w:p w14:paraId="50345406">
            <w:pPr>
              <w:spacing w:line="276" w:lineRule="auto"/>
              <w:rPr>
                <w:rFonts w:ascii="宋体" w:hAnsi="宋体" w:cs="宋体"/>
                <w:bCs/>
                <w:szCs w:val="21"/>
              </w:rPr>
            </w:pPr>
            <w:r>
              <w:rPr>
                <w:rFonts w:hint="eastAsia" w:ascii="宋体" w:hAnsi="宋体" w:cs="宋体"/>
                <w:bCs/>
                <w:szCs w:val="21"/>
              </w:rPr>
              <w:t>2.1中标人货物经过学校组织的验收后，签署验收报告，产品保修期自签署验收合格之日起算，由中标人提供产品保修文件。</w:t>
            </w:r>
          </w:p>
        </w:tc>
      </w:tr>
      <w:tr w14:paraId="5193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7100B614">
            <w:pPr>
              <w:spacing w:line="276" w:lineRule="auto"/>
              <w:jc w:val="center"/>
              <w:rPr>
                <w:rFonts w:ascii="宋体" w:hAnsi="宋体" w:cs="宋体"/>
                <w:bCs/>
                <w:szCs w:val="21"/>
              </w:rPr>
            </w:pPr>
          </w:p>
        </w:tc>
        <w:tc>
          <w:tcPr>
            <w:tcW w:w="1620" w:type="dxa"/>
            <w:vMerge w:val="continue"/>
            <w:noWrap w:val="0"/>
            <w:vAlign w:val="center"/>
          </w:tcPr>
          <w:p w14:paraId="48BFFD72">
            <w:pPr>
              <w:spacing w:line="276" w:lineRule="auto"/>
              <w:jc w:val="center"/>
              <w:rPr>
                <w:rFonts w:ascii="宋体" w:hAnsi="宋体" w:cs="宋体"/>
                <w:bCs/>
                <w:szCs w:val="21"/>
              </w:rPr>
            </w:pPr>
          </w:p>
        </w:tc>
        <w:tc>
          <w:tcPr>
            <w:tcW w:w="5940" w:type="dxa"/>
            <w:noWrap w:val="0"/>
            <w:vAlign w:val="center"/>
          </w:tcPr>
          <w:p w14:paraId="34264613">
            <w:pPr>
              <w:spacing w:line="276" w:lineRule="auto"/>
              <w:rPr>
                <w:rFonts w:ascii="宋体" w:hAnsi="宋体" w:cs="宋体"/>
                <w:bCs/>
                <w:szCs w:val="21"/>
              </w:rPr>
            </w:pPr>
            <w:r>
              <w:rPr>
                <w:rFonts w:hint="eastAsia" w:ascii="宋体" w:hAnsi="宋体" w:cs="宋体"/>
                <w:bCs/>
                <w:szCs w:val="21"/>
              </w:rPr>
              <w:t>2.2当满足以下条件时，采购人才向中标人签发货物验收报告：</w:t>
            </w:r>
          </w:p>
          <w:p w14:paraId="3D3950A8">
            <w:pPr>
              <w:tabs>
                <w:tab w:val="left" w:pos="1260"/>
              </w:tabs>
              <w:spacing w:line="276" w:lineRule="auto"/>
              <w:rPr>
                <w:rFonts w:ascii="宋体" w:hAnsi="宋体" w:cs="宋体"/>
                <w:bCs/>
                <w:szCs w:val="21"/>
              </w:rPr>
            </w:pPr>
            <w:r>
              <w:rPr>
                <w:rFonts w:hint="eastAsia" w:ascii="宋体" w:hAnsi="宋体" w:cs="宋体"/>
                <w:bCs/>
                <w:szCs w:val="21"/>
              </w:rPr>
              <w:t>a、中标人已按照合同规定提供了全部产品及完整的技术资料。</w:t>
            </w:r>
          </w:p>
          <w:p w14:paraId="607E0065">
            <w:pPr>
              <w:tabs>
                <w:tab w:val="left" w:pos="1260"/>
              </w:tabs>
              <w:spacing w:line="276" w:lineRule="auto"/>
              <w:rPr>
                <w:rFonts w:ascii="宋体" w:hAnsi="宋体" w:cs="宋体"/>
                <w:bCs/>
                <w:szCs w:val="21"/>
              </w:rPr>
            </w:pPr>
            <w:r>
              <w:rPr>
                <w:rFonts w:hint="eastAsia" w:ascii="宋体" w:hAnsi="宋体" w:cs="宋体"/>
                <w:bCs/>
                <w:szCs w:val="21"/>
              </w:rPr>
              <w:t>b、货物符合招标文件技术规格书的要求，性能满足要求。</w:t>
            </w:r>
          </w:p>
          <w:p w14:paraId="1DB7C6C5">
            <w:pPr>
              <w:spacing w:line="276" w:lineRule="auto"/>
              <w:rPr>
                <w:rFonts w:ascii="宋体" w:hAnsi="宋体" w:cs="宋体"/>
                <w:bCs/>
                <w:szCs w:val="21"/>
              </w:rPr>
            </w:pPr>
            <w:r>
              <w:rPr>
                <w:rFonts w:hint="eastAsia" w:ascii="宋体" w:hAnsi="宋体" w:cs="宋体"/>
                <w:bCs/>
                <w:szCs w:val="21"/>
              </w:rPr>
              <w:t>c、货物具备产品合格证。</w:t>
            </w:r>
          </w:p>
        </w:tc>
      </w:tr>
      <w:tr w14:paraId="3A18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6D35A6C1">
            <w:pPr>
              <w:spacing w:line="276" w:lineRule="auto"/>
              <w:jc w:val="center"/>
              <w:rPr>
                <w:rFonts w:ascii="宋体" w:hAnsi="宋体" w:cs="宋体"/>
                <w:bCs/>
                <w:szCs w:val="21"/>
              </w:rPr>
            </w:pPr>
          </w:p>
        </w:tc>
        <w:tc>
          <w:tcPr>
            <w:tcW w:w="1620" w:type="dxa"/>
            <w:vMerge w:val="continue"/>
            <w:noWrap w:val="0"/>
            <w:vAlign w:val="center"/>
          </w:tcPr>
          <w:p w14:paraId="1E8EC2E6">
            <w:pPr>
              <w:spacing w:line="276" w:lineRule="auto"/>
              <w:jc w:val="center"/>
              <w:rPr>
                <w:rFonts w:ascii="宋体" w:hAnsi="宋体" w:cs="宋体"/>
                <w:bCs/>
                <w:szCs w:val="21"/>
              </w:rPr>
            </w:pPr>
          </w:p>
        </w:tc>
        <w:tc>
          <w:tcPr>
            <w:tcW w:w="5940" w:type="dxa"/>
            <w:noWrap w:val="0"/>
            <w:vAlign w:val="center"/>
          </w:tcPr>
          <w:p w14:paraId="40BF4F36">
            <w:pPr>
              <w:spacing w:line="276" w:lineRule="auto"/>
              <w:rPr>
                <w:rFonts w:ascii="宋体" w:hAnsi="宋体" w:cs="宋体"/>
                <w:bCs/>
                <w:szCs w:val="21"/>
              </w:rPr>
            </w:pPr>
            <w:r>
              <w:rPr>
                <w:rFonts w:hint="eastAsia" w:ascii="宋体" w:hAnsi="宋体" w:cs="宋体"/>
                <w:bCs/>
                <w:szCs w:val="21"/>
              </w:rPr>
              <w:t>2.3设备完成安装后进行初步验收，中标人须派测试人员现场调试每台设备，记录每台设备的试运转情况，采购人和中标人需对试运转记录进行签字确认。正式验收时，中标人应派人参加，否则采购人有权单方面验收，并以此验收为准。</w:t>
            </w:r>
          </w:p>
        </w:tc>
      </w:tr>
      <w:tr w14:paraId="29E7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0" w:type="dxa"/>
            <w:vMerge w:val="continue"/>
            <w:noWrap w:val="0"/>
            <w:vAlign w:val="center"/>
          </w:tcPr>
          <w:p w14:paraId="7757C901">
            <w:pPr>
              <w:spacing w:line="276" w:lineRule="auto"/>
              <w:jc w:val="center"/>
              <w:rPr>
                <w:rFonts w:ascii="宋体" w:hAnsi="宋体" w:cs="宋体"/>
                <w:bCs/>
                <w:szCs w:val="21"/>
              </w:rPr>
            </w:pPr>
          </w:p>
        </w:tc>
        <w:tc>
          <w:tcPr>
            <w:tcW w:w="1620" w:type="dxa"/>
            <w:vMerge w:val="continue"/>
            <w:noWrap w:val="0"/>
            <w:vAlign w:val="center"/>
          </w:tcPr>
          <w:p w14:paraId="62D3FBC9">
            <w:pPr>
              <w:spacing w:line="276" w:lineRule="auto"/>
              <w:jc w:val="center"/>
              <w:rPr>
                <w:rFonts w:ascii="宋体" w:hAnsi="宋体" w:cs="宋体"/>
                <w:bCs/>
                <w:szCs w:val="21"/>
              </w:rPr>
            </w:pPr>
          </w:p>
        </w:tc>
        <w:tc>
          <w:tcPr>
            <w:tcW w:w="5940" w:type="dxa"/>
            <w:noWrap w:val="0"/>
            <w:vAlign w:val="center"/>
          </w:tcPr>
          <w:p w14:paraId="19180E37">
            <w:pPr>
              <w:spacing w:line="276" w:lineRule="auto"/>
              <w:rPr>
                <w:rFonts w:ascii="宋体" w:hAnsi="宋体" w:cs="宋体"/>
                <w:bCs/>
                <w:szCs w:val="21"/>
              </w:rPr>
            </w:pPr>
            <w:r>
              <w:rPr>
                <w:rFonts w:hint="eastAsia" w:ascii="宋体" w:hAnsi="宋体" w:cs="宋体"/>
                <w:bCs/>
                <w:szCs w:val="21"/>
              </w:rPr>
              <w:t>2.4验收中如发现有质量不合格或型号规格、数量等与送货清单不符、提交的技术文件和资料不完整等情形，投标人应免费更换或补齐。</w:t>
            </w:r>
          </w:p>
        </w:tc>
      </w:tr>
      <w:tr w14:paraId="37F0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Merge w:val="continue"/>
            <w:noWrap w:val="0"/>
            <w:vAlign w:val="center"/>
          </w:tcPr>
          <w:p w14:paraId="589D30B5">
            <w:pPr>
              <w:spacing w:line="276" w:lineRule="auto"/>
              <w:jc w:val="center"/>
              <w:rPr>
                <w:rFonts w:ascii="宋体" w:hAnsi="宋体" w:cs="宋体"/>
                <w:bCs/>
                <w:szCs w:val="21"/>
              </w:rPr>
            </w:pPr>
          </w:p>
        </w:tc>
        <w:tc>
          <w:tcPr>
            <w:tcW w:w="1620" w:type="dxa"/>
            <w:vMerge w:val="continue"/>
            <w:noWrap w:val="0"/>
            <w:vAlign w:val="center"/>
          </w:tcPr>
          <w:p w14:paraId="53E6784B">
            <w:pPr>
              <w:spacing w:line="276" w:lineRule="auto"/>
              <w:jc w:val="center"/>
              <w:rPr>
                <w:rFonts w:ascii="宋体" w:hAnsi="宋体" w:cs="宋体"/>
                <w:bCs/>
                <w:szCs w:val="21"/>
              </w:rPr>
            </w:pPr>
          </w:p>
        </w:tc>
        <w:tc>
          <w:tcPr>
            <w:tcW w:w="5940" w:type="dxa"/>
            <w:noWrap w:val="0"/>
            <w:vAlign w:val="center"/>
          </w:tcPr>
          <w:p w14:paraId="37DA1F3B">
            <w:pPr>
              <w:spacing w:line="276" w:lineRule="auto"/>
              <w:rPr>
                <w:rFonts w:ascii="宋体" w:hAnsi="宋体" w:cs="宋体"/>
                <w:bCs/>
                <w:szCs w:val="21"/>
              </w:rPr>
            </w:pPr>
            <w:r>
              <w:rPr>
                <w:rFonts w:hint="eastAsia" w:ascii="宋体" w:hAnsi="宋体" w:cs="宋体"/>
                <w:bCs/>
                <w:szCs w:val="21"/>
              </w:rPr>
              <w:t>2.5采购人签署验收报告合格前，设备的一切风险（包括但不限于设备的损毁、灭失及可能的侵权等），均由中标人承担。</w:t>
            </w:r>
          </w:p>
        </w:tc>
      </w:tr>
      <w:tr w14:paraId="014A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32377D00">
            <w:pPr>
              <w:spacing w:line="276" w:lineRule="auto"/>
              <w:jc w:val="center"/>
              <w:rPr>
                <w:rFonts w:ascii="宋体" w:hAnsi="宋体" w:cs="宋体"/>
                <w:bCs/>
                <w:szCs w:val="21"/>
              </w:rPr>
            </w:pPr>
          </w:p>
        </w:tc>
        <w:tc>
          <w:tcPr>
            <w:tcW w:w="1620" w:type="dxa"/>
            <w:vMerge w:val="continue"/>
            <w:noWrap w:val="0"/>
            <w:vAlign w:val="center"/>
          </w:tcPr>
          <w:p w14:paraId="503CD103">
            <w:pPr>
              <w:spacing w:line="276" w:lineRule="auto"/>
              <w:jc w:val="center"/>
              <w:rPr>
                <w:rFonts w:ascii="宋体" w:hAnsi="宋体" w:cs="宋体"/>
                <w:bCs/>
                <w:szCs w:val="21"/>
              </w:rPr>
            </w:pPr>
          </w:p>
        </w:tc>
        <w:tc>
          <w:tcPr>
            <w:tcW w:w="5940" w:type="dxa"/>
            <w:noWrap w:val="0"/>
            <w:vAlign w:val="center"/>
          </w:tcPr>
          <w:p w14:paraId="70AE4528">
            <w:pPr>
              <w:spacing w:line="276" w:lineRule="auto"/>
              <w:rPr>
                <w:rFonts w:ascii="宋体" w:hAnsi="宋体" w:cs="宋体"/>
                <w:bCs/>
                <w:szCs w:val="21"/>
              </w:rPr>
            </w:pPr>
            <w:r>
              <w:rPr>
                <w:rFonts w:hint="eastAsia" w:ascii="宋体" w:hAnsi="宋体" w:cs="宋体"/>
                <w:bCs/>
                <w:szCs w:val="21"/>
              </w:rPr>
              <w:t>2.6产品要求外观美观，外包封完整。产品全部验收合格后，按国家“新三包法”规定，享受三包服务。</w:t>
            </w:r>
          </w:p>
        </w:tc>
      </w:tr>
      <w:tr w14:paraId="4F55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06441913">
            <w:pPr>
              <w:spacing w:line="276" w:lineRule="auto"/>
              <w:jc w:val="center"/>
              <w:rPr>
                <w:rFonts w:ascii="宋体" w:hAnsi="宋体" w:cs="宋体"/>
                <w:b/>
                <w:szCs w:val="21"/>
              </w:rPr>
            </w:pPr>
            <w:r>
              <w:rPr>
                <w:rFonts w:hint="eastAsia" w:ascii="宋体" w:hAnsi="宋体" w:cs="宋体"/>
                <w:b/>
                <w:szCs w:val="21"/>
              </w:rPr>
              <w:t>3</w:t>
            </w:r>
          </w:p>
        </w:tc>
        <w:tc>
          <w:tcPr>
            <w:tcW w:w="1620" w:type="dxa"/>
            <w:noWrap w:val="0"/>
            <w:vAlign w:val="center"/>
          </w:tcPr>
          <w:p w14:paraId="79257C9F">
            <w:pPr>
              <w:spacing w:line="276" w:lineRule="auto"/>
              <w:jc w:val="center"/>
              <w:rPr>
                <w:rFonts w:ascii="宋体" w:hAnsi="宋体" w:cs="宋体"/>
                <w:b/>
                <w:szCs w:val="21"/>
              </w:rPr>
            </w:pPr>
            <w:r>
              <w:rPr>
                <w:rFonts w:hint="eastAsia" w:ascii="宋体" w:hAnsi="宋体" w:cs="宋体"/>
                <w:b/>
                <w:szCs w:val="21"/>
              </w:rPr>
              <w:t>检测验证</w:t>
            </w:r>
          </w:p>
        </w:tc>
        <w:tc>
          <w:tcPr>
            <w:tcW w:w="5940" w:type="dxa"/>
            <w:noWrap w:val="0"/>
            <w:vAlign w:val="center"/>
          </w:tcPr>
          <w:p w14:paraId="772BC94F">
            <w:pPr>
              <w:spacing w:line="276" w:lineRule="auto"/>
              <w:rPr>
                <w:rFonts w:ascii="宋体" w:hAnsi="宋体" w:cs="宋体"/>
                <w:bCs/>
                <w:szCs w:val="21"/>
              </w:rPr>
            </w:pPr>
            <w:r>
              <w:rPr>
                <w:rFonts w:hint="eastAsia" w:ascii="宋体" w:hAnsi="宋体" w:cs="宋体"/>
                <w:b/>
                <w:szCs w:val="21"/>
              </w:rPr>
              <w:t>★招标方有权直接通过第三方检测机构对于中标方提供的本项目全部或部分货物，依据投标技术响应情况逐一测试验证，其检测结果作为验证中标方提供设备与其投标资料是否相符的认定标准。不管其检测结果是否与投标资料一致，其检测费用均由中标方承担。</w:t>
            </w:r>
          </w:p>
        </w:tc>
      </w:tr>
      <w:tr w14:paraId="13D1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07182E05">
            <w:pPr>
              <w:spacing w:line="276" w:lineRule="auto"/>
              <w:jc w:val="center"/>
              <w:rPr>
                <w:rFonts w:ascii="宋体" w:hAnsi="宋体" w:cs="宋体"/>
                <w:bCs/>
                <w:szCs w:val="21"/>
              </w:rPr>
            </w:pPr>
            <w:r>
              <w:rPr>
                <w:rFonts w:hint="eastAsia" w:ascii="宋体" w:hAnsi="宋体" w:cs="宋体"/>
                <w:bCs/>
                <w:szCs w:val="21"/>
              </w:rPr>
              <w:t>4</w:t>
            </w:r>
          </w:p>
        </w:tc>
        <w:tc>
          <w:tcPr>
            <w:tcW w:w="1620" w:type="dxa"/>
            <w:vMerge w:val="restart"/>
            <w:noWrap w:val="0"/>
            <w:vAlign w:val="center"/>
          </w:tcPr>
          <w:p w14:paraId="32AF25FC">
            <w:pPr>
              <w:spacing w:line="276" w:lineRule="auto"/>
              <w:jc w:val="center"/>
              <w:rPr>
                <w:rFonts w:ascii="宋体" w:hAnsi="宋体" w:cs="宋体"/>
                <w:bCs/>
                <w:szCs w:val="21"/>
              </w:rPr>
            </w:pPr>
            <w:r>
              <w:rPr>
                <w:rFonts w:hint="eastAsia" w:ascii="宋体" w:hAnsi="宋体" w:cs="宋体"/>
                <w:bCs/>
                <w:szCs w:val="21"/>
              </w:rPr>
              <w:t>关于违约</w:t>
            </w:r>
          </w:p>
        </w:tc>
        <w:tc>
          <w:tcPr>
            <w:tcW w:w="5940" w:type="dxa"/>
            <w:noWrap w:val="0"/>
            <w:vAlign w:val="center"/>
          </w:tcPr>
          <w:p w14:paraId="5975FFFF">
            <w:pPr>
              <w:spacing w:line="276" w:lineRule="auto"/>
              <w:rPr>
                <w:rFonts w:ascii="宋体" w:hAnsi="宋体" w:cs="宋体"/>
                <w:b/>
                <w:szCs w:val="21"/>
              </w:rPr>
            </w:pPr>
            <w:r>
              <w:rPr>
                <w:rFonts w:hint="eastAsia" w:ascii="宋体" w:hAnsi="宋体" w:cs="宋体"/>
                <w:b/>
                <w:szCs w:val="21"/>
              </w:rPr>
              <w:t>★4.1合同生效后，中标人应当按照采购人的时间要求完成交货，如不能在规定时间完成交货，在原定交货时间基础上最长给予中标人5个日历日的顺延，如中标人在5个日历日或再次确定的交货时间届满后（以先到期的时间为准）仍无法按照合同约定逾期交付产品的，视为中标人逾期，中标人应自原约定交货时间之日起算，每日支付逾期交货部分金额0.3%的违约金，并视为中标人已构成严重逾期交货违约。</w:t>
            </w:r>
          </w:p>
          <w:p w14:paraId="5845CDCF">
            <w:pPr>
              <w:spacing w:line="276" w:lineRule="auto"/>
              <w:rPr>
                <w:rFonts w:ascii="宋体" w:hAnsi="宋体" w:cs="宋体"/>
                <w:b/>
                <w:szCs w:val="21"/>
              </w:rPr>
            </w:pPr>
            <w:r>
              <w:rPr>
                <w:rFonts w:hint="eastAsia" w:ascii="宋体" w:hAnsi="宋体" w:cs="宋体"/>
                <w:b/>
                <w:szCs w:val="21"/>
              </w:rPr>
              <w:t>在中标人构成严重逾期交货违约的情况下，除继续计算逾期交付违约金外，采购人有权选择采取以下措施向中标人主张违约责任，或选择直接解除合同：</w:t>
            </w:r>
          </w:p>
          <w:p w14:paraId="5A76C683">
            <w:pPr>
              <w:spacing w:line="276" w:lineRule="auto"/>
              <w:rPr>
                <w:rFonts w:ascii="宋体" w:hAnsi="宋体" w:cs="宋体"/>
                <w:b/>
                <w:szCs w:val="21"/>
              </w:rPr>
            </w:pPr>
            <w:r>
              <w:rPr>
                <w:rFonts w:hint="eastAsia" w:ascii="宋体" w:hAnsi="宋体" w:cs="宋体"/>
                <w:b/>
                <w:szCs w:val="21"/>
              </w:rPr>
              <w:t>（1）采购人选择主张违约责任的，终止合同履行，但保留已交付且通过采购人验收对应部分产品的，将在合同总价中扣除中标人未交付产品金额，未交付的产品无需再交付，中标人不得再向采购人主张任何与未交付产品相关的任何费用，且中标人须向采购人支付未交付产品15%的违约金，同时须支付采购人重新采购该项未交付产品的采购差价（即重新采购后价格高于中标人未交付产品价格的差额），并按采购人主管部门相关规定处理。</w:t>
            </w:r>
          </w:p>
          <w:p w14:paraId="6E441B98">
            <w:pPr>
              <w:spacing w:line="276" w:lineRule="auto"/>
              <w:rPr>
                <w:rFonts w:ascii="宋体" w:hAnsi="宋体" w:cs="宋体"/>
                <w:bCs/>
                <w:szCs w:val="21"/>
              </w:rPr>
            </w:pPr>
            <w:r>
              <w:rPr>
                <w:rFonts w:hint="eastAsia" w:ascii="宋体" w:hAnsi="宋体" w:cs="宋体"/>
                <w:b/>
                <w:szCs w:val="21"/>
              </w:rPr>
              <w:t>（2）如采购人选择解除合同，全部退还产品的，采购人有权要求中标人退还已支付所有款项，不再支付任何剩余款项，没收履约保证金，并退还所有中标人已提供的产品（由中标人自行在采购人指定的时间内拆除搬离），未交付的产品无需再交付，中标人不得再向采购人主张任何与本次采购产品相关的任何费用，解除合同后5个日历日内，中标人须向采购人支付合同总价15%的违约金，并按采购人主管部门相关规定处理。</w:t>
            </w:r>
          </w:p>
        </w:tc>
      </w:tr>
      <w:tr w14:paraId="6969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52CE972F">
            <w:pPr>
              <w:spacing w:line="276" w:lineRule="auto"/>
              <w:jc w:val="center"/>
              <w:rPr>
                <w:rFonts w:ascii="宋体" w:hAnsi="宋体" w:cs="宋体"/>
                <w:bCs/>
                <w:szCs w:val="21"/>
              </w:rPr>
            </w:pPr>
          </w:p>
        </w:tc>
        <w:tc>
          <w:tcPr>
            <w:tcW w:w="1620" w:type="dxa"/>
            <w:vMerge w:val="continue"/>
            <w:noWrap w:val="0"/>
            <w:vAlign w:val="center"/>
          </w:tcPr>
          <w:p w14:paraId="538BA09B">
            <w:pPr>
              <w:spacing w:line="276" w:lineRule="auto"/>
              <w:jc w:val="center"/>
              <w:rPr>
                <w:rFonts w:ascii="宋体" w:hAnsi="宋体" w:cs="宋体"/>
                <w:bCs/>
                <w:szCs w:val="21"/>
              </w:rPr>
            </w:pPr>
          </w:p>
        </w:tc>
        <w:tc>
          <w:tcPr>
            <w:tcW w:w="5940" w:type="dxa"/>
            <w:noWrap w:val="0"/>
            <w:vAlign w:val="center"/>
          </w:tcPr>
          <w:p w14:paraId="31CEA238">
            <w:pPr>
              <w:spacing w:line="276" w:lineRule="auto"/>
              <w:rPr>
                <w:rFonts w:ascii="宋体" w:hAnsi="宋体" w:cs="宋体"/>
                <w:bCs/>
                <w:szCs w:val="21"/>
              </w:rPr>
            </w:pPr>
            <w:r>
              <w:rPr>
                <w:rFonts w:hint="eastAsia" w:ascii="宋体" w:hAnsi="宋体" w:cs="宋体"/>
                <w:bCs/>
                <w:szCs w:val="21"/>
              </w:rPr>
              <w:t>4.2有以下情况之一的，采购人将按主管部门相关规定处理：</w:t>
            </w:r>
          </w:p>
          <w:p w14:paraId="7B298E07">
            <w:pPr>
              <w:spacing w:line="276" w:lineRule="auto"/>
              <w:rPr>
                <w:rFonts w:ascii="宋体" w:hAnsi="宋体" w:cs="宋体"/>
                <w:bCs/>
                <w:szCs w:val="21"/>
              </w:rPr>
            </w:pPr>
            <w:r>
              <w:rPr>
                <w:rFonts w:hint="eastAsia" w:ascii="宋体" w:hAnsi="宋体" w:cs="宋体"/>
                <w:bCs/>
                <w:szCs w:val="21"/>
              </w:rPr>
              <w:t>（1）中标人所交付的产品品种、型号、规格、质量不符合同规定标准的，供货的材料不是招标文件中约定的原材料的，采购人有权拒绝收货；</w:t>
            </w:r>
          </w:p>
          <w:p w14:paraId="1CDA82F7">
            <w:pPr>
              <w:spacing w:line="276" w:lineRule="auto"/>
              <w:rPr>
                <w:rFonts w:ascii="宋体" w:hAnsi="宋体" w:cs="宋体"/>
                <w:bCs/>
                <w:szCs w:val="21"/>
              </w:rPr>
            </w:pPr>
            <w:r>
              <w:rPr>
                <w:rFonts w:hint="eastAsia" w:ascii="宋体" w:hAnsi="宋体" w:cs="宋体"/>
                <w:bCs/>
                <w:szCs w:val="21"/>
              </w:rPr>
              <w:t>（2）中标人不能依约提供技术服务或单方终止合同；</w:t>
            </w:r>
          </w:p>
          <w:p w14:paraId="70BBFF3F">
            <w:pPr>
              <w:spacing w:line="276" w:lineRule="auto"/>
              <w:rPr>
                <w:rFonts w:ascii="宋体" w:hAnsi="宋体" w:cs="宋体"/>
                <w:bCs/>
                <w:szCs w:val="21"/>
              </w:rPr>
            </w:pPr>
            <w:r>
              <w:rPr>
                <w:rFonts w:hint="eastAsia" w:ascii="宋体" w:hAnsi="宋体" w:cs="宋体"/>
                <w:bCs/>
                <w:szCs w:val="21"/>
              </w:rPr>
              <w:t>有以上情况之一，按照4.1的第（2）条约定行使解除合同，退还全部货物，并追究中标人违约责任之权利。</w:t>
            </w:r>
          </w:p>
        </w:tc>
      </w:tr>
      <w:tr w14:paraId="44C9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35392232">
            <w:pPr>
              <w:spacing w:line="276" w:lineRule="auto"/>
              <w:jc w:val="center"/>
              <w:rPr>
                <w:rFonts w:ascii="宋体" w:hAnsi="宋体" w:cs="宋体"/>
                <w:bCs/>
                <w:szCs w:val="21"/>
              </w:rPr>
            </w:pPr>
          </w:p>
        </w:tc>
        <w:tc>
          <w:tcPr>
            <w:tcW w:w="1620" w:type="dxa"/>
            <w:vMerge w:val="continue"/>
            <w:noWrap w:val="0"/>
            <w:vAlign w:val="center"/>
          </w:tcPr>
          <w:p w14:paraId="244DB529">
            <w:pPr>
              <w:spacing w:line="276" w:lineRule="auto"/>
              <w:jc w:val="center"/>
              <w:rPr>
                <w:rFonts w:ascii="宋体" w:hAnsi="宋体" w:cs="宋体"/>
                <w:bCs/>
                <w:szCs w:val="21"/>
              </w:rPr>
            </w:pPr>
          </w:p>
        </w:tc>
        <w:tc>
          <w:tcPr>
            <w:tcW w:w="5940" w:type="dxa"/>
            <w:noWrap w:val="0"/>
            <w:vAlign w:val="center"/>
          </w:tcPr>
          <w:p w14:paraId="14E66480">
            <w:pPr>
              <w:spacing w:line="276" w:lineRule="auto"/>
              <w:rPr>
                <w:rFonts w:ascii="宋体" w:hAnsi="宋体" w:cs="宋体"/>
                <w:bCs/>
                <w:szCs w:val="21"/>
              </w:rPr>
            </w:pPr>
            <w:r>
              <w:rPr>
                <w:rFonts w:hint="eastAsia" w:ascii="宋体" w:hAnsi="宋体" w:cs="宋体"/>
                <w:bCs/>
                <w:szCs w:val="21"/>
              </w:rPr>
              <w:t>4.3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要求中标人在免费保修期内免费换货或退货，中标人须向采购人支付由于中标人行为给采购人造成的损失，并按主管部门相关规定处理。</w:t>
            </w:r>
          </w:p>
        </w:tc>
      </w:tr>
      <w:tr w14:paraId="4C9C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260" w:type="dxa"/>
            <w:vMerge w:val="continue"/>
            <w:noWrap w:val="0"/>
            <w:vAlign w:val="center"/>
          </w:tcPr>
          <w:p w14:paraId="35F00A0D">
            <w:pPr>
              <w:spacing w:line="276" w:lineRule="auto"/>
              <w:jc w:val="center"/>
              <w:rPr>
                <w:rFonts w:ascii="宋体" w:hAnsi="宋体" w:cs="宋体"/>
                <w:bCs/>
                <w:szCs w:val="21"/>
              </w:rPr>
            </w:pPr>
          </w:p>
        </w:tc>
        <w:tc>
          <w:tcPr>
            <w:tcW w:w="1620" w:type="dxa"/>
            <w:vMerge w:val="continue"/>
            <w:noWrap w:val="0"/>
            <w:vAlign w:val="center"/>
          </w:tcPr>
          <w:p w14:paraId="3CE8BF1E">
            <w:pPr>
              <w:spacing w:line="276" w:lineRule="auto"/>
              <w:jc w:val="center"/>
              <w:rPr>
                <w:rFonts w:ascii="宋体" w:hAnsi="宋体" w:cs="宋体"/>
                <w:bCs/>
                <w:szCs w:val="21"/>
              </w:rPr>
            </w:pPr>
          </w:p>
        </w:tc>
        <w:tc>
          <w:tcPr>
            <w:tcW w:w="5940" w:type="dxa"/>
            <w:noWrap w:val="0"/>
            <w:vAlign w:val="center"/>
          </w:tcPr>
          <w:p w14:paraId="4CA0AC54">
            <w:pPr>
              <w:spacing w:line="276" w:lineRule="auto"/>
              <w:rPr>
                <w:rFonts w:ascii="宋体" w:hAnsi="宋体" w:cs="宋体"/>
                <w:bCs/>
                <w:szCs w:val="21"/>
              </w:rPr>
            </w:pPr>
            <w:r>
              <w:rPr>
                <w:rFonts w:hint="eastAsia" w:ascii="宋体" w:hAnsi="宋体" w:cs="宋体"/>
                <w:bCs/>
                <w:szCs w:val="21"/>
              </w:rPr>
              <w:t>4.4中标人必须严格按照招标文件中约定的技术要求完成供货，若货品自交付使用之日起的2年期间里，出现大规模质量问题（瑕疵品占总数的3%及以上）则将按照合同约定被追究相应违约责任。</w:t>
            </w:r>
          </w:p>
        </w:tc>
      </w:tr>
      <w:tr w14:paraId="3190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260" w:type="dxa"/>
            <w:vMerge w:val="continue"/>
            <w:noWrap w:val="0"/>
            <w:vAlign w:val="center"/>
          </w:tcPr>
          <w:p w14:paraId="4E3000E3">
            <w:pPr>
              <w:spacing w:line="276" w:lineRule="auto"/>
              <w:jc w:val="center"/>
              <w:rPr>
                <w:rFonts w:ascii="宋体" w:hAnsi="宋体" w:cs="宋体"/>
                <w:bCs/>
                <w:szCs w:val="21"/>
              </w:rPr>
            </w:pPr>
          </w:p>
        </w:tc>
        <w:tc>
          <w:tcPr>
            <w:tcW w:w="1620" w:type="dxa"/>
            <w:vMerge w:val="continue"/>
            <w:noWrap w:val="0"/>
            <w:vAlign w:val="center"/>
          </w:tcPr>
          <w:p w14:paraId="294B4531">
            <w:pPr>
              <w:spacing w:line="276" w:lineRule="auto"/>
              <w:jc w:val="center"/>
              <w:rPr>
                <w:rFonts w:ascii="宋体" w:hAnsi="宋体" w:cs="宋体"/>
                <w:bCs/>
                <w:szCs w:val="21"/>
              </w:rPr>
            </w:pPr>
          </w:p>
        </w:tc>
        <w:tc>
          <w:tcPr>
            <w:tcW w:w="5940" w:type="dxa"/>
            <w:noWrap w:val="0"/>
            <w:vAlign w:val="center"/>
          </w:tcPr>
          <w:p w14:paraId="0624715B">
            <w:pPr>
              <w:spacing w:line="276" w:lineRule="auto"/>
              <w:rPr>
                <w:rFonts w:ascii="宋体" w:hAnsi="宋体" w:cs="宋体"/>
                <w:bCs/>
                <w:szCs w:val="21"/>
              </w:rPr>
            </w:pPr>
            <w:r>
              <w:rPr>
                <w:rFonts w:hint="eastAsia" w:ascii="宋体" w:hAnsi="宋体" w:cs="宋体"/>
                <w:bCs/>
                <w:szCs w:val="21"/>
              </w:rPr>
              <w:t>4.5中标人如果未能按照招投标文件的规定履行相关服务，须按照招投标文件相关规定进行赔偿。若项目有履约保证金，如中标人不及时接受处理或支付违约金，采购人可直接从履约保证金中扣除相应金额，如果履约保证金不足以扣除违约金，中标人须弥补违约金的不足。</w:t>
            </w:r>
          </w:p>
        </w:tc>
      </w:tr>
      <w:tr w14:paraId="7E50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260" w:type="dxa"/>
            <w:vMerge w:val="continue"/>
            <w:noWrap w:val="0"/>
            <w:vAlign w:val="center"/>
          </w:tcPr>
          <w:p w14:paraId="6FB43CF9">
            <w:pPr>
              <w:spacing w:line="276" w:lineRule="auto"/>
              <w:jc w:val="center"/>
              <w:rPr>
                <w:rFonts w:ascii="宋体" w:hAnsi="宋体" w:cs="宋体"/>
                <w:bCs/>
                <w:szCs w:val="21"/>
              </w:rPr>
            </w:pPr>
          </w:p>
        </w:tc>
        <w:tc>
          <w:tcPr>
            <w:tcW w:w="1620" w:type="dxa"/>
            <w:vMerge w:val="continue"/>
            <w:noWrap w:val="0"/>
            <w:vAlign w:val="center"/>
          </w:tcPr>
          <w:p w14:paraId="597F36AF">
            <w:pPr>
              <w:spacing w:line="276" w:lineRule="auto"/>
              <w:jc w:val="center"/>
              <w:rPr>
                <w:rFonts w:ascii="宋体" w:hAnsi="宋体" w:cs="宋体"/>
                <w:bCs/>
                <w:szCs w:val="21"/>
              </w:rPr>
            </w:pPr>
          </w:p>
        </w:tc>
        <w:tc>
          <w:tcPr>
            <w:tcW w:w="5940" w:type="dxa"/>
            <w:noWrap w:val="0"/>
            <w:vAlign w:val="center"/>
          </w:tcPr>
          <w:p w14:paraId="461AA75B">
            <w:pPr>
              <w:spacing w:line="276" w:lineRule="auto"/>
              <w:rPr>
                <w:rFonts w:ascii="宋体" w:hAnsi="宋体" w:cs="宋体"/>
                <w:bCs/>
                <w:szCs w:val="21"/>
              </w:rPr>
            </w:pPr>
            <w:r>
              <w:rPr>
                <w:rFonts w:hint="eastAsia" w:ascii="宋体" w:hAnsi="宋体" w:cs="宋体"/>
                <w:bCs/>
                <w:szCs w:val="21"/>
              </w:rPr>
              <w:t>4.6如中标人之违约行为发生在已退还履约担保金后，中标人同意所有对应之违约责任之违约金均按照合同金额的5%进行上调，以敦促中标人在免费保修期内妥善履约。</w:t>
            </w:r>
          </w:p>
        </w:tc>
      </w:tr>
      <w:tr w14:paraId="3FB0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72714F37">
            <w:pPr>
              <w:spacing w:line="276" w:lineRule="auto"/>
              <w:jc w:val="center"/>
              <w:rPr>
                <w:rFonts w:ascii="宋体" w:hAnsi="宋体" w:cs="宋体"/>
                <w:bCs/>
                <w:szCs w:val="21"/>
              </w:rPr>
            </w:pPr>
            <w:r>
              <w:rPr>
                <w:rFonts w:hint="eastAsia" w:ascii="宋体" w:hAnsi="宋体" w:cs="宋体"/>
                <w:bCs/>
                <w:szCs w:val="21"/>
              </w:rPr>
              <w:t>5</w:t>
            </w:r>
          </w:p>
        </w:tc>
        <w:tc>
          <w:tcPr>
            <w:tcW w:w="1620" w:type="dxa"/>
            <w:noWrap w:val="0"/>
            <w:vAlign w:val="center"/>
          </w:tcPr>
          <w:p w14:paraId="3F8964C7">
            <w:pPr>
              <w:spacing w:line="276" w:lineRule="auto"/>
              <w:jc w:val="center"/>
              <w:rPr>
                <w:rFonts w:ascii="宋体" w:hAnsi="宋体" w:cs="宋体"/>
                <w:szCs w:val="21"/>
              </w:rPr>
            </w:pPr>
            <w:r>
              <w:rPr>
                <w:rFonts w:hint="eastAsia" w:ascii="宋体" w:hAnsi="宋体" w:cs="宋体"/>
                <w:szCs w:val="21"/>
              </w:rPr>
              <w:t>关于付款</w:t>
            </w:r>
          </w:p>
        </w:tc>
        <w:tc>
          <w:tcPr>
            <w:tcW w:w="5940" w:type="dxa"/>
            <w:noWrap w:val="0"/>
            <w:vAlign w:val="top"/>
          </w:tcPr>
          <w:p w14:paraId="5FA72B15">
            <w:pPr>
              <w:spacing w:before="25" w:after="25" w:line="276" w:lineRule="auto"/>
              <w:jc w:val="left"/>
              <w:rPr>
                <w:rFonts w:ascii="宋体" w:hAnsi="宋体" w:cs="宋体"/>
                <w:bCs/>
                <w:szCs w:val="21"/>
              </w:rPr>
            </w:pPr>
            <w:r>
              <w:rPr>
                <w:rFonts w:hint="eastAsia" w:ascii="宋体" w:hAnsi="宋体" w:cs="宋体"/>
                <w:bCs/>
                <w:sz w:val="20"/>
                <w:szCs w:val="20"/>
              </w:rPr>
              <w:t>★</w:t>
            </w:r>
            <w:r>
              <w:rPr>
                <w:rFonts w:hint="eastAsia" w:ascii="宋体" w:hAnsi="宋体"/>
                <w:bCs/>
              </w:rPr>
              <w:t>合同签订后，采购人向</w:t>
            </w:r>
            <w:r>
              <w:rPr>
                <w:rFonts w:hint="eastAsia" w:ascii="宋体" w:hAnsi="宋体"/>
                <w:bCs/>
                <w:szCs w:val="21"/>
              </w:rPr>
              <w:t>中标人</w:t>
            </w:r>
            <w:r>
              <w:rPr>
                <w:rFonts w:hint="eastAsia" w:ascii="宋体" w:hAnsi="宋体"/>
                <w:bCs/>
              </w:rPr>
              <w:t>支付合同总价</w:t>
            </w:r>
            <w:r>
              <w:rPr>
                <w:rFonts w:hint="eastAsia" w:ascii="宋体" w:hAnsi="宋体"/>
                <w:bCs/>
                <w:u w:val="single"/>
              </w:rPr>
              <w:t xml:space="preserve">  </w:t>
            </w:r>
            <w:r>
              <w:rPr>
                <w:rFonts w:ascii="宋体" w:hAnsi="宋体"/>
                <w:bCs/>
                <w:u w:val="single"/>
              </w:rPr>
              <w:t>30</w:t>
            </w:r>
            <w:r>
              <w:rPr>
                <w:rFonts w:hint="eastAsia" w:ascii="宋体" w:hAnsi="宋体"/>
                <w:bCs/>
                <w:u w:val="single"/>
              </w:rPr>
              <w:t xml:space="preserve">  %</w:t>
            </w:r>
            <w:r>
              <w:rPr>
                <w:rFonts w:hint="eastAsia" w:ascii="宋体" w:hAnsi="宋体"/>
                <w:bCs/>
              </w:rPr>
              <w:t>的款项。货到指定地点、验收合格并提供发票后，采购人向</w:t>
            </w:r>
            <w:r>
              <w:rPr>
                <w:rFonts w:hint="eastAsia" w:ascii="宋体" w:hAnsi="宋体"/>
                <w:bCs/>
                <w:szCs w:val="21"/>
              </w:rPr>
              <w:t>中标人</w:t>
            </w:r>
            <w:r>
              <w:rPr>
                <w:rFonts w:hint="eastAsia" w:ascii="宋体" w:hAnsi="宋体"/>
                <w:bCs/>
              </w:rPr>
              <w:t>支付合同总价</w:t>
            </w:r>
            <w:r>
              <w:rPr>
                <w:rFonts w:hint="eastAsia" w:ascii="宋体" w:hAnsi="宋体"/>
                <w:bCs/>
                <w:u w:val="single"/>
              </w:rPr>
              <w:t xml:space="preserve">  </w:t>
            </w:r>
            <w:r>
              <w:rPr>
                <w:rFonts w:ascii="宋体" w:hAnsi="宋体"/>
                <w:bCs/>
                <w:u w:val="single"/>
              </w:rPr>
              <w:t>70</w:t>
            </w:r>
            <w:r>
              <w:rPr>
                <w:rFonts w:hint="eastAsia" w:ascii="宋体" w:hAnsi="宋体"/>
                <w:bCs/>
                <w:u w:val="single"/>
              </w:rPr>
              <w:t xml:space="preserve"> %</w:t>
            </w:r>
            <w:r>
              <w:rPr>
                <w:rFonts w:hint="eastAsia" w:ascii="宋体" w:hAnsi="宋体"/>
                <w:bCs/>
              </w:rPr>
              <w:t>的款项。（本项目为政府投资项目，政府投资项目最终支付金额以市财政评审机构的评审结论作为结算支付的依据）</w:t>
            </w:r>
          </w:p>
        </w:tc>
      </w:tr>
      <w:tr w14:paraId="2F8D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70460517">
            <w:pPr>
              <w:spacing w:line="276" w:lineRule="auto"/>
              <w:jc w:val="center"/>
              <w:rPr>
                <w:rFonts w:ascii="宋体" w:hAnsi="宋体" w:cs="宋体"/>
                <w:bCs/>
                <w:szCs w:val="21"/>
              </w:rPr>
            </w:pPr>
            <w:r>
              <w:rPr>
                <w:rFonts w:hint="eastAsia" w:ascii="宋体" w:hAnsi="宋体" w:cs="宋体"/>
                <w:bCs/>
                <w:szCs w:val="21"/>
              </w:rPr>
              <w:t>6</w:t>
            </w:r>
          </w:p>
        </w:tc>
        <w:tc>
          <w:tcPr>
            <w:tcW w:w="1620" w:type="dxa"/>
            <w:noWrap w:val="0"/>
            <w:vAlign w:val="center"/>
          </w:tcPr>
          <w:p w14:paraId="4A8DB86C">
            <w:pPr>
              <w:spacing w:line="276" w:lineRule="auto"/>
              <w:jc w:val="center"/>
              <w:rPr>
                <w:rFonts w:ascii="宋体" w:hAnsi="宋体" w:cs="宋体"/>
                <w:szCs w:val="21"/>
              </w:rPr>
            </w:pPr>
            <w:r>
              <w:rPr>
                <w:rFonts w:hint="eastAsia" w:ascii="宋体" w:hAnsi="宋体" w:cs="宋体"/>
                <w:szCs w:val="21"/>
              </w:rPr>
              <w:t>报价要求</w:t>
            </w:r>
          </w:p>
        </w:tc>
        <w:tc>
          <w:tcPr>
            <w:tcW w:w="5940" w:type="dxa"/>
            <w:noWrap w:val="0"/>
            <w:vAlign w:val="top"/>
          </w:tcPr>
          <w:p w14:paraId="60E662F6">
            <w:pPr>
              <w:spacing w:line="276" w:lineRule="auto"/>
              <w:rPr>
                <w:rFonts w:ascii="宋体" w:hAnsi="宋体" w:cs="宋体"/>
                <w:bCs/>
                <w:szCs w:val="21"/>
              </w:rPr>
            </w:pPr>
            <w:r>
              <w:rPr>
                <w:rFonts w:hint="eastAsia" w:ascii="宋体" w:hAnsi="宋体" w:cs="宋体"/>
                <w:color w:val="000000"/>
                <w:kern w:val="0"/>
                <w:szCs w:val="21"/>
              </w:rPr>
              <w:t>投标人应按货物需求的要求逐项报价。投标人提供的报价除另有约定外，均已包含购买货物费用及售后服务所发生的所有费用，包括但不限于代理费、税费、货物运至指定地点的如运输费、保险费、叉车费和装卸费、配套资料费、安装调试费、服务培训费、项目验收时的试剂耗材、第三方监督检验机构的服务费和验收检验费用、施工保障措施费用以及免费保修期内的售后服务费用及国家规定的各项税费等全部费用；投标总价应为各分项合计价格之和。与总项目相关的上述安装调试等费用须分摊计入各分项，不得以单项计费。</w:t>
            </w:r>
          </w:p>
        </w:tc>
      </w:tr>
      <w:tr w14:paraId="5650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260" w:type="dxa"/>
            <w:vMerge w:val="restart"/>
            <w:noWrap w:val="0"/>
            <w:vAlign w:val="center"/>
          </w:tcPr>
          <w:p w14:paraId="586F0829">
            <w:pPr>
              <w:spacing w:line="276" w:lineRule="auto"/>
              <w:jc w:val="center"/>
              <w:rPr>
                <w:rFonts w:ascii="宋体" w:hAnsi="宋体" w:cs="宋体"/>
                <w:bCs/>
                <w:szCs w:val="21"/>
              </w:rPr>
            </w:pPr>
            <w:r>
              <w:rPr>
                <w:rFonts w:hint="eastAsia" w:ascii="宋体" w:hAnsi="宋体" w:cs="宋体"/>
                <w:bCs/>
                <w:szCs w:val="21"/>
              </w:rPr>
              <w:t>7</w:t>
            </w:r>
          </w:p>
        </w:tc>
        <w:tc>
          <w:tcPr>
            <w:tcW w:w="1620" w:type="dxa"/>
            <w:vMerge w:val="restart"/>
            <w:noWrap w:val="0"/>
            <w:vAlign w:val="center"/>
          </w:tcPr>
          <w:p w14:paraId="6C568A97">
            <w:pPr>
              <w:spacing w:line="276" w:lineRule="auto"/>
              <w:jc w:val="center"/>
              <w:rPr>
                <w:rFonts w:ascii="宋体" w:hAnsi="宋体" w:cs="宋体"/>
                <w:szCs w:val="21"/>
              </w:rPr>
            </w:pPr>
            <w:r>
              <w:rPr>
                <w:rFonts w:hint="eastAsia" w:ascii="宋体" w:hAnsi="宋体" w:cs="宋体"/>
                <w:szCs w:val="21"/>
              </w:rPr>
              <w:t>其他</w:t>
            </w:r>
          </w:p>
        </w:tc>
        <w:tc>
          <w:tcPr>
            <w:tcW w:w="5940" w:type="dxa"/>
            <w:noWrap w:val="0"/>
            <w:vAlign w:val="center"/>
          </w:tcPr>
          <w:p w14:paraId="6DF4B228">
            <w:pPr>
              <w:spacing w:line="276" w:lineRule="auto"/>
              <w:rPr>
                <w:rFonts w:ascii="宋体" w:hAnsi="宋体" w:cs="宋体"/>
                <w:color w:val="000000"/>
                <w:kern w:val="0"/>
                <w:szCs w:val="21"/>
              </w:rPr>
            </w:pPr>
            <w:r>
              <w:rPr>
                <w:rFonts w:hint="eastAsia" w:ascii="宋体" w:hAnsi="宋体" w:cs="宋体"/>
                <w:szCs w:val="21"/>
              </w:rPr>
              <w:t>7.1中标人提供的产品需符合国家及省市相关安全要求，符合国家质量检测标准，若因产品设计和制造等原因而导致安全事故，由中标人承担全部责任及经济损失，包括因此给采购人造成的任何损害。</w:t>
            </w:r>
          </w:p>
        </w:tc>
      </w:tr>
      <w:tr w14:paraId="51E9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260" w:type="dxa"/>
            <w:vMerge w:val="continue"/>
            <w:noWrap w:val="0"/>
            <w:vAlign w:val="center"/>
          </w:tcPr>
          <w:p w14:paraId="5C976D16">
            <w:pPr>
              <w:spacing w:line="276" w:lineRule="auto"/>
              <w:jc w:val="center"/>
              <w:rPr>
                <w:rFonts w:ascii="宋体" w:hAnsi="宋体" w:cs="宋体"/>
                <w:bCs/>
                <w:szCs w:val="21"/>
              </w:rPr>
            </w:pPr>
          </w:p>
        </w:tc>
        <w:tc>
          <w:tcPr>
            <w:tcW w:w="1620" w:type="dxa"/>
            <w:vMerge w:val="continue"/>
            <w:noWrap w:val="0"/>
            <w:vAlign w:val="center"/>
          </w:tcPr>
          <w:p w14:paraId="38E15903">
            <w:pPr>
              <w:spacing w:line="276" w:lineRule="auto"/>
              <w:jc w:val="center"/>
              <w:rPr>
                <w:rFonts w:ascii="宋体" w:hAnsi="宋体" w:cs="宋体"/>
                <w:szCs w:val="21"/>
              </w:rPr>
            </w:pPr>
          </w:p>
        </w:tc>
        <w:tc>
          <w:tcPr>
            <w:tcW w:w="5940" w:type="dxa"/>
            <w:noWrap w:val="0"/>
            <w:vAlign w:val="center"/>
          </w:tcPr>
          <w:p w14:paraId="2D8991EC">
            <w:pPr>
              <w:spacing w:line="276" w:lineRule="auto"/>
              <w:rPr>
                <w:rFonts w:ascii="宋体" w:hAnsi="宋体" w:cs="宋体"/>
                <w:color w:val="000000"/>
                <w:kern w:val="0"/>
                <w:szCs w:val="21"/>
              </w:rPr>
            </w:pPr>
            <w:r>
              <w:rPr>
                <w:rFonts w:hint="eastAsia" w:ascii="宋体" w:hAnsi="宋体" w:cs="宋体"/>
                <w:szCs w:val="21"/>
              </w:rPr>
              <w:t>7.2采购人在中国使用该产品或产品的任何一部分时，免受第三方提出的侵犯其专利权、商标权或工业设计权等知识产权的起诉或司法干预。若因为知识产权纠纷造成的一切损害赔偿及损失由中标人承担，包括但不限于实际损失、预期损失和对方要求赔偿损失及支出的律师费、交通费和差旅费等。</w:t>
            </w:r>
          </w:p>
        </w:tc>
      </w:tr>
      <w:tr w14:paraId="2090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260" w:type="dxa"/>
            <w:vMerge w:val="continue"/>
            <w:noWrap w:val="0"/>
            <w:vAlign w:val="center"/>
          </w:tcPr>
          <w:p w14:paraId="11790298">
            <w:pPr>
              <w:spacing w:line="276" w:lineRule="auto"/>
              <w:jc w:val="center"/>
              <w:rPr>
                <w:rFonts w:ascii="宋体" w:hAnsi="宋体" w:cs="宋体"/>
                <w:bCs/>
                <w:szCs w:val="21"/>
              </w:rPr>
            </w:pPr>
          </w:p>
        </w:tc>
        <w:tc>
          <w:tcPr>
            <w:tcW w:w="1620" w:type="dxa"/>
            <w:vMerge w:val="continue"/>
            <w:noWrap w:val="0"/>
            <w:vAlign w:val="center"/>
          </w:tcPr>
          <w:p w14:paraId="59F86EC2">
            <w:pPr>
              <w:spacing w:line="276" w:lineRule="auto"/>
              <w:jc w:val="center"/>
              <w:rPr>
                <w:rFonts w:ascii="宋体" w:hAnsi="宋体" w:cs="宋体"/>
                <w:szCs w:val="21"/>
              </w:rPr>
            </w:pPr>
          </w:p>
        </w:tc>
        <w:tc>
          <w:tcPr>
            <w:tcW w:w="5940" w:type="dxa"/>
            <w:noWrap w:val="0"/>
            <w:vAlign w:val="center"/>
          </w:tcPr>
          <w:p w14:paraId="2CEAC925">
            <w:pPr>
              <w:spacing w:line="276" w:lineRule="auto"/>
              <w:rPr>
                <w:rFonts w:hint="eastAsia" w:ascii="宋体" w:hAnsi="宋体" w:cs="宋体"/>
                <w:szCs w:val="21"/>
              </w:rPr>
            </w:pPr>
            <w:r>
              <w:rPr>
                <w:rFonts w:hint="eastAsia" w:ascii="宋体" w:hAnsi="宋体" w:cs="宋体"/>
                <w:szCs w:val="21"/>
              </w:rPr>
              <w:t>7.3自中标通知书发布之日起到合同签署之日，期间双方往来的各类事项同样适用合同相关约定。</w:t>
            </w:r>
          </w:p>
        </w:tc>
      </w:tr>
      <w:tr w14:paraId="6AEB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noWrap w:val="0"/>
            <w:vAlign w:val="center"/>
          </w:tcPr>
          <w:p w14:paraId="4D32D05C">
            <w:pPr>
              <w:spacing w:line="276" w:lineRule="auto"/>
              <w:ind w:firstLine="420" w:firstLineChars="200"/>
              <w:rPr>
                <w:rFonts w:ascii="宋体" w:hAnsi="宋体" w:cs="宋体"/>
                <w:szCs w:val="21"/>
              </w:rPr>
            </w:pPr>
            <w:r>
              <w:rPr>
                <w:rFonts w:hint="eastAsia" w:ascii="宋体" w:hAnsi="宋体" w:cs="宋体"/>
                <w:bCs/>
                <w:szCs w:val="21"/>
              </w:rPr>
              <w:t>备注：中标人中标后为本项目提供售后服务的团队人员必须为中标方的正式员工，须向采购人提供缴纳社保证明或劳动合同。</w:t>
            </w:r>
          </w:p>
        </w:tc>
      </w:tr>
    </w:tbl>
    <w:p w14:paraId="4766D1D4">
      <w:pPr>
        <w:spacing w:line="360" w:lineRule="auto"/>
        <w:rPr>
          <w:rFonts w:ascii="宋体" w:hAnsi="宋体"/>
          <w:sz w:val="24"/>
        </w:rPr>
      </w:pPr>
    </w:p>
    <w:p w14:paraId="5A72F187">
      <w:pPr>
        <w:pStyle w:val="4"/>
        <w:adjustRightInd/>
        <w:spacing w:line="360" w:lineRule="auto"/>
        <w:jc w:val="both"/>
        <w:textAlignment w:val="auto"/>
        <w:rPr>
          <w:rFonts w:hint="eastAsia"/>
          <w:color w:val="000000"/>
          <w:sz w:val="28"/>
          <w:szCs w:val="28"/>
          <w:lang w:eastAsia="zh-CN"/>
        </w:rPr>
      </w:pPr>
      <w:r>
        <w:rPr>
          <w:color w:val="000000"/>
          <w:sz w:val="28"/>
          <w:szCs w:val="28"/>
        </w:rPr>
        <w:br w:type="page"/>
      </w:r>
      <w:r>
        <w:rPr>
          <w:rFonts w:hint="eastAsia"/>
          <w:color w:val="000000"/>
          <w:sz w:val="28"/>
          <w:szCs w:val="28"/>
        </w:rPr>
        <w:t>四、样品要求</w:t>
      </w:r>
    </w:p>
    <w:p w14:paraId="7D026C5C">
      <w:pPr>
        <w:pStyle w:val="5"/>
        <w:rPr>
          <w:rFonts w:ascii="宋体" w:hAnsi="宋体" w:cs="宋体"/>
          <w:b/>
          <w:bCs/>
          <w:color w:val="000000"/>
          <w:kern w:val="0"/>
          <w:szCs w:val="21"/>
          <w:lang w:val="en-US" w:eastAsia="zh-CN" w:bidi="ar"/>
        </w:rPr>
      </w:pPr>
      <w:r>
        <w:rPr>
          <w:rFonts w:hint="eastAsia" w:ascii="宋体" w:hAnsi="宋体" w:cs="宋体"/>
          <w:b/>
          <w:bCs/>
          <w:color w:val="000000"/>
          <w:kern w:val="0"/>
          <w:szCs w:val="21"/>
          <w:lang w:val="en-US" w:eastAsia="zh-CN" w:bidi="ar"/>
        </w:rPr>
        <w:t>（一）样品清单</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163"/>
        <w:gridCol w:w="2400"/>
        <w:gridCol w:w="1975"/>
      </w:tblGrid>
      <w:tr w14:paraId="6A41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22" w:type="dxa"/>
            <w:noWrap w:val="0"/>
            <w:vAlign w:val="center"/>
          </w:tcPr>
          <w:p w14:paraId="1B0DBF01">
            <w:pPr>
              <w:spacing w:after="78" w:line="360" w:lineRule="auto"/>
              <w:jc w:val="center"/>
              <w:textAlignment w:val="center"/>
              <w:rPr>
                <w:rFonts w:hint="eastAsia" w:ascii="宋体" w:hAnsi="宋体" w:cs="宋体"/>
                <w:b/>
                <w:kern w:val="0"/>
                <w:szCs w:val="21"/>
              </w:rPr>
            </w:pPr>
            <w:r>
              <w:rPr>
                <w:rFonts w:hint="eastAsia" w:ascii="宋体" w:hAnsi="宋体" w:cs="宋体"/>
                <w:b/>
                <w:kern w:val="0"/>
                <w:szCs w:val="21"/>
              </w:rPr>
              <w:t>序号</w:t>
            </w:r>
          </w:p>
        </w:tc>
        <w:tc>
          <w:tcPr>
            <w:tcW w:w="3163" w:type="dxa"/>
            <w:noWrap w:val="0"/>
            <w:vAlign w:val="center"/>
          </w:tcPr>
          <w:p w14:paraId="3E289FBF">
            <w:pPr>
              <w:spacing w:after="78" w:line="360" w:lineRule="auto"/>
              <w:jc w:val="center"/>
              <w:textAlignment w:val="center"/>
              <w:rPr>
                <w:rFonts w:hint="eastAsia" w:ascii="宋体" w:hAnsi="宋体" w:cs="宋体"/>
                <w:b/>
                <w:kern w:val="0"/>
                <w:szCs w:val="21"/>
              </w:rPr>
            </w:pPr>
            <w:r>
              <w:rPr>
                <w:rFonts w:hint="eastAsia" w:ascii="宋体" w:hAnsi="宋体" w:cs="宋体"/>
                <w:b/>
                <w:kern w:val="0"/>
                <w:szCs w:val="21"/>
              </w:rPr>
              <w:t>货物名称</w:t>
            </w:r>
          </w:p>
        </w:tc>
        <w:tc>
          <w:tcPr>
            <w:tcW w:w="2400" w:type="dxa"/>
            <w:noWrap w:val="0"/>
            <w:vAlign w:val="center"/>
          </w:tcPr>
          <w:p w14:paraId="4C9891AE">
            <w:pPr>
              <w:spacing w:after="78" w:line="360" w:lineRule="auto"/>
              <w:jc w:val="center"/>
              <w:textAlignment w:val="center"/>
              <w:rPr>
                <w:rFonts w:hint="eastAsia" w:ascii="宋体" w:hAnsi="宋体" w:cs="宋体"/>
                <w:b/>
                <w:kern w:val="0"/>
                <w:szCs w:val="21"/>
              </w:rPr>
            </w:pPr>
            <w:r>
              <w:rPr>
                <w:rFonts w:hint="eastAsia" w:ascii="宋体" w:hAnsi="宋体" w:cs="宋体"/>
                <w:b/>
                <w:kern w:val="0"/>
                <w:szCs w:val="21"/>
              </w:rPr>
              <w:t>规格</w:t>
            </w:r>
          </w:p>
        </w:tc>
        <w:tc>
          <w:tcPr>
            <w:tcW w:w="1975" w:type="dxa"/>
            <w:noWrap w:val="0"/>
            <w:vAlign w:val="center"/>
          </w:tcPr>
          <w:p w14:paraId="33A71749">
            <w:pPr>
              <w:spacing w:after="78" w:line="360" w:lineRule="auto"/>
              <w:jc w:val="center"/>
              <w:textAlignment w:val="center"/>
              <w:rPr>
                <w:rFonts w:hint="eastAsia" w:ascii="宋体" w:hAnsi="宋体" w:cs="宋体"/>
                <w:b/>
                <w:kern w:val="0"/>
                <w:szCs w:val="21"/>
              </w:rPr>
            </w:pPr>
            <w:r>
              <w:rPr>
                <w:rFonts w:hint="eastAsia" w:ascii="宋体" w:hAnsi="宋体" w:cs="宋体"/>
                <w:b/>
                <w:kern w:val="0"/>
                <w:szCs w:val="21"/>
              </w:rPr>
              <w:t>数量</w:t>
            </w:r>
          </w:p>
        </w:tc>
      </w:tr>
      <w:tr w14:paraId="2C04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22" w:type="dxa"/>
            <w:noWrap w:val="0"/>
            <w:vAlign w:val="center"/>
          </w:tcPr>
          <w:p w14:paraId="6A036D66">
            <w:pPr>
              <w:widowControl/>
              <w:spacing w:after="78"/>
              <w:jc w:val="center"/>
              <w:textAlignment w:val="center"/>
              <w:rPr>
                <w:rFonts w:hint="eastAsia" w:ascii="宋体" w:hAnsi="宋体" w:cs="宋体"/>
                <w:kern w:val="0"/>
                <w:szCs w:val="21"/>
              </w:rPr>
            </w:pPr>
            <w:r>
              <w:rPr>
                <w:rFonts w:hint="eastAsia" w:ascii="宋体" w:hAnsi="宋体" w:cs="宋体"/>
                <w:color w:val="000000"/>
                <w:kern w:val="0"/>
                <w:szCs w:val="21"/>
              </w:rPr>
              <w:t>1</w:t>
            </w:r>
          </w:p>
        </w:tc>
        <w:tc>
          <w:tcPr>
            <w:tcW w:w="3163" w:type="dxa"/>
            <w:noWrap w:val="0"/>
            <w:vAlign w:val="center"/>
          </w:tcPr>
          <w:p w14:paraId="1926C2D4">
            <w:pPr>
              <w:widowControl/>
              <w:spacing w:after="78"/>
              <w:jc w:val="center"/>
              <w:textAlignment w:val="center"/>
              <w:rPr>
                <w:rFonts w:hint="eastAsia" w:ascii="宋体" w:hAnsi="宋体" w:cs="宋体"/>
                <w:kern w:val="0"/>
                <w:szCs w:val="21"/>
              </w:rPr>
            </w:pPr>
            <w:r>
              <w:rPr>
                <w:rFonts w:hint="eastAsia" w:ascii="宋体" w:hAnsi="宋体" w:cs="宋体"/>
                <w:kern w:val="0"/>
                <w:szCs w:val="21"/>
              </w:rPr>
              <w:t>橡胶木实木</w:t>
            </w:r>
          </w:p>
        </w:tc>
        <w:tc>
          <w:tcPr>
            <w:tcW w:w="2400" w:type="dxa"/>
            <w:noWrap w:val="0"/>
            <w:vAlign w:val="center"/>
          </w:tcPr>
          <w:p w14:paraId="600A5138">
            <w:pPr>
              <w:spacing w:after="78" w:line="360" w:lineRule="auto"/>
              <w:jc w:val="center"/>
              <w:textAlignment w:val="center"/>
              <w:rPr>
                <w:rFonts w:hint="eastAsia" w:ascii="宋体" w:hAnsi="宋体" w:cs="宋体"/>
                <w:bCs/>
                <w:kern w:val="0"/>
                <w:szCs w:val="21"/>
              </w:rPr>
            </w:pPr>
            <w:r>
              <w:rPr>
                <w:rFonts w:hint="eastAsia" w:ascii="宋体" w:hAnsi="宋体" w:cs="宋体"/>
                <w:bCs/>
                <w:kern w:val="0"/>
                <w:szCs w:val="21"/>
              </w:rPr>
              <w:t>200mm×200mm×20mm</w:t>
            </w:r>
          </w:p>
        </w:tc>
        <w:tc>
          <w:tcPr>
            <w:tcW w:w="1975" w:type="dxa"/>
            <w:noWrap w:val="0"/>
            <w:vAlign w:val="center"/>
          </w:tcPr>
          <w:p w14:paraId="67F66177">
            <w:pPr>
              <w:spacing w:after="78" w:line="360" w:lineRule="auto"/>
              <w:jc w:val="center"/>
              <w:textAlignment w:val="center"/>
              <w:rPr>
                <w:rFonts w:hint="eastAsia" w:ascii="宋体" w:hAnsi="宋体" w:cs="宋体"/>
                <w:bCs/>
                <w:kern w:val="0"/>
                <w:szCs w:val="21"/>
              </w:rPr>
            </w:pPr>
            <w:r>
              <w:rPr>
                <w:rFonts w:hint="eastAsia" w:ascii="宋体" w:hAnsi="宋体" w:cs="宋体"/>
                <w:bCs/>
                <w:kern w:val="0"/>
                <w:szCs w:val="21"/>
              </w:rPr>
              <w:t>2块（</w:t>
            </w:r>
            <w:r>
              <w:rPr>
                <w:rFonts w:hint="eastAsia" w:ascii="宋体" w:hAnsi="宋体" w:cs="宋体"/>
                <w:szCs w:val="21"/>
                <w:u w:val="single"/>
              </w:rPr>
              <w:t>1块带油漆饰面，1块未带油漆</w:t>
            </w:r>
            <w:r>
              <w:rPr>
                <w:rFonts w:hint="eastAsia" w:ascii="宋体" w:hAnsi="宋体" w:cs="宋体"/>
                <w:bCs/>
                <w:kern w:val="0"/>
                <w:szCs w:val="21"/>
              </w:rPr>
              <w:t>）</w:t>
            </w:r>
          </w:p>
        </w:tc>
      </w:tr>
      <w:tr w14:paraId="242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22" w:type="dxa"/>
            <w:noWrap w:val="0"/>
            <w:vAlign w:val="center"/>
          </w:tcPr>
          <w:p w14:paraId="19568844">
            <w:pPr>
              <w:widowControl/>
              <w:spacing w:after="78"/>
              <w:jc w:val="center"/>
              <w:textAlignment w:val="center"/>
              <w:rPr>
                <w:rFonts w:hint="eastAsia" w:ascii="宋体" w:hAnsi="宋体" w:cs="宋体"/>
                <w:kern w:val="0"/>
                <w:szCs w:val="21"/>
              </w:rPr>
            </w:pPr>
            <w:r>
              <w:rPr>
                <w:rFonts w:hint="eastAsia" w:ascii="宋体" w:hAnsi="宋体" w:cs="宋体"/>
                <w:color w:val="000000"/>
                <w:kern w:val="0"/>
                <w:szCs w:val="21"/>
              </w:rPr>
              <w:t>2</w:t>
            </w:r>
          </w:p>
        </w:tc>
        <w:tc>
          <w:tcPr>
            <w:tcW w:w="3163" w:type="dxa"/>
            <w:noWrap w:val="0"/>
            <w:vAlign w:val="center"/>
          </w:tcPr>
          <w:p w14:paraId="67758454">
            <w:pPr>
              <w:widowControl/>
              <w:spacing w:after="78"/>
              <w:jc w:val="center"/>
              <w:textAlignment w:val="center"/>
              <w:rPr>
                <w:rFonts w:hint="eastAsia" w:ascii="宋体" w:hAnsi="宋体" w:cs="宋体"/>
                <w:color w:val="000000"/>
                <w:kern w:val="0"/>
                <w:szCs w:val="21"/>
              </w:rPr>
            </w:pPr>
            <w:r>
              <w:rPr>
                <w:rFonts w:hint="eastAsia" w:ascii="宋体" w:hAnsi="宋体" w:cs="宋体"/>
                <w:color w:val="000000"/>
                <w:kern w:val="0"/>
                <w:szCs w:val="21"/>
              </w:rPr>
              <w:t>床垫小样</w:t>
            </w:r>
          </w:p>
        </w:tc>
        <w:tc>
          <w:tcPr>
            <w:tcW w:w="2400" w:type="dxa"/>
            <w:noWrap w:val="0"/>
            <w:vAlign w:val="center"/>
          </w:tcPr>
          <w:p w14:paraId="7B47AC43">
            <w:pPr>
              <w:spacing w:after="78" w:line="360" w:lineRule="auto"/>
              <w:jc w:val="center"/>
              <w:textAlignment w:val="center"/>
              <w:rPr>
                <w:rFonts w:hint="eastAsia" w:ascii="宋体" w:hAnsi="宋体" w:cs="宋体"/>
                <w:bCs/>
                <w:kern w:val="0"/>
                <w:szCs w:val="21"/>
              </w:rPr>
            </w:pPr>
            <w:r>
              <w:rPr>
                <w:rFonts w:hint="eastAsia" w:ascii="宋体" w:hAnsi="宋体" w:cs="宋体"/>
                <w:bCs/>
                <w:kern w:val="0"/>
                <w:szCs w:val="21"/>
              </w:rPr>
              <w:t>500mm×500mm×220mm</w:t>
            </w:r>
          </w:p>
        </w:tc>
        <w:tc>
          <w:tcPr>
            <w:tcW w:w="1975" w:type="dxa"/>
            <w:noWrap w:val="0"/>
            <w:vAlign w:val="center"/>
          </w:tcPr>
          <w:p w14:paraId="69B08FAC">
            <w:pPr>
              <w:spacing w:after="78" w:line="360" w:lineRule="auto"/>
              <w:jc w:val="center"/>
              <w:textAlignment w:val="center"/>
              <w:rPr>
                <w:rFonts w:hint="eastAsia" w:ascii="宋体" w:hAnsi="宋体" w:cs="宋体"/>
                <w:bCs/>
                <w:kern w:val="0"/>
                <w:szCs w:val="21"/>
              </w:rPr>
            </w:pPr>
            <w:r>
              <w:rPr>
                <w:rFonts w:hint="eastAsia" w:ascii="宋体" w:hAnsi="宋体" w:cs="宋体"/>
                <w:bCs/>
                <w:kern w:val="0"/>
                <w:szCs w:val="21"/>
              </w:rPr>
              <w:t>1块</w:t>
            </w:r>
          </w:p>
        </w:tc>
      </w:tr>
    </w:tbl>
    <w:p w14:paraId="48B21163">
      <w:pPr>
        <w:pStyle w:val="5"/>
        <w:rPr>
          <w:rFonts w:hint="eastAsia" w:ascii="宋体" w:hAnsi="宋体" w:cs="宋体"/>
          <w:b/>
          <w:bCs/>
          <w:color w:val="000000"/>
          <w:kern w:val="0"/>
          <w:szCs w:val="21"/>
          <w:lang w:val="en-US" w:eastAsia="zh-CN" w:bidi="ar"/>
        </w:rPr>
      </w:pPr>
    </w:p>
    <w:p w14:paraId="2DDDD9CF">
      <w:pPr>
        <w:pStyle w:val="5"/>
        <w:rPr>
          <w:rFonts w:hint="eastAsia" w:ascii="宋体" w:hAnsi="宋体" w:cs="宋体"/>
          <w:b/>
          <w:bCs/>
          <w:color w:val="000000"/>
          <w:kern w:val="0"/>
          <w:szCs w:val="21"/>
          <w:lang w:val="en-US" w:eastAsia="zh-CN" w:bidi="ar"/>
        </w:rPr>
      </w:pPr>
      <w:r>
        <w:rPr>
          <w:rFonts w:hint="eastAsia" w:ascii="宋体" w:hAnsi="宋体" w:cs="宋体"/>
          <w:b/>
          <w:bCs/>
          <w:color w:val="000000"/>
          <w:kern w:val="0"/>
          <w:szCs w:val="21"/>
          <w:lang w:val="en-US" w:eastAsia="zh-CN" w:bidi="ar"/>
        </w:rPr>
        <w:t>（二）样品递交及接收说明</w:t>
      </w:r>
    </w:p>
    <w:p w14:paraId="35E2B23B">
      <w:pPr>
        <w:spacing w:line="360" w:lineRule="auto"/>
        <w:ind w:firstLine="420" w:firstLineChars="200"/>
        <w:rPr>
          <w:rFonts w:hint="eastAsia" w:ascii="宋体" w:hAnsi="宋体" w:cs="宋体"/>
          <w:bCs/>
          <w:szCs w:val="21"/>
        </w:rPr>
      </w:pPr>
      <w:r>
        <w:rPr>
          <w:rFonts w:hint="eastAsia" w:ascii="宋体" w:hAnsi="宋体" w:cs="宋体"/>
          <w:bCs/>
          <w:szCs w:val="21"/>
        </w:rPr>
        <w:t>（1）投标样品上必须标注“项目名称及项目编号、样品编号、样品名称、投标人名称”等信息。</w:t>
      </w:r>
    </w:p>
    <w:p w14:paraId="789FF0E1">
      <w:pPr>
        <w:spacing w:line="360" w:lineRule="auto"/>
        <w:ind w:firstLine="420" w:firstLineChars="200"/>
        <w:rPr>
          <w:rFonts w:hint="eastAsia" w:ascii="宋体" w:hAnsi="宋体" w:cs="宋体"/>
          <w:bCs/>
          <w:szCs w:val="21"/>
        </w:rPr>
      </w:pPr>
      <w:r>
        <w:rPr>
          <w:rFonts w:hint="eastAsia" w:ascii="宋体" w:hAnsi="宋体" w:cs="宋体"/>
          <w:bCs/>
          <w:szCs w:val="21"/>
        </w:rPr>
        <w:t>（2）样品递交：</w:t>
      </w:r>
    </w:p>
    <w:p w14:paraId="7AD63F6E">
      <w:pPr>
        <w:spacing w:line="360" w:lineRule="auto"/>
        <w:ind w:firstLine="422" w:firstLineChars="200"/>
        <w:rPr>
          <w:rFonts w:hint="eastAsia" w:ascii="宋体" w:hAnsi="宋体"/>
          <w:b/>
          <w:color w:val="FF0000"/>
        </w:rPr>
      </w:pPr>
      <w:r>
        <w:rPr>
          <w:rFonts w:hint="eastAsia" w:ascii="宋体" w:hAnsi="宋体" w:cs="宋体"/>
          <w:b/>
          <w:bCs/>
          <w:color w:val="FF0000"/>
          <w:szCs w:val="21"/>
        </w:rPr>
        <w:t>样品递交时间：</w:t>
      </w:r>
      <w:r>
        <w:rPr>
          <w:rFonts w:hint="eastAsia" w:ascii="宋体" w:hAnsi="宋体" w:cs="宋体"/>
          <w:b/>
          <w:color w:val="FF0000"/>
          <w:szCs w:val="21"/>
        </w:rPr>
        <w:t>与招标公告要求的</w:t>
      </w:r>
      <w:r>
        <w:rPr>
          <w:rFonts w:hint="eastAsia" w:ascii="宋体" w:hAnsi="宋体"/>
          <w:b/>
          <w:color w:val="FF0000"/>
        </w:rPr>
        <w:t>投标文件递交时间一致，迟到的样品将拒绝接收；</w:t>
      </w:r>
    </w:p>
    <w:p w14:paraId="22E47239">
      <w:pPr>
        <w:spacing w:line="360" w:lineRule="auto"/>
        <w:ind w:firstLine="422" w:firstLineChars="200"/>
        <w:rPr>
          <w:rFonts w:hint="eastAsia" w:ascii="宋体" w:hAnsi="宋体"/>
          <w:b/>
          <w:color w:val="FF0000"/>
        </w:rPr>
      </w:pPr>
      <w:r>
        <w:rPr>
          <w:rFonts w:hint="eastAsia" w:ascii="宋体" w:hAnsi="宋体" w:cs="宋体"/>
          <w:b/>
          <w:bCs/>
          <w:color w:val="FF0000"/>
          <w:szCs w:val="21"/>
        </w:rPr>
        <w:t>样品递交地点：</w:t>
      </w:r>
      <w:r>
        <w:rPr>
          <w:rFonts w:hint="eastAsia" w:ascii="宋体" w:hAnsi="宋体" w:cs="宋体"/>
          <w:b/>
          <w:color w:val="FF0000"/>
          <w:szCs w:val="21"/>
        </w:rPr>
        <w:t>与招标公告要求的</w:t>
      </w:r>
      <w:r>
        <w:rPr>
          <w:rFonts w:hint="eastAsia" w:ascii="宋体" w:hAnsi="宋体"/>
          <w:b/>
          <w:color w:val="FF0000"/>
        </w:rPr>
        <w:t>递交投标文件地点一致；</w:t>
      </w:r>
    </w:p>
    <w:p w14:paraId="040D5614">
      <w:pPr>
        <w:spacing w:line="360" w:lineRule="auto"/>
        <w:ind w:firstLine="420" w:firstLineChars="200"/>
        <w:rPr>
          <w:rFonts w:hint="eastAsia" w:ascii="宋体" w:hAnsi="宋体" w:cs="宋体"/>
          <w:bCs/>
          <w:szCs w:val="21"/>
        </w:rPr>
      </w:pPr>
      <w:r>
        <w:rPr>
          <w:rFonts w:hint="eastAsia" w:ascii="宋体" w:hAnsi="宋体"/>
        </w:rPr>
        <w:t>其他要求：</w:t>
      </w:r>
      <w:r>
        <w:rPr>
          <w:rFonts w:hint="eastAsia" w:ascii="宋体" w:hAnsi="宋体" w:cs="宋体"/>
          <w:bCs/>
          <w:szCs w:val="21"/>
        </w:rPr>
        <w:t>提供法定代表人证明书（加盖公章）、法定代表人授权委托书（加盖公章）、授权委托人身份证原件和复印件（加盖公章）、样品清单（加盖公章），到招标机构指定地点（与开标地点一致），按招标机构工作人员指引进行样品递交签到。</w:t>
      </w:r>
    </w:p>
    <w:p w14:paraId="79A634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933AB"/>
    <w:rsid w:val="2659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adjustRightInd w:val="0"/>
      <w:spacing w:line="240" w:lineRule="auto"/>
      <w:jc w:val="center"/>
      <w:textAlignment w:val="baseline"/>
      <w:outlineLvl w:val="1"/>
    </w:pPr>
    <w:rPr>
      <w:rFonts w:ascii="宋体" w:hAnsi="宋体"/>
      <w:b/>
      <w:bCs/>
      <w:kern w:val="0"/>
      <w:sz w:val="24"/>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szCs w:val="20"/>
    </w:rPr>
  </w:style>
  <w:style w:type="paragraph" w:styleId="5">
    <w:name w:val="Body Text"/>
    <w:basedOn w:val="1"/>
    <w:next w:val="6"/>
    <w:qFormat/>
    <w:uiPriority w:val="0"/>
    <w:pPr>
      <w:spacing w:after="120" w:afterLines="0"/>
    </w:pPr>
  </w:style>
  <w:style w:type="paragraph" w:styleId="6">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9">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2025-06-18T08:38:00Z</dcterms:created>
  <dc:creator>过眼～云烟～</dc:creator>
  <cp:lastModifiedBy>过眼～云烟～</cp:lastModifiedBy>
  <dcterms:modified xsi:type="dcterms:W3CDTF">2025-06-18T08:39:07Z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E4010EF82638403B99B083B77418826D_11</vt:lpwstr>
  </property>
  <property fmtid="{D5CDD505-2E9C-101B-9397-08002B2CF9AE}" pid="4" name="KSOTemplateDocerSaveRecord">
    <vt:lpwstr>eyJoZGlkIjoiYjU3ZDE5YWNkMGVkMDJjZTBmOTQ1OGE4M2ZhZjBiNTEiLCJ1c2VySWQiOiIzMjMwNDEyNDYifQ==</vt:lpwstr>
  </property>
</Properties>
</file>