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E15D1">
      <w:pPr>
        <w:pStyle w:val="6"/>
        <w:spacing w:before="120" w:after="120"/>
        <w:rPr>
          <w:rStyle w:val="7"/>
          <w:b w:val="0"/>
          <w:bCs w:val="0"/>
        </w:rPr>
      </w:pPr>
      <w:r>
        <w:rPr>
          <w:rStyle w:val="7"/>
          <w:rFonts w:hint="eastAsia"/>
          <w:b w:val="0"/>
          <w:bCs w:val="0"/>
        </w:rPr>
        <w:t>服务需求书</w:t>
      </w:r>
    </w:p>
    <w:p w14:paraId="1ED7ADD2">
      <w:pPr>
        <w:spacing w:after="60" w:line="360" w:lineRule="auto"/>
        <w:ind w:right="-63" w:rightChars="-30" w:firstLine="426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1. 带“★”项为不可负偏离项，有一项负偏离即导致投标无效。是否响应第六章服务需求书，以《服务条款偏离表》“投标文件响应”栏填写为准。</w:t>
      </w:r>
    </w:p>
    <w:p w14:paraId="53342249">
      <w:pPr>
        <w:spacing w:after="60" w:line="360" w:lineRule="auto"/>
        <w:ind w:right="-63" w:rightChars="-30" w:firstLine="426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2.如投标人中标后被发现不能满足本章带★号条款要求的，采购单位有权拒绝签订合同，一切后果由投标人承担。</w:t>
      </w:r>
    </w:p>
    <w:p w14:paraId="121431EC">
      <w:pPr>
        <w:pStyle w:val="2"/>
      </w:pPr>
    </w:p>
    <w:p w14:paraId="2BCBF7B0">
      <w:pPr>
        <w:spacing w:after="60"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</w:t>
      </w:r>
      <w:r>
        <w:rPr>
          <w:rFonts w:hint="eastAsia" w:asciiTheme="minorEastAsia" w:hAnsiTheme="minorEastAsia" w:eastAsiaTheme="minorEastAsia"/>
          <w:b/>
          <w:bCs/>
          <w:szCs w:val="21"/>
        </w:rPr>
        <w:t>采购项目概况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 w14:paraId="4AE9E351">
      <w:pPr>
        <w:numPr>
          <w:ilvl w:val="0"/>
          <w:numId w:val="1"/>
        </w:numPr>
        <w:spacing w:afterLines="0"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项目名称；</w:t>
      </w:r>
      <w:r>
        <w:rPr>
          <w:rFonts w:asciiTheme="minorEastAsia" w:hAnsiTheme="minorEastAsia" w:eastAsiaTheme="minorEastAsia"/>
          <w:szCs w:val="21"/>
        </w:rPr>
        <w:t>2025年海峡两岸青少年羽毛球交流赛暨宝安区青少年羽毛球精英赛</w:t>
      </w:r>
    </w:p>
    <w:p w14:paraId="09C2861A">
      <w:pPr>
        <w:numPr>
          <w:ilvl w:val="0"/>
          <w:numId w:val="1"/>
        </w:numPr>
        <w:spacing w:afterLines="0"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项目预算金额或预算金额之下的最高限额；</w:t>
      </w:r>
      <w:r>
        <w:rPr>
          <w:rFonts w:hint="eastAsia" w:cs="宋体" w:asciiTheme="minorEastAsia" w:hAnsiTheme="minorEastAsia"/>
          <w:kern w:val="0"/>
          <w:szCs w:val="21"/>
        </w:rPr>
        <w:t>500,</w:t>
      </w:r>
      <w:r>
        <w:rPr>
          <w:rFonts w:cs="宋体" w:asciiTheme="minorEastAsia" w:hAnsiTheme="minorEastAsia"/>
          <w:kern w:val="0"/>
          <w:szCs w:val="21"/>
        </w:rPr>
        <w:t>000</w:t>
      </w:r>
      <w:r>
        <w:rPr>
          <w:rFonts w:hint="eastAsia" w:cs="宋体" w:asciiTheme="minorEastAsia" w:hAnsiTheme="minorEastAsia"/>
          <w:kern w:val="0"/>
          <w:szCs w:val="21"/>
        </w:rPr>
        <w:t>.00元</w:t>
      </w:r>
    </w:p>
    <w:p w14:paraId="069F4799">
      <w:pPr>
        <w:spacing w:after="60"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（二）项目管理和服务要求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 w14:paraId="278A7C3E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 w:cs="CESI仿宋-GB2312"/>
          <w:bCs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项目简介（项目背景/服务范围）；</w:t>
      </w:r>
      <w:r>
        <w:rPr>
          <w:rFonts w:hint="eastAsia" w:ascii="宋体" w:hAnsi="宋体" w:cs="CESI仿宋-GB2312"/>
          <w:bCs/>
          <w:szCs w:val="21"/>
        </w:rPr>
        <w:t>为加强两岸青少年间的交流互动，拟在深圳市举办海峡两岸青少年羽毛球交流赛。</w:t>
      </w:r>
    </w:p>
    <w:p w14:paraId="06CD3131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服务期限；</w:t>
      </w:r>
      <w:r>
        <w:rPr>
          <w:rFonts w:hint="eastAsia" w:ascii="宋体" w:hAnsi="宋体" w:cs="CESI仿宋-GB2312"/>
          <w:bCs/>
          <w:szCs w:val="21"/>
        </w:rPr>
        <w:t>自合同签订之日起至赛事结束，并完成材料归整至招标方验收合格。</w:t>
      </w:r>
    </w:p>
    <w:p w14:paraId="08E4D00A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服务内容、技术标准、工作质量要求；</w:t>
      </w:r>
    </w:p>
    <w:p w14:paraId="4D0DBBB1">
      <w:pPr>
        <w:spacing w:after="60" w:line="360" w:lineRule="auto"/>
        <w:ind w:firstLine="426" w:firstLineChars="202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/>
          <w:szCs w:val="21"/>
        </w:rPr>
        <w:t>（一）竞赛时间地点</w:t>
      </w:r>
    </w:p>
    <w:p w14:paraId="22E647A6">
      <w:pPr>
        <w:spacing w:after="60" w:line="360" w:lineRule="auto"/>
        <w:ind w:firstLine="424" w:firstLineChars="202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1．时间：暂定</w:t>
      </w:r>
      <w:r>
        <w:rPr>
          <w:rFonts w:ascii="宋体" w:hAnsi="宋体" w:cs="CESI仿宋-GB2312"/>
          <w:bCs/>
          <w:szCs w:val="21"/>
        </w:rPr>
        <w:t>2025年</w:t>
      </w:r>
      <w:r>
        <w:rPr>
          <w:rFonts w:hint="eastAsia" w:ascii="宋体" w:hAnsi="宋体" w:cs="CESI仿宋-GB2312"/>
          <w:bCs/>
          <w:szCs w:val="21"/>
        </w:rPr>
        <w:t xml:space="preserve">  </w:t>
      </w:r>
      <w:r>
        <w:rPr>
          <w:rFonts w:ascii="宋体" w:hAnsi="宋体" w:cs="CESI仿宋-GB2312"/>
          <w:bCs/>
          <w:szCs w:val="21"/>
        </w:rPr>
        <w:t>月</w:t>
      </w:r>
      <w:r>
        <w:rPr>
          <w:rFonts w:hint="eastAsia" w:ascii="宋体" w:hAnsi="宋体" w:cs="CESI仿宋-GB2312"/>
          <w:bCs/>
          <w:szCs w:val="21"/>
        </w:rPr>
        <w:t>，具体以采购方通知为准。</w:t>
      </w:r>
    </w:p>
    <w:p w14:paraId="775776AE">
      <w:pPr>
        <w:spacing w:after="60" w:line="360" w:lineRule="auto"/>
        <w:ind w:firstLine="424" w:firstLineChars="202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2．地点： 宝安区举办。</w:t>
      </w:r>
    </w:p>
    <w:p w14:paraId="7170E712">
      <w:pPr>
        <w:spacing w:after="60" w:line="360" w:lineRule="auto"/>
        <w:ind w:firstLine="426" w:firstLineChars="202"/>
        <w:rPr>
          <w:rFonts w:hint="eastAsia" w:ascii="宋体" w:hAnsi="宋体" w:cs="CESI仿宋-GB2312"/>
          <w:b/>
          <w:szCs w:val="21"/>
        </w:rPr>
      </w:pPr>
      <w:r>
        <w:rPr>
          <w:rFonts w:hint="eastAsia" w:ascii="宋体" w:hAnsi="宋体" w:cs="CESI仿宋-GB2312"/>
          <w:b/>
          <w:szCs w:val="21"/>
        </w:rPr>
        <w:t>（二）竞赛项目和参赛规模</w:t>
      </w:r>
    </w:p>
    <w:p w14:paraId="135D931B">
      <w:pPr>
        <w:spacing w:after="60" w:line="360" w:lineRule="auto"/>
        <w:ind w:firstLine="420" w:firstLineChars="200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1、竞赛项目：海峡两岸青少年羽毛球交流赛。</w:t>
      </w:r>
    </w:p>
    <w:p w14:paraId="07E12623">
      <w:pPr>
        <w:spacing w:after="60" w:line="360" w:lineRule="auto"/>
        <w:ind w:firstLine="420" w:firstLineChars="200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2、参赛队伍：全国适龄青少年羽毛球运动员及特邀中国台湾适龄青少年运动员；</w:t>
      </w:r>
    </w:p>
    <w:p w14:paraId="6380D073">
      <w:pPr>
        <w:spacing w:after="60" w:line="360" w:lineRule="auto"/>
        <w:ind w:firstLine="424" w:firstLineChars="202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3.参赛规模：设置U8、U10、U12、U14、U16五个年龄组别，具体规模以实际报名情况为准。</w:t>
      </w:r>
    </w:p>
    <w:p w14:paraId="5FC9AD68">
      <w:pPr>
        <w:spacing w:after="60" w:line="360" w:lineRule="auto"/>
        <w:ind w:firstLine="426" w:firstLineChars="202"/>
        <w:rPr>
          <w:rFonts w:hint="eastAsia" w:ascii="宋体" w:hAnsi="宋体" w:cs="CESI仿宋-GB2312"/>
          <w:b/>
          <w:szCs w:val="21"/>
        </w:rPr>
      </w:pPr>
      <w:r>
        <w:rPr>
          <w:rFonts w:hint="eastAsia" w:ascii="宋体" w:hAnsi="宋体" w:cs="CESI仿宋-GB2312"/>
          <w:b/>
          <w:szCs w:val="21"/>
        </w:rPr>
        <w:t>（三）项目要求</w:t>
      </w:r>
    </w:p>
    <w:p w14:paraId="570E629F">
      <w:pPr>
        <w:spacing w:after="60"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承办单位负责活动整体方案策划、日程设计、赛事组织、国内外嘉宾及项目代表邀请、项目对接洽谈组织、赛事宣传、线上及线下赛场保障、当地接待工作、赛事总结等工作。主要包括以下内容：</w:t>
      </w:r>
    </w:p>
    <w:p w14:paraId="5DEA408E">
      <w:pPr>
        <w:spacing w:after="60"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 按照采购人要求，制定活动整体的组织策划方案，编制各环节的日程及详细的实施方案；</w:t>
      </w:r>
    </w:p>
    <w:p w14:paraId="7EBB7CC5">
      <w:pPr>
        <w:spacing w:after="60"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 结合“</w:t>
      </w:r>
      <w:r>
        <w:rPr>
          <w:rFonts w:hint="eastAsia" w:ascii="宋体" w:hAnsi="宋体" w:cs="宋体"/>
          <w:szCs w:val="21"/>
        </w:rPr>
        <w:t>羽毛球赛</w:t>
      </w:r>
      <w:r>
        <w:rPr>
          <w:rFonts w:hint="eastAsia" w:ascii="宋体" w:hAnsi="宋体"/>
        </w:rPr>
        <w:t>”的赛制体系，邀请国际知名羽毛球奥运冠军嘉宾不少于1位出席赛事；邀请国内组织机构领导和代表嘉宾等不少于5位。协调与会嘉宾的参会安排和行程、沟通赛制和评审规则等；</w:t>
      </w:r>
    </w:p>
    <w:p w14:paraId="79AE9510">
      <w:pPr>
        <w:spacing w:after="60"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 根据采购人实际要求对大会进行宣传报道、提供新闻通稿；</w:t>
      </w:r>
    </w:p>
    <w:p w14:paraId="39997EA0">
      <w:pPr>
        <w:spacing w:after="60"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 根据活动整体的策划方案和日程安排，提供安全、有序、高效的保障工作，包括规划和协调举办活动的场地，落实线上交互平台的使用和相关技术支持，落实线下会场的背景设计和搭建、视听设备租赁、会议翻译的安排、会议资料翻译和印刷、摄影摄像安排等保障工作，出具各项保障工作的实施方案并制定合理的时间节点；</w:t>
      </w:r>
    </w:p>
    <w:p w14:paraId="509B84AF">
      <w:pPr>
        <w:spacing w:after="60"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 统筹、协调线下参与嘉宾的接待工作，负责赛期接送嘉宾的用车安排保障工作、赛期用餐安排、赛期住宿安排，并为各项工作制定合理的时间节点；</w:t>
      </w:r>
    </w:p>
    <w:p w14:paraId="793E0F21">
      <w:pPr>
        <w:pStyle w:val="2"/>
        <w:ind w:firstLine="424" w:firstLineChars="202"/>
        <w:rPr>
          <w:rFonts w:hint="eastAsia" w:ascii="宋体" w:hAnsi="宋体" w:cs="CESI仿宋-GB2312"/>
          <w:szCs w:val="21"/>
        </w:rPr>
      </w:pPr>
      <w:r>
        <w:rPr>
          <w:rFonts w:hint="eastAsia" w:ascii="宋体" w:hAnsi="宋体"/>
        </w:rPr>
        <w:t>6. 按照采购人单位要求，编写至少包含详细行程、活动实施情况、活动成果等相关内容的会后报告，整理活动实施过程中的照片、视频等电子文档，交给采购人存档。</w:t>
      </w:r>
    </w:p>
    <w:p w14:paraId="5CD751DC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人员要求（岗位要求、数量）；</w:t>
      </w:r>
      <w:r>
        <w:rPr>
          <w:rFonts w:hint="eastAsia" w:ascii="宋体" w:hAnsi="宋体"/>
        </w:rPr>
        <w:t>项目服务团队成员不少于10人，其中，至少5人具备体育类本科或以上学历；至少5人具备羽毛球国家一级裁判员证书</w:t>
      </w:r>
      <w:r>
        <w:rPr>
          <w:rFonts w:ascii="宋体" w:hAnsi="宋体"/>
        </w:rPr>
        <w:t>；</w:t>
      </w:r>
      <w:r>
        <w:rPr>
          <w:rFonts w:hint="eastAsia" w:ascii="宋体" w:hAnsi="宋体" w:cs="宋体"/>
          <w:szCs w:val="21"/>
        </w:rPr>
        <w:t>应安排具有经验丰富的专业人员从事服务项目。</w:t>
      </w:r>
    </w:p>
    <w:p w14:paraId="4B6C3BEA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t>设备要求（设备名称、数量）；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 w:cs="CESI仿宋-GB2312"/>
          <w:color w:val="000000"/>
          <w:szCs w:val="21"/>
        </w:rPr>
        <w:t>由中标供应商自备赛事所需设备。</w:t>
      </w:r>
    </w:p>
    <w:p w14:paraId="1243556E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CESI仿宋-GB2312"/>
          <w:b/>
          <w:kern w:val="0"/>
          <w:szCs w:val="21"/>
        </w:rPr>
        <w:t>违约责任</w:t>
      </w:r>
      <w:r>
        <w:rPr>
          <w:rFonts w:hint="eastAsia" w:ascii="宋体" w:hAnsi="宋体"/>
          <w:b/>
          <w:szCs w:val="21"/>
        </w:rPr>
        <w:t>；</w:t>
      </w:r>
      <w:r>
        <w:rPr>
          <w:rFonts w:hint="eastAsia" w:ascii="宋体" w:hAnsi="宋体"/>
          <w:bCs/>
          <w:szCs w:val="21"/>
        </w:rPr>
        <w:t xml:space="preserve"> </w:t>
      </w:r>
    </w:p>
    <w:p w14:paraId="3C311322">
      <w:pPr>
        <w:pStyle w:val="8"/>
        <w:numPr>
          <w:ilvl w:val="0"/>
          <w:numId w:val="3"/>
        </w:numPr>
        <w:snapToGrid w:val="0"/>
        <w:spacing w:after="60" w:line="360" w:lineRule="auto"/>
        <w:ind w:left="0" w:firstLine="420" w:firstLineChars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成交供应商若未履行或未完全履行本合同约定，采购人有权要求成交供应商继续履行、采取补救措施并赔偿损失。</w:t>
      </w:r>
    </w:p>
    <w:p w14:paraId="41B7E5B4">
      <w:pPr>
        <w:pStyle w:val="8"/>
        <w:numPr>
          <w:ilvl w:val="0"/>
          <w:numId w:val="3"/>
        </w:numPr>
        <w:snapToGrid w:val="0"/>
        <w:spacing w:after="60" w:line="360" w:lineRule="auto"/>
        <w:ind w:left="0" w:firstLine="420" w:firstLineChars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若成交供应商不按照本合同约定履行义务，采购人有权解除合同，要求成交供应商退还委托费用并赔偿由此给采购人造成的损失。</w:t>
      </w:r>
    </w:p>
    <w:p w14:paraId="46F408E0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szCs w:val="21"/>
        </w:rPr>
        <w:t>报价要求；</w:t>
      </w:r>
      <w:r>
        <w:rPr>
          <w:rFonts w:hint="eastAsia" w:ascii="宋体" w:hAnsi="宋体"/>
        </w:rPr>
        <w:t>本项目投标报总价，投标总价以人民币报价。本项目服务费用采用包干制，包括但不限于运输、搬运、安装、拆卸、吊装、调试、人工、队伍邀请、运动员管理饮水、裁判组织管理及食宿、辅助裁判组织管理及餐饮、设计印刷、节目表演、安全保障、交通保障、医疗本项目投标报总价，投标总价以人民币报价。本项目服务费用采用包干制，包括但不限于运输、搬运、安装、拆卸、吊装、调试、人工、队伍邀请、运动员管理饮水、裁判组织管理及食宿、辅助裁判组织管理及餐饮、设计印刷、节目表演、安全保障、交通保障、医疗保障、电力保障、义工物资、移动公厕、赛事宣传、赛事直播、后勤保障(人员接待、工作人员餐饮、接待物资)、赛事组织策划执行、奖金、奖金税（奖金所得税由中标供应商代缴）、奖杯、主持、解说员、礼仪、场地搭建、公众责任险、水上作业人员人身意外险、法定税费、赛事直播（包括但不限于货物、运输、拆卸、吊装、调试及其他一切税费）和合理利润等一切费用。如未使用的服务项目或物资，支付合同款时将应扣除。</w:t>
      </w:r>
    </w:p>
    <w:p w14:paraId="1B055517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付款方式；</w:t>
      </w:r>
      <w:r>
        <w:rPr>
          <w:rFonts w:ascii="宋体" w:hAnsi="宋体"/>
          <w:b/>
          <w:bCs/>
        </w:rPr>
        <w:t xml:space="preserve"> </w:t>
      </w:r>
    </w:p>
    <w:p w14:paraId="369E136C">
      <w:pPr>
        <w:pStyle w:val="8"/>
        <w:numPr>
          <w:ilvl w:val="0"/>
          <w:numId w:val="4"/>
        </w:numPr>
        <w:spacing w:after="60" w:line="360" w:lineRule="auto"/>
        <w:ind w:left="0" w:firstLine="424" w:firstLineChars="202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双方签订合同后十个工作日内支付中标价的70%；</w:t>
      </w:r>
    </w:p>
    <w:p w14:paraId="695BD552">
      <w:pPr>
        <w:pStyle w:val="2"/>
        <w:numPr>
          <w:ilvl w:val="0"/>
          <w:numId w:val="4"/>
        </w:numPr>
        <w:ind w:left="0" w:firstLine="424" w:firstLineChars="202"/>
        <w:rPr>
          <w:rFonts w:hint="eastAsia" w:ascii="宋体" w:hAnsi="宋体" w:cs="Times New Roman"/>
          <w:bCs w:val="0"/>
        </w:rPr>
      </w:pPr>
      <w:r>
        <w:rPr>
          <w:rFonts w:hint="eastAsia" w:ascii="宋体" w:hAnsi="宋体" w:cs="Times New Roman"/>
          <w:bCs w:val="0"/>
        </w:rPr>
        <w:t>赛事完成，中标人向采购人提交活动总结报告，采购人验收完成合格后三十个工作日，采购人向中标人支付实际结算剩余部分。</w:t>
      </w:r>
    </w:p>
    <w:p w14:paraId="67E1E7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C137F"/>
    <w:multiLevelType w:val="multilevel"/>
    <w:tmpl w:val="309C137F"/>
    <w:lvl w:ilvl="0" w:tentative="0">
      <w:start w:val="1"/>
      <w:numFmt w:val="decimal"/>
      <w:lvlText w:val="%1)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3DFA2C91"/>
    <w:multiLevelType w:val="singleLevel"/>
    <w:tmpl w:val="3DFA2C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1285ED"/>
    <w:multiLevelType w:val="singleLevel"/>
    <w:tmpl w:val="541285E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abstractNum w:abstractNumId="3">
    <w:nsid w:val="6F765165"/>
    <w:multiLevelType w:val="multilevel"/>
    <w:tmpl w:val="6F765165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keepNext/>
      <w:keepLines/>
      <w:spacing w:before="34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pacing w:afterLines="0" w:line="360" w:lineRule="auto"/>
    </w:pPr>
    <w:rPr>
      <w:rFonts w:cs="Arial"/>
      <w:bCs/>
    </w:rPr>
  </w:style>
  <w:style w:type="paragraph" w:customStyle="1" w:styleId="6">
    <w:name w:val="1册标题1"/>
    <w:basedOn w:val="1"/>
    <w:next w:val="1"/>
    <w:qFormat/>
    <w:uiPriority w:val="0"/>
    <w:pPr>
      <w:spacing w:beforeLines="50" w:afterLines="50"/>
      <w:jc w:val="center"/>
      <w:outlineLvl w:val="0"/>
    </w:pPr>
    <w:rPr>
      <w:rFonts w:eastAsia="黑体"/>
      <w:b/>
      <w:bCs/>
      <w:sz w:val="48"/>
      <w:szCs w:val="20"/>
    </w:rPr>
  </w:style>
  <w:style w:type="character" w:customStyle="1" w:styleId="7">
    <w:name w:val="标题 1 字符"/>
    <w:basedOn w:val="5"/>
    <w:link w:val="3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0"/>
    <w:pPr>
      <w:spacing w:afterLines="0" w:line="240" w:lineRule="auto"/>
      <w:ind w:firstLine="420" w:firstLineChars="200"/>
    </w:pPr>
    <w:rPr>
      <w:rFonts w:ascii="Calibri" w:hAnsi="Calibr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2025-06-26T06:09:55Z</dcterms:created>
  <dc:creator>Administrator</dc:creator>
  <cp:lastModifiedBy>Administrator</cp:lastModifiedBy>
  <dcterms:modified xsi:type="dcterms:W3CDTF">2025-06-26T06:09:59Z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eyJoZGlkIjoiOWUyODI3ZDg3NjU4NzQ3NjJjMDhkZGY2ODVkYzI0NTAiLCJ1c2VySWQiOiI1MDk5NTI0NTYifQ==</vt:lpwstr>
  </property>
  <property fmtid="{D5CDD505-2E9C-101B-9397-08002B2CF9AE}" pid="4" name="ICV">
    <vt:lpwstr>D714139853204FDEA24C28598A4D5FE2_12</vt:lpwstr>
  </property>
</Properties>
</file>