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1307731"/>
    <w:bookmarkStart w:id="1" w:name="_Toc203384944"/>
    <w:p w14:paraId="06637AE7" w14:textId="37A979A1" w:rsidR="00C64AB3" w:rsidRPr="00C64AB3" w:rsidRDefault="00C64AB3" w:rsidP="00C64AB3">
      <w:pPr>
        <w:keepNext/>
        <w:keepLines/>
        <w:jc w:val="center"/>
        <w:outlineLvl w:val="0"/>
        <w:rPr>
          <w:rFonts w:ascii="黑体" w:eastAsia="黑体" w:hAnsi="黑体" w:cs="Times New Roman" w:hint="eastAsia"/>
          <w:b/>
          <w:bCs/>
          <w:kern w:val="44"/>
          <w:sz w:val="44"/>
          <w:szCs w:val="44"/>
        </w:rPr>
      </w:pPr>
      <w:r w:rsidRPr="00C64AB3">
        <w:rPr>
          <w:rFonts w:ascii="黑体" w:eastAsia="黑体" w:hAnsi="黑体" w:cs="Times New Roman"/>
          <w:b/>
          <w:bCs/>
          <w:kern w:val="44"/>
          <w:sz w:val="44"/>
          <w:szCs w:val="44"/>
        </w:rPr>
        <w:fldChar w:fldCharType="begin"/>
      </w:r>
      <w:r w:rsidRPr="00C64AB3">
        <w:rPr>
          <w:rFonts w:ascii="黑体" w:eastAsia="黑体" w:hAnsi="黑体" w:cs="Times New Roman"/>
          <w:b/>
          <w:bCs/>
          <w:kern w:val="44"/>
          <w:sz w:val="44"/>
          <w:szCs w:val="44"/>
        </w:rPr>
        <w:instrText xml:space="preserve"> HYPERLINK \l "_Toc488762883" </w:instrText>
      </w:r>
      <w:r w:rsidRPr="00C64AB3">
        <w:rPr>
          <w:rFonts w:ascii="黑体" w:eastAsia="黑体" w:hAnsi="黑体" w:cs="Times New Roman"/>
          <w:b/>
          <w:bCs/>
          <w:kern w:val="44"/>
          <w:sz w:val="44"/>
          <w:szCs w:val="44"/>
        </w:rPr>
        <w:fldChar w:fldCharType="separate"/>
      </w:r>
      <w:r w:rsidRPr="00C64AB3">
        <w:rPr>
          <w:rFonts w:ascii="黑体" w:eastAsia="黑体" w:hAnsi="黑体" w:cs="Times New Roman" w:hint="eastAsia"/>
          <w:b/>
          <w:bCs/>
          <w:kern w:val="44"/>
          <w:sz w:val="44"/>
          <w:szCs w:val="44"/>
        </w:rPr>
        <w:t>招标项目需求</w:t>
      </w:r>
      <w:bookmarkEnd w:id="1"/>
      <w:r w:rsidRPr="00C64AB3">
        <w:rPr>
          <w:rFonts w:ascii="黑体" w:eastAsia="黑体" w:hAnsi="黑体" w:cs="Times New Roman"/>
          <w:b/>
          <w:bCs/>
          <w:kern w:val="44"/>
          <w:sz w:val="44"/>
          <w:szCs w:val="44"/>
        </w:rPr>
        <w:fldChar w:fldCharType="end"/>
      </w:r>
    </w:p>
    <w:p w14:paraId="316EAA70"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b/>
          <w:bCs/>
          <w:kern w:val="0"/>
          <w:szCs w:val="16"/>
        </w:rPr>
      </w:pPr>
      <w:bookmarkStart w:id="2" w:name="_Toc193468411"/>
      <w:bookmarkStart w:id="3" w:name="_Toc203384945"/>
      <w:r w:rsidRPr="00C64AB3">
        <w:rPr>
          <w:rFonts w:ascii="宋体" w:eastAsia="宋体" w:hAnsi="宋体" w:cs="Times New Roman" w:hint="eastAsia"/>
          <w:b/>
          <w:bCs/>
          <w:kern w:val="0"/>
          <w:szCs w:val="16"/>
        </w:rPr>
        <w:t>一、货物清单</w:t>
      </w:r>
      <w:bookmarkEnd w:id="2"/>
      <w:bookmarkEnd w:id="3"/>
    </w:p>
    <w:p w14:paraId="7D8D5F34" w14:textId="77777777" w:rsidR="00C64AB3" w:rsidRPr="00C64AB3" w:rsidRDefault="00C64AB3" w:rsidP="00C64AB3">
      <w:pPr>
        <w:ind w:firstLineChars="200" w:firstLine="422"/>
        <w:rPr>
          <w:rFonts w:ascii="Times New Roman" w:eastAsia="宋体" w:hAnsi="Times New Roman" w:cs="Times New Roman"/>
          <w:b/>
          <w:szCs w:val="24"/>
        </w:rPr>
      </w:pPr>
      <w:r w:rsidRPr="00C64AB3">
        <w:rPr>
          <w:rFonts w:ascii="Times New Roman" w:eastAsia="宋体" w:hAnsi="Times New Roman" w:cs="Times New Roman" w:hint="eastAsia"/>
          <w:b/>
          <w:szCs w:val="24"/>
        </w:rPr>
        <w:t>（一）项目概况</w:t>
      </w:r>
    </w:p>
    <w:p w14:paraId="338A49E6" w14:textId="77777777" w:rsidR="00C64AB3" w:rsidRPr="00C64AB3" w:rsidRDefault="00C64AB3" w:rsidP="00C64AB3">
      <w:pPr>
        <w:ind w:firstLineChars="200" w:firstLine="420"/>
        <w:rPr>
          <w:rFonts w:ascii="Times New Roman" w:eastAsia="宋体" w:hAnsi="Times New Roman" w:cs="Times New Roman" w:hint="eastAsia"/>
          <w:bCs/>
          <w:szCs w:val="24"/>
        </w:rPr>
      </w:pPr>
      <w:r w:rsidRPr="00C64AB3">
        <w:rPr>
          <w:rFonts w:ascii="Times New Roman" w:eastAsia="宋体" w:hAnsi="Times New Roman" w:cs="Times New Roman" w:hint="eastAsia"/>
          <w:bCs/>
          <w:szCs w:val="24"/>
        </w:rPr>
        <w:t>为了更好的开展药学服务工作，让有限的药师资源发挥更大的作用。运用现代信息技术辅助药师开展工作已成为医院药学发展的趋势。目前，全国大部分医院已经建立了医院信息管理系统，且已经成为医院管理业务运行中必不可少的基础性设施，其对于临床工作者的工作效率和质量提升有目共睹，但医院针对临床药学工作的信息系统建设尚未成熟，医院药学工作者迫切希望能有一套完善的药学信息系统，构建以临床药学和药学管理为基础，以药学信息为核心的信息化管理系统，实现医院药学从“药”到“人”的服务模式转型。</w:t>
      </w:r>
    </w:p>
    <w:p w14:paraId="5B41C7B5" w14:textId="77777777" w:rsidR="00C64AB3" w:rsidRPr="00C64AB3" w:rsidRDefault="00C64AB3" w:rsidP="00C64AB3">
      <w:pPr>
        <w:ind w:firstLineChars="200" w:firstLine="420"/>
        <w:rPr>
          <w:rFonts w:ascii="Times New Roman" w:eastAsia="宋体" w:hAnsi="Times New Roman" w:cs="Times New Roman"/>
          <w:bCs/>
          <w:szCs w:val="24"/>
        </w:rPr>
      </w:pPr>
      <w:r w:rsidRPr="00C64AB3">
        <w:rPr>
          <w:rFonts w:ascii="Times New Roman" w:eastAsia="宋体" w:hAnsi="Times New Roman" w:cs="Times New Roman" w:hint="eastAsia"/>
          <w:bCs/>
          <w:szCs w:val="24"/>
        </w:rPr>
        <w:t>为临床药师提供以患者为中心的智能药学监护平台，协助药师快速获取患者信息，提高药师工作效率，实现重点患者的全程药学监护，并及时给与处理建议，提升治疗效果，保障患者用药安全，减少患者住院时间和费用。实现医院药学从关注治疗过程中一次性服务向关注整个疾病治疗过程持续不断的服务的转变，助力医院</w:t>
      </w:r>
      <w:proofErr w:type="gramStart"/>
      <w:r w:rsidRPr="00C64AB3">
        <w:rPr>
          <w:rFonts w:ascii="Times New Roman" w:eastAsia="宋体" w:hAnsi="Times New Roman" w:cs="Times New Roman" w:hint="eastAsia"/>
          <w:bCs/>
          <w:szCs w:val="24"/>
        </w:rPr>
        <w:t>践行</w:t>
      </w:r>
      <w:proofErr w:type="gramEnd"/>
      <w:r w:rsidRPr="00C64AB3">
        <w:rPr>
          <w:rFonts w:ascii="Times New Roman" w:eastAsia="宋体" w:hAnsi="Times New Roman" w:cs="Times New Roman" w:hint="eastAsia"/>
          <w:bCs/>
          <w:szCs w:val="24"/>
        </w:rPr>
        <w:t>全程化的药学服务模式，同时，建立内外网交互机制，将药学服务延伸到院外，让药师能够在医院内</w:t>
      </w:r>
      <w:proofErr w:type="gramStart"/>
      <w:r w:rsidRPr="00C64AB3">
        <w:rPr>
          <w:rFonts w:ascii="Times New Roman" w:eastAsia="宋体" w:hAnsi="Times New Roman" w:cs="Times New Roman" w:hint="eastAsia"/>
          <w:bCs/>
          <w:szCs w:val="24"/>
        </w:rPr>
        <w:t>网环境</w:t>
      </w:r>
      <w:proofErr w:type="gramEnd"/>
      <w:r w:rsidRPr="00C64AB3">
        <w:rPr>
          <w:rFonts w:ascii="Times New Roman" w:eastAsia="宋体" w:hAnsi="Times New Roman" w:cs="Times New Roman" w:hint="eastAsia"/>
          <w:bCs/>
          <w:szCs w:val="24"/>
        </w:rPr>
        <w:t>下与患者在线交互，实现对患者的远程用药管理。</w:t>
      </w:r>
    </w:p>
    <w:p w14:paraId="05974BB7" w14:textId="77777777" w:rsidR="00C64AB3" w:rsidRPr="00C64AB3" w:rsidRDefault="00C64AB3" w:rsidP="00C64AB3">
      <w:pPr>
        <w:ind w:firstLineChars="200" w:firstLine="420"/>
        <w:rPr>
          <w:rFonts w:ascii="Times New Roman" w:eastAsia="宋体" w:hAnsi="Times New Roman" w:cs="Times New Roman" w:hint="eastAsia"/>
          <w:bCs/>
          <w:szCs w:val="24"/>
        </w:rPr>
      </w:pPr>
    </w:p>
    <w:p w14:paraId="1840609B" w14:textId="77777777" w:rsidR="00C64AB3" w:rsidRPr="00C64AB3" w:rsidRDefault="00C64AB3" w:rsidP="00C64AB3">
      <w:pPr>
        <w:ind w:firstLineChars="200" w:firstLine="422"/>
        <w:rPr>
          <w:rFonts w:ascii="Times New Roman" w:eastAsia="宋体" w:hAnsi="Times New Roman" w:cs="Times New Roman"/>
          <w:b/>
          <w:szCs w:val="24"/>
        </w:rPr>
      </w:pPr>
      <w:r w:rsidRPr="00C64AB3">
        <w:rPr>
          <w:rFonts w:ascii="Times New Roman" w:eastAsia="宋体" w:hAnsi="Times New Roman" w:cs="Times New Roman" w:hint="eastAsia"/>
          <w:b/>
          <w:szCs w:val="24"/>
        </w:rPr>
        <w:t>（二）采购清单</w:t>
      </w:r>
    </w:p>
    <w:p w14:paraId="78C6EBD4" w14:textId="77777777" w:rsidR="00C64AB3" w:rsidRPr="00C64AB3" w:rsidRDefault="00C64AB3" w:rsidP="00C64AB3">
      <w:pPr>
        <w:ind w:firstLineChars="200" w:firstLine="420"/>
        <w:rPr>
          <w:rFonts w:ascii="Times New Roman" w:eastAsia="宋体" w:hAnsi="Times New Roman" w:cs="Times New Roman" w:hint="eastAsia"/>
          <w:bCs/>
          <w:szCs w:val="24"/>
        </w:rPr>
      </w:pPr>
      <w:r w:rsidRPr="00C64AB3">
        <w:rPr>
          <w:rFonts w:ascii="Times New Roman" w:eastAsia="宋体" w:hAnsi="Times New Roman" w:cs="Times New Roman" w:hint="eastAsia"/>
          <w:bCs/>
          <w:szCs w:val="24"/>
        </w:rPr>
        <w:t>随着临床药学服务工作的探索推进，对于临床药师的要求也越来越高，需要其参与临床实践，掌握各种药学信息，并善于同各服务对象进行沟通，这对于药师的知识水平、能力水平都提出更进一步的要求。而医院配备的临床药师数量明显不足，大量的文书、手工操作导致药学服务效率不高，这些都制约了药学服务活动的普及和开展。</w:t>
      </w:r>
    </w:p>
    <w:tbl>
      <w:tblPr>
        <w:tblW w:w="5000" w:type="pct"/>
        <w:jc w:val="center"/>
        <w:tblLook w:val="0000" w:firstRow="0" w:lastRow="0" w:firstColumn="0" w:lastColumn="0" w:noHBand="0" w:noVBand="0"/>
      </w:tblPr>
      <w:tblGrid>
        <w:gridCol w:w="754"/>
        <w:gridCol w:w="2220"/>
        <w:gridCol w:w="914"/>
        <w:gridCol w:w="785"/>
        <w:gridCol w:w="1435"/>
        <w:gridCol w:w="2188"/>
      </w:tblGrid>
      <w:tr w:rsidR="00C64AB3" w:rsidRPr="00C64AB3" w14:paraId="01BB4517" w14:textId="77777777" w:rsidTr="0059125F">
        <w:trPr>
          <w:trHeight w:val="400"/>
          <w:jc w:val="center"/>
        </w:trPr>
        <w:tc>
          <w:tcPr>
            <w:tcW w:w="454" w:type="pct"/>
            <w:tcBorders>
              <w:top w:val="single" w:sz="4" w:space="0" w:color="000000"/>
              <w:left w:val="single" w:sz="4" w:space="0" w:color="000000"/>
              <w:bottom w:val="single" w:sz="4" w:space="0" w:color="000000"/>
              <w:right w:val="single" w:sz="4" w:space="0" w:color="000000"/>
            </w:tcBorders>
            <w:vAlign w:val="center"/>
          </w:tcPr>
          <w:p w14:paraId="025215D6" w14:textId="77777777" w:rsidR="00C64AB3" w:rsidRPr="00C64AB3" w:rsidRDefault="00C64AB3" w:rsidP="00C64AB3">
            <w:pPr>
              <w:widowControl/>
              <w:adjustRightInd w:val="0"/>
              <w:snapToGrid w:val="0"/>
              <w:jc w:val="center"/>
              <w:textAlignment w:val="center"/>
              <w:rPr>
                <w:rFonts w:ascii="宋体" w:eastAsia="宋体" w:hAnsi="宋体" w:cs="宋体" w:hint="eastAsia"/>
                <w:b/>
                <w:bCs/>
                <w:color w:val="000000"/>
                <w:szCs w:val="21"/>
              </w:rPr>
            </w:pPr>
            <w:r w:rsidRPr="00C64AB3">
              <w:rPr>
                <w:rFonts w:ascii="宋体" w:eastAsia="宋体" w:hAnsi="宋体" w:cs="宋体" w:hint="eastAsia"/>
                <w:b/>
                <w:bCs/>
                <w:color w:val="000000"/>
                <w:kern w:val="0"/>
                <w:szCs w:val="21"/>
                <w:lang w:bidi="ar"/>
              </w:rPr>
              <w:t>序号</w:t>
            </w:r>
          </w:p>
        </w:tc>
        <w:tc>
          <w:tcPr>
            <w:tcW w:w="1338" w:type="pct"/>
            <w:tcBorders>
              <w:top w:val="single" w:sz="4" w:space="0" w:color="000000"/>
              <w:left w:val="single" w:sz="4" w:space="0" w:color="000000"/>
              <w:bottom w:val="single" w:sz="4" w:space="0" w:color="000000"/>
              <w:right w:val="single" w:sz="4" w:space="0" w:color="000000"/>
            </w:tcBorders>
            <w:vAlign w:val="center"/>
          </w:tcPr>
          <w:p w14:paraId="221C62EC" w14:textId="77777777" w:rsidR="00C64AB3" w:rsidRPr="00C64AB3" w:rsidRDefault="00C64AB3" w:rsidP="00C64AB3">
            <w:pPr>
              <w:widowControl/>
              <w:adjustRightInd w:val="0"/>
              <w:snapToGrid w:val="0"/>
              <w:jc w:val="center"/>
              <w:textAlignment w:val="center"/>
              <w:rPr>
                <w:rFonts w:ascii="宋体" w:eastAsia="宋体" w:hAnsi="宋体" w:cs="宋体" w:hint="eastAsia"/>
                <w:b/>
                <w:bCs/>
                <w:color w:val="000000"/>
                <w:szCs w:val="21"/>
              </w:rPr>
            </w:pPr>
            <w:r w:rsidRPr="00C64AB3">
              <w:rPr>
                <w:rFonts w:ascii="宋体" w:eastAsia="宋体" w:hAnsi="宋体" w:cs="宋体" w:hint="eastAsia"/>
                <w:b/>
                <w:bCs/>
                <w:color w:val="000000"/>
                <w:kern w:val="0"/>
                <w:szCs w:val="21"/>
                <w:lang w:bidi="ar"/>
              </w:rPr>
              <w:t>货物名称</w:t>
            </w:r>
          </w:p>
        </w:tc>
        <w:tc>
          <w:tcPr>
            <w:tcW w:w="551" w:type="pct"/>
            <w:tcBorders>
              <w:top w:val="single" w:sz="4" w:space="0" w:color="000000"/>
              <w:left w:val="single" w:sz="4" w:space="0" w:color="000000"/>
              <w:bottom w:val="single" w:sz="4" w:space="0" w:color="000000"/>
              <w:right w:val="single" w:sz="4" w:space="0" w:color="000000"/>
            </w:tcBorders>
            <w:vAlign w:val="center"/>
          </w:tcPr>
          <w:p w14:paraId="360BC9B6" w14:textId="77777777" w:rsidR="00C64AB3" w:rsidRPr="00C64AB3" w:rsidRDefault="00C64AB3" w:rsidP="00C64AB3">
            <w:pPr>
              <w:widowControl/>
              <w:adjustRightInd w:val="0"/>
              <w:snapToGrid w:val="0"/>
              <w:jc w:val="center"/>
              <w:textAlignment w:val="center"/>
              <w:rPr>
                <w:rFonts w:ascii="宋体" w:eastAsia="宋体" w:hAnsi="宋体" w:cs="宋体" w:hint="eastAsia"/>
                <w:b/>
                <w:bCs/>
                <w:color w:val="000000"/>
                <w:szCs w:val="21"/>
              </w:rPr>
            </w:pPr>
            <w:r w:rsidRPr="00C64AB3">
              <w:rPr>
                <w:rFonts w:ascii="宋体" w:eastAsia="宋体" w:hAnsi="宋体" w:cs="宋体" w:hint="eastAsia"/>
                <w:b/>
                <w:bCs/>
                <w:color w:val="000000"/>
                <w:kern w:val="0"/>
                <w:szCs w:val="21"/>
                <w:lang w:bidi="ar"/>
              </w:rPr>
              <w:t>数量</w:t>
            </w:r>
          </w:p>
        </w:tc>
        <w:tc>
          <w:tcPr>
            <w:tcW w:w="473" w:type="pct"/>
            <w:tcBorders>
              <w:top w:val="single" w:sz="4" w:space="0" w:color="000000"/>
              <w:left w:val="single" w:sz="4" w:space="0" w:color="000000"/>
              <w:bottom w:val="single" w:sz="4" w:space="0" w:color="000000"/>
              <w:right w:val="single" w:sz="4" w:space="0" w:color="000000"/>
            </w:tcBorders>
            <w:vAlign w:val="center"/>
          </w:tcPr>
          <w:p w14:paraId="7D460AA7" w14:textId="77777777" w:rsidR="00C64AB3" w:rsidRPr="00C64AB3" w:rsidRDefault="00C64AB3" w:rsidP="00C64AB3">
            <w:pPr>
              <w:widowControl/>
              <w:adjustRightInd w:val="0"/>
              <w:snapToGrid w:val="0"/>
              <w:jc w:val="center"/>
              <w:textAlignment w:val="center"/>
              <w:rPr>
                <w:rFonts w:ascii="宋体" w:eastAsia="宋体" w:hAnsi="宋体" w:cs="宋体" w:hint="eastAsia"/>
                <w:b/>
                <w:bCs/>
                <w:szCs w:val="21"/>
              </w:rPr>
            </w:pPr>
            <w:r w:rsidRPr="00C64AB3">
              <w:rPr>
                <w:rFonts w:ascii="宋体" w:eastAsia="宋体" w:hAnsi="宋体" w:cs="宋体" w:hint="eastAsia"/>
                <w:b/>
                <w:bCs/>
                <w:szCs w:val="21"/>
              </w:rPr>
              <w:t>单位</w:t>
            </w:r>
          </w:p>
        </w:tc>
        <w:tc>
          <w:tcPr>
            <w:tcW w:w="865" w:type="pct"/>
            <w:tcBorders>
              <w:top w:val="single" w:sz="4" w:space="0" w:color="000000"/>
              <w:left w:val="single" w:sz="4" w:space="0" w:color="000000"/>
              <w:bottom w:val="single" w:sz="4" w:space="0" w:color="000000"/>
              <w:right w:val="single" w:sz="4" w:space="0" w:color="000000"/>
            </w:tcBorders>
            <w:vAlign w:val="center"/>
          </w:tcPr>
          <w:p w14:paraId="0313AA13" w14:textId="77777777" w:rsidR="00C64AB3" w:rsidRPr="00C64AB3" w:rsidRDefault="00C64AB3" w:rsidP="00C64AB3">
            <w:pPr>
              <w:widowControl/>
              <w:adjustRightInd w:val="0"/>
              <w:snapToGrid w:val="0"/>
              <w:jc w:val="center"/>
              <w:textAlignment w:val="center"/>
              <w:rPr>
                <w:rFonts w:ascii="宋体" w:eastAsia="宋体" w:hAnsi="宋体" w:cs="宋体" w:hint="eastAsia"/>
                <w:b/>
                <w:bCs/>
                <w:szCs w:val="21"/>
              </w:rPr>
            </w:pPr>
            <w:r w:rsidRPr="00C64AB3">
              <w:rPr>
                <w:rFonts w:ascii="宋体" w:eastAsia="宋体" w:hAnsi="宋体" w:cs="宋体" w:hint="eastAsia"/>
                <w:b/>
                <w:bCs/>
                <w:szCs w:val="21"/>
              </w:rPr>
              <w:t>进口/国产</w:t>
            </w:r>
          </w:p>
        </w:tc>
        <w:tc>
          <w:tcPr>
            <w:tcW w:w="1319" w:type="pct"/>
            <w:tcBorders>
              <w:top w:val="single" w:sz="4" w:space="0" w:color="000000"/>
              <w:left w:val="single" w:sz="4" w:space="0" w:color="000000"/>
              <w:bottom w:val="single" w:sz="4" w:space="0" w:color="000000"/>
              <w:right w:val="single" w:sz="4" w:space="0" w:color="000000"/>
            </w:tcBorders>
            <w:vAlign w:val="center"/>
          </w:tcPr>
          <w:p w14:paraId="247042B1" w14:textId="77777777" w:rsidR="00C64AB3" w:rsidRPr="00C64AB3" w:rsidRDefault="00C64AB3" w:rsidP="00C64AB3">
            <w:pPr>
              <w:widowControl/>
              <w:adjustRightInd w:val="0"/>
              <w:snapToGrid w:val="0"/>
              <w:jc w:val="center"/>
              <w:textAlignment w:val="center"/>
              <w:rPr>
                <w:rFonts w:ascii="宋体" w:eastAsia="宋体" w:hAnsi="宋体" w:cs="宋体" w:hint="eastAsia"/>
                <w:b/>
                <w:bCs/>
                <w:color w:val="000000"/>
                <w:szCs w:val="21"/>
              </w:rPr>
            </w:pPr>
            <w:r w:rsidRPr="00C64AB3">
              <w:rPr>
                <w:rFonts w:ascii="宋体" w:eastAsia="宋体" w:hAnsi="宋体" w:cs="宋体" w:hint="eastAsia"/>
                <w:b/>
                <w:bCs/>
                <w:color w:val="000000"/>
                <w:kern w:val="0"/>
                <w:szCs w:val="21"/>
                <w:lang w:bidi="ar"/>
              </w:rPr>
              <w:t>最高限价（元）</w:t>
            </w:r>
          </w:p>
        </w:tc>
      </w:tr>
      <w:tr w:rsidR="00C64AB3" w:rsidRPr="00C64AB3" w14:paraId="7EEB2BDE" w14:textId="77777777" w:rsidTr="0059125F">
        <w:trPr>
          <w:trHeight w:val="397"/>
          <w:jc w:val="center"/>
        </w:trPr>
        <w:tc>
          <w:tcPr>
            <w:tcW w:w="454" w:type="pct"/>
            <w:tcBorders>
              <w:top w:val="single" w:sz="4" w:space="0" w:color="000000"/>
              <w:left w:val="single" w:sz="4" w:space="0" w:color="000000"/>
              <w:bottom w:val="single" w:sz="4" w:space="0" w:color="000000"/>
              <w:right w:val="single" w:sz="4" w:space="0" w:color="000000"/>
            </w:tcBorders>
            <w:vAlign w:val="center"/>
          </w:tcPr>
          <w:p w14:paraId="08564419" w14:textId="77777777" w:rsidR="00C64AB3" w:rsidRPr="00C64AB3" w:rsidRDefault="00C64AB3" w:rsidP="00C64AB3">
            <w:pPr>
              <w:widowControl/>
              <w:adjustRightInd w:val="0"/>
              <w:snapToGrid w:val="0"/>
              <w:jc w:val="center"/>
              <w:textAlignment w:val="center"/>
              <w:rPr>
                <w:rFonts w:ascii="宋体" w:eastAsia="宋体" w:hAnsi="宋体" w:cs="宋体" w:hint="eastAsia"/>
                <w:color w:val="000000"/>
                <w:szCs w:val="21"/>
              </w:rPr>
            </w:pPr>
            <w:r w:rsidRPr="00C64AB3">
              <w:rPr>
                <w:rFonts w:ascii="宋体" w:eastAsia="宋体" w:hAnsi="宋体" w:cs="宋体" w:hint="eastAsia"/>
                <w:color w:val="000000"/>
                <w:kern w:val="0"/>
                <w:szCs w:val="21"/>
                <w:lang w:bidi="ar"/>
              </w:rPr>
              <w:t>1</w:t>
            </w:r>
          </w:p>
        </w:tc>
        <w:tc>
          <w:tcPr>
            <w:tcW w:w="1338" w:type="pct"/>
            <w:tcBorders>
              <w:top w:val="single" w:sz="4" w:space="0" w:color="000000"/>
              <w:left w:val="single" w:sz="4" w:space="0" w:color="000000"/>
              <w:bottom w:val="single" w:sz="4" w:space="0" w:color="000000"/>
              <w:right w:val="single" w:sz="4" w:space="0" w:color="000000"/>
            </w:tcBorders>
            <w:vAlign w:val="center"/>
          </w:tcPr>
          <w:p w14:paraId="707F2429" w14:textId="77777777" w:rsidR="00C64AB3" w:rsidRPr="00C64AB3" w:rsidRDefault="00C64AB3" w:rsidP="00C64AB3">
            <w:pPr>
              <w:widowControl/>
              <w:adjustRightInd w:val="0"/>
              <w:snapToGrid w:val="0"/>
              <w:jc w:val="center"/>
              <w:textAlignment w:val="center"/>
              <w:rPr>
                <w:rFonts w:ascii="宋体" w:eastAsia="宋体" w:hAnsi="宋体" w:cs="宋体" w:hint="eastAsia"/>
                <w:color w:val="000000"/>
                <w:szCs w:val="21"/>
              </w:rPr>
            </w:pPr>
            <w:r w:rsidRPr="00C64AB3">
              <w:rPr>
                <w:rFonts w:ascii="宋体" w:eastAsia="宋体" w:hAnsi="宋体" w:cs="宋体" w:hint="eastAsia"/>
                <w:color w:val="000000"/>
                <w:kern w:val="0"/>
                <w:szCs w:val="21"/>
                <w:lang w:bidi="ar"/>
              </w:rPr>
              <w:t>智慧药学服务平台</w:t>
            </w:r>
          </w:p>
        </w:tc>
        <w:tc>
          <w:tcPr>
            <w:tcW w:w="551" w:type="pct"/>
            <w:tcBorders>
              <w:top w:val="single" w:sz="4" w:space="0" w:color="000000"/>
              <w:left w:val="single" w:sz="4" w:space="0" w:color="000000"/>
              <w:bottom w:val="single" w:sz="4" w:space="0" w:color="000000"/>
              <w:right w:val="single" w:sz="4" w:space="0" w:color="000000"/>
            </w:tcBorders>
            <w:vAlign w:val="center"/>
          </w:tcPr>
          <w:p w14:paraId="589B28C0" w14:textId="77777777" w:rsidR="00C64AB3" w:rsidRPr="00C64AB3" w:rsidRDefault="00C64AB3" w:rsidP="00C64AB3">
            <w:pPr>
              <w:widowControl/>
              <w:adjustRightInd w:val="0"/>
              <w:snapToGrid w:val="0"/>
              <w:jc w:val="center"/>
              <w:textAlignment w:val="center"/>
              <w:rPr>
                <w:rFonts w:ascii="宋体" w:eastAsia="宋体" w:hAnsi="宋体" w:cs="宋体" w:hint="eastAsia"/>
                <w:color w:val="000000"/>
                <w:szCs w:val="21"/>
              </w:rPr>
            </w:pPr>
            <w:r w:rsidRPr="00C64AB3">
              <w:rPr>
                <w:rFonts w:ascii="宋体" w:eastAsia="宋体" w:hAnsi="宋体" w:cs="宋体" w:hint="eastAsia"/>
                <w:color w:val="000000"/>
                <w:kern w:val="0"/>
                <w:szCs w:val="21"/>
                <w:lang w:bidi="ar"/>
              </w:rPr>
              <w:t>1</w:t>
            </w:r>
          </w:p>
        </w:tc>
        <w:tc>
          <w:tcPr>
            <w:tcW w:w="473" w:type="pct"/>
            <w:tcBorders>
              <w:top w:val="single" w:sz="4" w:space="0" w:color="000000"/>
              <w:left w:val="single" w:sz="4" w:space="0" w:color="000000"/>
              <w:bottom w:val="single" w:sz="4" w:space="0" w:color="000000"/>
              <w:right w:val="single" w:sz="4" w:space="0" w:color="000000"/>
            </w:tcBorders>
            <w:vAlign w:val="center"/>
          </w:tcPr>
          <w:p w14:paraId="53774602" w14:textId="77777777" w:rsidR="00C64AB3" w:rsidRPr="00C64AB3" w:rsidRDefault="00C64AB3" w:rsidP="00C64AB3">
            <w:pPr>
              <w:adjustRightInd w:val="0"/>
              <w:snapToGrid w:val="0"/>
              <w:jc w:val="center"/>
              <w:rPr>
                <w:rFonts w:ascii="宋体" w:eastAsia="宋体" w:hAnsi="宋体" w:cs="宋体" w:hint="eastAsia"/>
                <w:color w:val="000000"/>
                <w:szCs w:val="21"/>
              </w:rPr>
            </w:pPr>
            <w:r w:rsidRPr="00C64AB3">
              <w:rPr>
                <w:rFonts w:ascii="宋体" w:eastAsia="宋体" w:hAnsi="宋体" w:cs="宋体" w:hint="eastAsia"/>
                <w:color w:val="000000"/>
                <w:szCs w:val="21"/>
              </w:rPr>
              <w:t>套</w:t>
            </w:r>
          </w:p>
        </w:tc>
        <w:tc>
          <w:tcPr>
            <w:tcW w:w="865" w:type="pct"/>
            <w:tcBorders>
              <w:top w:val="single" w:sz="4" w:space="0" w:color="000000"/>
              <w:left w:val="single" w:sz="4" w:space="0" w:color="000000"/>
              <w:bottom w:val="single" w:sz="4" w:space="0" w:color="000000"/>
              <w:right w:val="single" w:sz="4" w:space="0" w:color="000000"/>
            </w:tcBorders>
            <w:vAlign w:val="center"/>
          </w:tcPr>
          <w:p w14:paraId="21C5A906" w14:textId="77777777" w:rsidR="00C64AB3" w:rsidRPr="00C64AB3" w:rsidRDefault="00C64AB3" w:rsidP="00C64AB3">
            <w:pPr>
              <w:adjustRightInd w:val="0"/>
              <w:snapToGrid w:val="0"/>
              <w:jc w:val="center"/>
              <w:rPr>
                <w:rFonts w:ascii="宋体" w:eastAsia="宋体" w:hAnsi="宋体" w:cs="宋体" w:hint="eastAsia"/>
                <w:color w:val="000000"/>
                <w:szCs w:val="21"/>
              </w:rPr>
            </w:pPr>
            <w:r w:rsidRPr="00C64AB3">
              <w:rPr>
                <w:rFonts w:ascii="宋体" w:eastAsia="宋体" w:hAnsi="宋体" w:cs="宋体" w:hint="eastAsia"/>
                <w:color w:val="000000"/>
                <w:szCs w:val="21"/>
              </w:rPr>
              <w:t>国产</w:t>
            </w:r>
          </w:p>
        </w:tc>
        <w:tc>
          <w:tcPr>
            <w:tcW w:w="1319" w:type="pct"/>
            <w:tcBorders>
              <w:top w:val="single" w:sz="4" w:space="0" w:color="000000"/>
              <w:left w:val="single" w:sz="4" w:space="0" w:color="000000"/>
              <w:bottom w:val="single" w:sz="4" w:space="0" w:color="000000"/>
              <w:right w:val="single" w:sz="4" w:space="0" w:color="000000"/>
            </w:tcBorders>
            <w:vAlign w:val="center"/>
          </w:tcPr>
          <w:p w14:paraId="36F20D0B" w14:textId="77777777" w:rsidR="00C64AB3" w:rsidRPr="00C64AB3" w:rsidRDefault="00C64AB3" w:rsidP="00C64AB3">
            <w:pPr>
              <w:adjustRightInd w:val="0"/>
              <w:snapToGrid w:val="0"/>
              <w:jc w:val="center"/>
              <w:rPr>
                <w:rFonts w:ascii="宋体" w:eastAsia="宋体" w:hAnsi="宋体" w:cs="宋体" w:hint="eastAsia"/>
                <w:bCs/>
                <w:color w:val="000000"/>
                <w:szCs w:val="21"/>
              </w:rPr>
            </w:pPr>
            <w:r w:rsidRPr="00C64AB3">
              <w:rPr>
                <w:rFonts w:ascii="宋体" w:eastAsia="宋体" w:hAnsi="宋体" w:cs="仿宋" w:hint="eastAsia"/>
                <w:bCs/>
                <w:szCs w:val="21"/>
              </w:rPr>
              <w:t>450000.00</w:t>
            </w:r>
          </w:p>
        </w:tc>
      </w:tr>
    </w:tbl>
    <w:p w14:paraId="1EFEF1CA" w14:textId="77777777" w:rsidR="00C64AB3" w:rsidRPr="00C64AB3" w:rsidRDefault="00C64AB3" w:rsidP="00C64AB3">
      <w:pPr>
        <w:ind w:firstLineChars="200" w:firstLine="422"/>
        <w:rPr>
          <w:rFonts w:ascii="Times New Roman" w:eastAsia="宋体" w:hAnsi="Times New Roman" w:cs="Times New Roman" w:hint="eastAsia"/>
          <w:b/>
          <w:szCs w:val="24"/>
        </w:rPr>
      </w:pPr>
    </w:p>
    <w:p w14:paraId="358E9BE3" w14:textId="77777777" w:rsidR="00C64AB3" w:rsidRPr="00C64AB3" w:rsidRDefault="00C64AB3" w:rsidP="00C64AB3">
      <w:pPr>
        <w:jc w:val="left"/>
        <w:rPr>
          <w:rFonts w:ascii="宋体" w:eastAsia="宋体" w:hAnsi="宋体" w:cs="Times New Roman"/>
          <w:szCs w:val="21"/>
        </w:rPr>
      </w:pPr>
      <w:r w:rsidRPr="00C64AB3">
        <w:rPr>
          <w:rFonts w:ascii="Times New Roman" w:eastAsia="宋体" w:hAnsi="Times New Roman" w:cs="Times New Roman" w:hint="eastAsia"/>
          <w:b/>
          <w:szCs w:val="24"/>
        </w:rPr>
        <w:t>说明：</w:t>
      </w:r>
    </w:p>
    <w:p w14:paraId="3AFF3493" w14:textId="77777777" w:rsidR="00C64AB3" w:rsidRPr="00C64AB3" w:rsidRDefault="00C64AB3" w:rsidP="00C64AB3">
      <w:pPr>
        <w:spacing w:after="60"/>
        <w:ind w:firstLineChars="200" w:firstLine="422"/>
        <w:rPr>
          <w:rFonts w:ascii="宋体" w:eastAsia="宋体" w:hAnsi="宋体" w:cs="Times New Roman"/>
          <w:b/>
          <w:bCs/>
          <w:szCs w:val="21"/>
        </w:rPr>
      </w:pPr>
      <w:r w:rsidRPr="00C64AB3">
        <w:rPr>
          <w:rFonts w:ascii="宋体" w:eastAsia="宋体" w:hAnsi="宋体" w:cs="Times New Roman" w:hint="eastAsia"/>
          <w:b/>
          <w:szCs w:val="21"/>
        </w:rPr>
        <w:t>1、是否</w:t>
      </w:r>
      <w:r w:rsidRPr="00C64AB3">
        <w:rPr>
          <w:rFonts w:ascii="宋体" w:eastAsia="宋体" w:hAnsi="宋体" w:cs="Times New Roman" w:hint="eastAsia"/>
          <w:b/>
          <w:bCs/>
          <w:szCs w:val="21"/>
        </w:rPr>
        <w:t>允许采购进口产品的说明</w:t>
      </w:r>
    </w:p>
    <w:p w14:paraId="6B90AE76" w14:textId="77777777" w:rsidR="00C64AB3" w:rsidRPr="00C64AB3" w:rsidRDefault="00C64AB3" w:rsidP="00C64AB3">
      <w:pPr>
        <w:ind w:firstLineChars="200" w:firstLine="420"/>
        <w:jc w:val="left"/>
        <w:rPr>
          <w:rFonts w:ascii="宋体" w:eastAsia="宋体" w:hAnsi="宋体" w:cs="Times New Roman" w:hint="eastAsia"/>
          <w:bCs/>
          <w:szCs w:val="21"/>
        </w:rPr>
      </w:pPr>
      <w:r w:rsidRPr="00C64AB3">
        <w:rPr>
          <w:rFonts w:ascii="宋体" w:eastAsia="宋体" w:hAnsi="宋体" w:cs="Times New Roman" w:hint="eastAsia"/>
          <w:bCs/>
          <w:szCs w:val="21"/>
        </w:rPr>
        <w:t>进口/</w:t>
      </w:r>
      <w:proofErr w:type="gramStart"/>
      <w:r w:rsidRPr="00C64AB3">
        <w:rPr>
          <w:rFonts w:ascii="宋体" w:eastAsia="宋体" w:hAnsi="宋体" w:cs="Times New Roman" w:hint="eastAsia"/>
          <w:bCs/>
          <w:szCs w:val="21"/>
        </w:rPr>
        <w:t>国产栏</w:t>
      </w:r>
      <w:proofErr w:type="gramEnd"/>
      <w:r w:rsidRPr="00C64AB3">
        <w:rPr>
          <w:rFonts w:ascii="宋体" w:eastAsia="宋体" w:hAnsi="宋体" w:cs="Times New Roman" w:hint="eastAsia"/>
          <w:bCs/>
          <w:szCs w:val="21"/>
        </w:rPr>
        <w:t>注明“国产”的产品不接受投标人选用进口产品参与投标；注明“进口”的产品允许投标人选用进口产品参与投标，但不排斥国内产品。</w:t>
      </w:r>
    </w:p>
    <w:p w14:paraId="2881D483" w14:textId="77777777" w:rsidR="00C64AB3" w:rsidRPr="00C64AB3" w:rsidRDefault="00C64AB3" w:rsidP="00C64AB3">
      <w:pPr>
        <w:ind w:firstLineChars="200" w:firstLine="420"/>
        <w:jc w:val="left"/>
        <w:rPr>
          <w:rFonts w:ascii="宋体" w:eastAsia="宋体" w:hAnsi="宋体" w:cs="Times New Roman" w:hint="eastAsia"/>
          <w:b/>
          <w:szCs w:val="21"/>
        </w:rPr>
      </w:pPr>
      <w:r w:rsidRPr="00C64AB3">
        <w:rPr>
          <w:rFonts w:ascii="宋体" w:eastAsia="宋体" w:hAnsi="宋体" w:cs="Times New Roman" w:hint="eastAsia"/>
          <w:bCs/>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7C271F2" w14:textId="77777777" w:rsidR="00C64AB3" w:rsidRPr="00C64AB3" w:rsidRDefault="00C64AB3" w:rsidP="00C64AB3">
      <w:pPr>
        <w:ind w:firstLineChars="200" w:firstLine="422"/>
        <w:jc w:val="left"/>
        <w:rPr>
          <w:rFonts w:ascii="宋体" w:eastAsia="宋体" w:hAnsi="宋体" w:cs="Times New Roman"/>
          <w:b/>
          <w:szCs w:val="21"/>
        </w:rPr>
      </w:pPr>
      <w:r w:rsidRPr="00C64AB3">
        <w:rPr>
          <w:rFonts w:ascii="宋体" w:eastAsia="宋体" w:hAnsi="宋体" w:cs="Times New Roman" w:hint="eastAsia"/>
          <w:b/>
          <w:szCs w:val="21"/>
        </w:rPr>
        <w:t>2、参考品牌的说明</w:t>
      </w:r>
    </w:p>
    <w:p w14:paraId="199A07EA" w14:textId="77777777" w:rsidR="00C64AB3" w:rsidRPr="00C64AB3" w:rsidRDefault="00C64AB3" w:rsidP="00C64AB3">
      <w:pPr>
        <w:ind w:firstLineChars="200" w:firstLine="420"/>
        <w:jc w:val="left"/>
        <w:rPr>
          <w:rFonts w:ascii="宋体" w:eastAsia="宋体" w:hAnsi="宋体" w:cs="Times New Roman"/>
          <w:szCs w:val="21"/>
        </w:rPr>
      </w:pPr>
      <w:r w:rsidRPr="00C64AB3">
        <w:rPr>
          <w:rFonts w:ascii="宋体" w:eastAsia="宋体" w:hAnsi="宋体" w:cs="Times New Roman" w:hint="eastAsia"/>
          <w:szCs w:val="21"/>
        </w:rPr>
        <w:t>招标文件中所涉及产品品牌均为质量“相当于”要求，非指定性要求，投标人可自主选择质量相的其他品牌产品投标。</w:t>
      </w:r>
    </w:p>
    <w:p w14:paraId="452E5BEC" w14:textId="77777777" w:rsidR="00C64AB3" w:rsidRPr="00C64AB3" w:rsidRDefault="00C64AB3" w:rsidP="00C64AB3">
      <w:pPr>
        <w:ind w:firstLineChars="200" w:firstLine="422"/>
        <w:jc w:val="left"/>
        <w:rPr>
          <w:rFonts w:ascii="宋体" w:eastAsia="宋体" w:hAnsi="宋体" w:cs="Times New Roman"/>
          <w:b/>
          <w:szCs w:val="21"/>
        </w:rPr>
      </w:pPr>
      <w:r w:rsidRPr="00C64AB3">
        <w:rPr>
          <w:rFonts w:ascii="宋体" w:eastAsia="宋体" w:hAnsi="宋体" w:cs="Times New Roman" w:hint="eastAsia"/>
          <w:b/>
          <w:szCs w:val="21"/>
        </w:rPr>
        <w:t>3、根据《政府采购货物和服务招标投标管理办法》（财政部令第87号）第31条的规定，提供相同品牌产品的不同投标人参加同一合同项下投标的，处理原则如下：</w:t>
      </w:r>
    </w:p>
    <w:p w14:paraId="1E894441" w14:textId="77777777" w:rsidR="00C64AB3" w:rsidRPr="00C64AB3" w:rsidRDefault="00C64AB3" w:rsidP="00C64AB3">
      <w:pPr>
        <w:ind w:firstLineChars="200" w:firstLine="420"/>
        <w:jc w:val="left"/>
        <w:rPr>
          <w:rFonts w:ascii="宋体" w:eastAsia="宋体" w:hAnsi="宋体" w:cs="Times New Roman"/>
          <w:szCs w:val="21"/>
        </w:rPr>
      </w:pPr>
      <w:r w:rsidRPr="00C64AB3">
        <w:rPr>
          <w:rFonts w:ascii="宋体" w:eastAsia="宋体" w:hAnsi="宋体" w:cs="Times New Roman" w:hint="eastAsia"/>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w:t>
      </w:r>
      <w:proofErr w:type="gramStart"/>
      <w:r w:rsidRPr="00C64AB3">
        <w:rPr>
          <w:rFonts w:ascii="宋体" w:eastAsia="宋体" w:hAnsi="宋体" w:cs="Times New Roman" w:hint="eastAsia"/>
          <w:szCs w:val="21"/>
        </w:rPr>
        <w:lastRenderedPageBreak/>
        <w:t>标文件</w:t>
      </w:r>
      <w:proofErr w:type="gramEnd"/>
      <w:r w:rsidRPr="00C64AB3">
        <w:rPr>
          <w:rFonts w:ascii="宋体" w:eastAsia="宋体" w:hAnsi="宋体" w:cs="Times New Roman" w:hint="eastAsia"/>
          <w:szCs w:val="21"/>
        </w:rPr>
        <w:t>未规定的采取随机抽取方式确定，其他投标无效。</w:t>
      </w:r>
    </w:p>
    <w:p w14:paraId="130C2B16" w14:textId="77777777" w:rsidR="00C64AB3" w:rsidRPr="00C64AB3" w:rsidRDefault="00C64AB3" w:rsidP="00C64AB3">
      <w:pPr>
        <w:ind w:firstLineChars="200" w:firstLine="420"/>
        <w:jc w:val="left"/>
        <w:rPr>
          <w:rFonts w:ascii="宋体" w:eastAsia="宋体" w:hAnsi="宋体" w:cs="Times New Roman"/>
          <w:szCs w:val="21"/>
        </w:rPr>
      </w:pPr>
      <w:r w:rsidRPr="00C64AB3">
        <w:rPr>
          <w:rFonts w:ascii="宋体" w:eastAsia="宋体" w:hAnsi="宋体" w:cs="Times New Roman" w:hint="eastAsia"/>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DDAAAE" w14:textId="77777777" w:rsidR="00C64AB3" w:rsidRPr="00C64AB3" w:rsidRDefault="00C64AB3" w:rsidP="00C64AB3">
      <w:pPr>
        <w:ind w:firstLineChars="200" w:firstLine="420"/>
        <w:rPr>
          <w:rFonts w:ascii="宋体" w:eastAsia="宋体" w:hAnsi="宋体" w:cs="Times New Roman"/>
          <w:szCs w:val="21"/>
        </w:rPr>
      </w:pPr>
      <w:r w:rsidRPr="00C64AB3">
        <w:rPr>
          <w:rFonts w:ascii="宋体" w:eastAsia="宋体" w:hAnsi="宋体" w:cs="Times New Roman" w:hint="eastAsia"/>
          <w:szCs w:val="21"/>
        </w:rPr>
        <w:t>（3）非单一产品采购项目，采购人应当根据采购项目技术构成、产品价格比重等合理确定核心产品，并在招标文件中载明。多家投标人提供的核心产品品牌相同的，按前两款规定处理。</w:t>
      </w:r>
    </w:p>
    <w:p w14:paraId="56E9BE2F" w14:textId="77777777" w:rsidR="00C64AB3" w:rsidRPr="00C64AB3" w:rsidRDefault="00C64AB3" w:rsidP="00C64AB3">
      <w:pPr>
        <w:ind w:firstLineChars="200" w:firstLine="422"/>
        <w:rPr>
          <w:rFonts w:ascii="宋体" w:eastAsia="宋体" w:hAnsi="宋体" w:cs="Times New Roman" w:hint="eastAsia"/>
          <w:szCs w:val="21"/>
        </w:rPr>
      </w:pPr>
      <w:r w:rsidRPr="00C64AB3">
        <w:rPr>
          <w:rFonts w:ascii="宋体" w:eastAsia="宋体" w:hAnsi="宋体" w:cs="Times New Roman" w:hint="eastAsia"/>
          <w:b/>
          <w:szCs w:val="21"/>
        </w:rPr>
        <w:t>（本项目核心产品为：</w:t>
      </w:r>
      <w:r w:rsidRPr="00C64AB3">
        <w:rPr>
          <w:rFonts w:ascii="宋体" w:eastAsia="宋体" w:hAnsi="宋体" w:cs="宋体" w:hint="eastAsia"/>
          <w:b/>
          <w:color w:val="FF0000"/>
          <w:szCs w:val="21"/>
          <w:u w:val="single"/>
        </w:rPr>
        <w:t>智慧药学服务平台</w:t>
      </w:r>
      <w:r w:rsidRPr="00C64AB3">
        <w:rPr>
          <w:rFonts w:ascii="宋体" w:eastAsia="宋体" w:hAnsi="宋体" w:cs="Times New Roman" w:hint="eastAsia"/>
          <w:b/>
          <w:szCs w:val="21"/>
        </w:rPr>
        <w:t>）</w:t>
      </w:r>
    </w:p>
    <w:p w14:paraId="6031FD45"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b/>
          <w:bCs/>
          <w:kern w:val="0"/>
          <w:szCs w:val="16"/>
        </w:rPr>
      </w:pPr>
      <w:bookmarkStart w:id="4" w:name="_Toc203384946"/>
      <w:r w:rsidRPr="00C64AB3">
        <w:rPr>
          <w:rFonts w:ascii="宋体" w:eastAsia="宋体" w:hAnsi="宋体" w:cs="Times New Roman" w:hint="eastAsia"/>
          <w:b/>
          <w:bCs/>
          <w:kern w:val="0"/>
          <w:szCs w:val="16"/>
        </w:rPr>
        <w:t>二、实质性条款</w:t>
      </w:r>
      <w:bookmarkEnd w:id="4"/>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7599"/>
      </w:tblGrid>
      <w:tr w:rsidR="00C64AB3" w:rsidRPr="00C64AB3" w14:paraId="759463FF" w14:textId="77777777" w:rsidTr="0059125F">
        <w:trPr>
          <w:trHeight w:val="20"/>
          <w:jc w:val="center"/>
        </w:trPr>
        <w:tc>
          <w:tcPr>
            <w:tcW w:w="1013" w:type="dxa"/>
            <w:vAlign w:val="center"/>
          </w:tcPr>
          <w:p w14:paraId="78CE24FE" w14:textId="77777777" w:rsidR="00C64AB3" w:rsidRPr="00C64AB3" w:rsidRDefault="00C64AB3" w:rsidP="00C64AB3">
            <w:pPr>
              <w:widowControl/>
              <w:adjustRightInd w:val="0"/>
              <w:snapToGrid w:val="0"/>
              <w:jc w:val="center"/>
              <w:rPr>
                <w:rFonts w:ascii="宋体" w:eastAsia="宋体" w:hAnsi="宋体" w:cs="Times New Roman" w:hint="eastAsia"/>
                <w:color w:val="FF0000"/>
                <w:kern w:val="0"/>
                <w:szCs w:val="21"/>
              </w:rPr>
            </w:pPr>
            <w:r w:rsidRPr="00C64AB3">
              <w:rPr>
                <w:rFonts w:ascii="宋体" w:eastAsia="宋体" w:hAnsi="宋体" w:cs="Times New Roman" w:hint="eastAsia"/>
                <w:color w:val="FF0000"/>
                <w:kern w:val="0"/>
                <w:szCs w:val="21"/>
              </w:rPr>
              <w:t>序号</w:t>
            </w:r>
          </w:p>
        </w:tc>
        <w:tc>
          <w:tcPr>
            <w:tcW w:w="7599" w:type="dxa"/>
            <w:vAlign w:val="center"/>
          </w:tcPr>
          <w:p w14:paraId="176E17D1" w14:textId="77777777" w:rsidR="00C64AB3" w:rsidRPr="00C64AB3" w:rsidRDefault="00C64AB3" w:rsidP="00C64AB3">
            <w:pPr>
              <w:widowControl/>
              <w:adjustRightInd w:val="0"/>
              <w:snapToGrid w:val="0"/>
              <w:jc w:val="center"/>
              <w:rPr>
                <w:rFonts w:ascii="宋体" w:eastAsia="宋体" w:hAnsi="宋体" w:cs="Times New Roman" w:hint="eastAsia"/>
                <w:color w:val="FF0000"/>
                <w:kern w:val="0"/>
                <w:szCs w:val="21"/>
              </w:rPr>
            </w:pPr>
            <w:r w:rsidRPr="00C64AB3">
              <w:rPr>
                <w:rFonts w:ascii="宋体" w:eastAsia="宋体" w:hAnsi="宋体" w:cs="Times New Roman" w:hint="eastAsia"/>
                <w:color w:val="FF0000"/>
                <w:kern w:val="0"/>
                <w:szCs w:val="21"/>
              </w:rPr>
              <w:t>实质性条款具体内容</w:t>
            </w:r>
          </w:p>
        </w:tc>
      </w:tr>
      <w:tr w:rsidR="00C64AB3" w:rsidRPr="00C64AB3" w14:paraId="749D5F15" w14:textId="77777777" w:rsidTr="0059125F">
        <w:trPr>
          <w:trHeight w:val="20"/>
          <w:jc w:val="center"/>
        </w:trPr>
        <w:tc>
          <w:tcPr>
            <w:tcW w:w="1013" w:type="dxa"/>
            <w:vAlign w:val="center"/>
          </w:tcPr>
          <w:p w14:paraId="58CD1AE2" w14:textId="77777777" w:rsidR="00C64AB3" w:rsidRPr="00C64AB3" w:rsidRDefault="00C64AB3" w:rsidP="00C64AB3">
            <w:pPr>
              <w:widowControl/>
              <w:jc w:val="center"/>
              <w:outlineLvl w:val="0"/>
              <w:rPr>
                <w:rFonts w:ascii="宋体" w:eastAsia="宋体" w:hAnsi="宋体" w:cs="Times New Roman" w:hint="eastAsia"/>
                <w:b/>
                <w:bCs/>
                <w:color w:val="FF0000"/>
                <w:kern w:val="0"/>
                <w:szCs w:val="21"/>
              </w:rPr>
            </w:pPr>
            <w:bookmarkStart w:id="5" w:name="_Toc203384947"/>
            <w:r w:rsidRPr="00C64AB3">
              <w:rPr>
                <w:rFonts w:ascii="宋体" w:eastAsia="宋体" w:hAnsi="宋体" w:cs="Times New Roman" w:hint="eastAsia"/>
                <w:b/>
                <w:bCs/>
                <w:color w:val="FF0000"/>
                <w:kern w:val="0"/>
                <w:szCs w:val="21"/>
              </w:rPr>
              <w:t>1</w:t>
            </w:r>
            <w:bookmarkEnd w:id="5"/>
          </w:p>
        </w:tc>
        <w:tc>
          <w:tcPr>
            <w:tcW w:w="7599" w:type="dxa"/>
            <w:vAlign w:val="center"/>
          </w:tcPr>
          <w:p w14:paraId="4F8D23A5" w14:textId="77777777" w:rsidR="00C64AB3" w:rsidRPr="00C64AB3" w:rsidRDefault="00C64AB3" w:rsidP="00C64AB3">
            <w:pPr>
              <w:widowControl/>
              <w:jc w:val="left"/>
              <w:rPr>
                <w:rFonts w:ascii="Times New Roman" w:eastAsia="宋体" w:hAnsi="Times New Roman" w:cs="Times New Roman" w:hint="eastAsia"/>
                <w:b/>
                <w:bCs/>
                <w:color w:val="FF0000"/>
                <w:kern w:val="0"/>
                <w:szCs w:val="21"/>
              </w:rPr>
            </w:pPr>
            <w:r w:rsidRPr="00C64AB3">
              <w:rPr>
                <w:rFonts w:ascii="宋体" w:eastAsia="宋体" w:hAnsi="宋体" w:cs="Times New Roman" w:hint="eastAsia"/>
                <w:b/>
                <w:color w:val="FF0000"/>
                <w:szCs w:val="21"/>
              </w:rPr>
              <w:t>招标项目需求中“</w:t>
            </w:r>
            <w:r w:rsidRPr="00C64AB3">
              <w:rPr>
                <w:rFonts w:ascii="宋体" w:eastAsia="宋体" w:hAnsi="宋体" w:cs="Times New Roman"/>
                <w:b/>
                <w:color w:val="FF0000"/>
                <w:szCs w:val="21"/>
              </w:rPr>
              <w:t>商务要求</w:t>
            </w:r>
            <w:r w:rsidRPr="00C64AB3">
              <w:rPr>
                <w:rFonts w:ascii="宋体" w:eastAsia="宋体" w:hAnsi="宋体" w:cs="Times New Roman" w:hint="eastAsia"/>
                <w:b/>
                <w:color w:val="FF0000"/>
                <w:szCs w:val="21"/>
              </w:rPr>
              <w:t>”以及带★号的全部条款。</w:t>
            </w:r>
          </w:p>
        </w:tc>
      </w:tr>
    </w:tbl>
    <w:p w14:paraId="5455A948" w14:textId="77777777" w:rsidR="00C64AB3" w:rsidRPr="00C64AB3" w:rsidRDefault="00C64AB3" w:rsidP="00C64AB3">
      <w:pPr>
        <w:widowControl/>
        <w:jc w:val="left"/>
        <w:rPr>
          <w:rFonts w:ascii="Times New Roman" w:eastAsia="宋体" w:hAnsi="Times New Roman" w:cs="Times New Roman"/>
          <w:kern w:val="0"/>
          <w:szCs w:val="21"/>
        </w:rPr>
      </w:pPr>
      <w:r w:rsidRPr="00C64AB3">
        <w:rPr>
          <w:rFonts w:ascii="Times New Roman" w:eastAsia="宋体" w:hAnsi="Times New Roman" w:cs="Times New Roman" w:hint="eastAsia"/>
          <w:b/>
          <w:kern w:val="0"/>
          <w:szCs w:val="21"/>
        </w:rPr>
        <w:t>注：上表所列内容为不可负偏离条款，负偏离将视为未实质性满足招标文件要求作投标无效处理。</w:t>
      </w:r>
    </w:p>
    <w:p w14:paraId="754C0459" w14:textId="77777777" w:rsidR="00C64AB3" w:rsidRPr="00C64AB3" w:rsidRDefault="00C64AB3" w:rsidP="00C64AB3">
      <w:pPr>
        <w:rPr>
          <w:rFonts w:ascii="Times New Roman" w:eastAsia="宋体" w:hAnsi="Times New Roman" w:cs="Times New Roman" w:hint="eastAsia"/>
          <w:b/>
          <w:szCs w:val="24"/>
        </w:rPr>
      </w:pPr>
    </w:p>
    <w:p w14:paraId="004FB855"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b/>
          <w:bCs/>
          <w:kern w:val="0"/>
          <w:szCs w:val="16"/>
        </w:rPr>
      </w:pPr>
      <w:bookmarkStart w:id="6" w:name="_Toc203384948"/>
      <w:r w:rsidRPr="00C64AB3">
        <w:rPr>
          <w:rFonts w:ascii="宋体" w:eastAsia="宋体" w:hAnsi="宋体" w:cs="Times New Roman" w:hint="eastAsia"/>
          <w:b/>
          <w:bCs/>
          <w:kern w:val="0"/>
          <w:szCs w:val="16"/>
        </w:rPr>
        <w:t>三、技术要求</w:t>
      </w:r>
      <w:bookmarkEnd w:id="6"/>
    </w:p>
    <w:p w14:paraId="0D5F3ADF"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1、带★号条款为不可负偏离条款，不作为评分准则中的评分内容，如未响应或出现负偏离的，将作投标无效处理；带“▲”指标项为重要参数条款，负偏离时</w:t>
      </w:r>
      <w:proofErr w:type="gramStart"/>
      <w:r w:rsidRPr="00C64AB3">
        <w:rPr>
          <w:rFonts w:ascii="宋体" w:eastAsia="宋体" w:hAnsi="宋体" w:cs="Times New Roman" w:hint="eastAsia"/>
          <w:b/>
          <w:szCs w:val="21"/>
        </w:rPr>
        <w:t>依相关</w:t>
      </w:r>
      <w:proofErr w:type="gramEnd"/>
      <w:r w:rsidRPr="00C64AB3">
        <w:rPr>
          <w:rFonts w:ascii="宋体" w:eastAsia="宋体" w:hAnsi="宋体" w:cs="Times New Roman" w:hint="eastAsia"/>
          <w:b/>
          <w:szCs w:val="21"/>
        </w:rPr>
        <w:t>评分准则内容作重点扣分处理。</w:t>
      </w:r>
    </w:p>
    <w:p w14:paraId="19623403"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2、招标技术要求中，要求提供证明资料的必需提供第三方检测机构出具的具有CMA和CNAS标识的检测报告；其余指标项未要求提供证明资料，无需提供相关证明资料，每一份检测报告只能对应一个产品，超出按一个计算。</w:t>
      </w:r>
    </w:p>
    <w:p w14:paraId="6772255E"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3、涉及区间的技术要求，除特别注明以外，均包含首尾两端本数，所投产品响应数值在招标文件要求的区间范围内即认定为满足该项技术要求，例：</w:t>
      </w:r>
    </w:p>
    <w:p w14:paraId="21108815"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（1）“20L”（凡是响应内容与该数值不一致者，均视为负偏离）；</w:t>
      </w:r>
    </w:p>
    <w:p w14:paraId="12416021"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（2）“H≥6m”（凡是响应内容存在小于6m的均视为负偏离）；</w:t>
      </w:r>
    </w:p>
    <w:p w14:paraId="711184F0"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（3）“H≤6m”（凡是响应内容存在大于6m的均视为负偏离）；</w:t>
      </w:r>
    </w:p>
    <w:p w14:paraId="4825D8CF" w14:textId="77777777" w:rsidR="00C64AB3" w:rsidRPr="00C64AB3" w:rsidRDefault="00C64AB3" w:rsidP="00C64AB3">
      <w:pPr>
        <w:ind w:firstLineChars="200" w:firstLine="422"/>
        <w:rPr>
          <w:rFonts w:ascii="宋体" w:eastAsia="宋体" w:hAnsi="宋体" w:cs="Times New Roman" w:hint="eastAsia"/>
          <w:b/>
          <w:szCs w:val="21"/>
        </w:rPr>
      </w:pPr>
      <w:r w:rsidRPr="00C64AB3">
        <w:rPr>
          <w:rFonts w:ascii="宋体" w:eastAsia="宋体" w:hAnsi="宋体" w:cs="Times New Roman" w:hint="eastAsia"/>
          <w:b/>
          <w:szCs w:val="21"/>
        </w:rPr>
        <w:t>（4）“5-20ML”（凡是响应为5ML、6ML、10ML或20ML，即为满足该项技术要求。</w:t>
      </w:r>
    </w:p>
    <w:p w14:paraId="6EFB4D25" w14:textId="77777777" w:rsidR="00C64AB3" w:rsidRPr="00C64AB3" w:rsidRDefault="00C64AB3" w:rsidP="00C64AB3">
      <w:pPr>
        <w:ind w:firstLineChars="200" w:firstLine="422"/>
        <w:rPr>
          <w:rFonts w:ascii="宋体" w:eastAsia="宋体" w:hAnsi="宋体" w:cs="Times New Roman"/>
          <w:b/>
          <w:szCs w:val="21"/>
        </w:rPr>
      </w:pPr>
      <w:r w:rsidRPr="00C64AB3">
        <w:rPr>
          <w:rFonts w:ascii="宋体" w:eastAsia="宋体" w:hAnsi="宋体" w:cs="Times New Roman" w:hint="eastAsia"/>
          <w:b/>
          <w:szCs w:val="21"/>
        </w:rPr>
        <w:t>（5）检验（检测）报告要求具有CMA、CNAS等标识的，若有材料证明相关检测事项不在实施该项检测的机构许可（认可）CMA、CNAS等资质范围内的，该检验（检测）报告视为不满足招标文件要求，按提供虚假文件评审。中标后采购人有权核查相关材料真实性，如发现有不实的，将按</w:t>
      </w:r>
      <w:proofErr w:type="gramStart"/>
      <w:r w:rsidRPr="00C64AB3">
        <w:rPr>
          <w:rFonts w:ascii="宋体" w:eastAsia="宋体" w:hAnsi="宋体" w:cs="Times New Roman" w:hint="eastAsia"/>
          <w:b/>
          <w:szCs w:val="21"/>
        </w:rPr>
        <w:t>虚假响应</w:t>
      </w:r>
      <w:proofErr w:type="gramEnd"/>
      <w:r w:rsidRPr="00C64AB3">
        <w:rPr>
          <w:rFonts w:ascii="宋体" w:eastAsia="宋体" w:hAnsi="宋体" w:cs="Times New Roman" w:hint="eastAsia"/>
          <w:b/>
          <w:szCs w:val="21"/>
        </w:rPr>
        <w:t>报主管部门处理。</w:t>
      </w:r>
    </w:p>
    <w:p w14:paraId="39CB7D60" w14:textId="77777777" w:rsidR="00C64AB3" w:rsidRPr="00C64AB3" w:rsidRDefault="00C64AB3" w:rsidP="00C64AB3">
      <w:pPr>
        <w:ind w:firstLineChars="200" w:firstLine="422"/>
        <w:rPr>
          <w:rFonts w:ascii="宋体" w:eastAsia="宋体" w:hAnsi="宋体" w:cs="Times New Roman" w:hint="eastAsia"/>
          <w:b/>
          <w:color w:val="FF0000"/>
          <w:szCs w:val="21"/>
        </w:rPr>
      </w:pPr>
      <w:r w:rsidRPr="00C64AB3">
        <w:rPr>
          <w:rFonts w:ascii="宋体" w:eastAsia="宋体" w:hAnsi="宋体" w:cs="Times New Roman" w:hint="eastAsia"/>
          <w:b/>
          <w:szCs w:val="21"/>
        </w:rPr>
        <w:t>（6）以下技术参数中，一个单元格中有多条参数的，按序号参数数量进行偏离打分（如同一个单元格中有序号1-8共8条参数，评分时即按8条参数进行偏离打分）。</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08"/>
        <w:gridCol w:w="1276"/>
        <w:gridCol w:w="5586"/>
      </w:tblGrid>
      <w:tr w:rsidR="00C64AB3" w:rsidRPr="00C64AB3" w14:paraId="7FD74291" w14:textId="77777777" w:rsidTr="0059125F">
        <w:tc>
          <w:tcPr>
            <w:tcW w:w="1101" w:type="dxa"/>
            <w:tcBorders>
              <w:top w:val="single" w:sz="4" w:space="0" w:color="auto"/>
              <w:left w:val="single" w:sz="4" w:space="0" w:color="auto"/>
              <w:bottom w:val="single" w:sz="4" w:space="0" w:color="auto"/>
              <w:right w:val="single" w:sz="4" w:space="0" w:color="auto"/>
            </w:tcBorders>
            <w:vAlign w:val="center"/>
          </w:tcPr>
          <w:p w14:paraId="4E95AC4F" w14:textId="77777777" w:rsidR="00C64AB3" w:rsidRPr="00C64AB3" w:rsidRDefault="00C64AB3" w:rsidP="00C64AB3">
            <w:pPr>
              <w:jc w:val="center"/>
              <w:rPr>
                <w:rFonts w:ascii="宋体" w:eastAsia="宋体" w:hAnsi="宋体" w:cs="等线" w:hint="eastAsia"/>
                <w:b/>
                <w:bCs/>
                <w:szCs w:val="21"/>
              </w:rPr>
            </w:pPr>
            <w:r w:rsidRPr="00C64AB3">
              <w:rPr>
                <w:rFonts w:ascii="宋体" w:eastAsia="宋体" w:hAnsi="宋体" w:cs="Times New Roman" w:hint="eastAsia"/>
                <w:b/>
                <w:bCs/>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14:paraId="5F0023C5" w14:textId="77777777" w:rsidR="00C64AB3" w:rsidRPr="00C64AB3" w:rsidRDefault="00C64AB3" w:rsidP="00C64AB3">
            <w:pPr>
              <w:jc w:val="center"/>
              <w:rPr>
                <w:rFonts w:ascii="宋体" w:eastAsia="宋体" w:hAnsi="宋体" w:cs="Times New Roman" w:hint="eastAsia"/>
                <w:b/>
                <w:bCs/>
                <w:szCs w:val="21"/>
              </w:rPr>
            </w:pPr>
            <w:r w:rsidRPr="00C64AB3">
              <w:rPr>
                <w:rFonts w:ascii="宋体" w:eastAsia="宋体" w:hAnsi="宋体" w:cs="Times New Roman" w:hint="eastAsia"/>
                <w:b/>
                <w:bCs/>
                <w:szCs w:val="21"/>
              </w:rPr>
              <w:t>模块</w:t>
            </w:r>
          </w:p>
        </w:tc>
        <w:tc>
          <w:tcPr>
            <w:tcW w:w="1276" w:type="dxa"/>
            <w:tcBorders>
              <w:top w:val="single" w:sz="4" w:space="0" w:color="auto"/>
              <w:left w:val="single" w:sz="4" w:space="0" w:color="auto"/>
              <w:bottom w:val="single" w:sz="4" w:space="0" w:color="auto"/>
              <w:right w:val="single" w:sz="4" w:space="0" w:color="auto"/>
            </w:tcBorders>
            <w:vAlign w:val="center"/>
          </w:tcPr>
          <w:p w14:paraId="23692AF0" w14:textId="77777777" w:rsidR="00C64AB3" w:rsidRPr="00C64AB3" w:rsidRDefault="00C64AB3" w:rsidP="00C64AB3">
            <w:pPr>
              <w:jc w:val="center"/>
              <w:rPr>
                <w:rFonts w:ascii="宋体" w:eastAsia="宋体" w:hAnsi="宋体" w:cs="Times New Roman" w:hint="eastAsia"/>
                <w:b/>
                <w:bCs/>
                <w:szCs w:val="21"/>
              </w:rPr>
            </w:pPr>
            <w:r w:rsidRPr="00C64AB3">
              <w:rPr>
                <w:rFonts w:ascii="宋体" w:eastAsia="宋体" w:hAnsi="宋体" w:cs="Times New Roman" w:hint="eastAsia"/>
                <w:b/>
                <w:bCs/>
                <w:szCs w:val="21"/>
              </w:rPr>
              <w:t>子项</w:t>
            </w:r>
          </w:p>
        </w:tc>
        <w:tc>
          <w:tcPr>
            <w:tcW w:w="5586" w:type="dxa"/>
            <w:tcBorders>
              <w:top w:val="single" w:sz="4" w:space="0" w:color="auto"/>
              <w:left w:val="single" w:sz="4" w:space="0" w:color="auto"/>
              <w:bottom w:val="single" w:sz="4" w:space="0" w:color="auto"/>
              <w:right w:val="single" w:sz="4" w:space="0" w:color="auto"/>
            </w:tcBorders>
            <w:vAlign w:val="center"/>
          </w:tcPr>
          <w:p w14:paraId="14A10205" w14:textId="77777777" w:rsidR="00C64AB3" w:rsidRPr="00C64AB3" w:rsidRDefault="00C64AB3" w:rsidP="00C64AB3">
            <w:pPr>
              <w:jc w:val="center"/>
              <w:rPr>
                <w:rFonts w:ascii="宋体" w:eastAsia="宋体" w:hAnsi="宋体" w:cs="Times New Roman" w:hint="eastAsia"/>
                <w:b/>
                <w:bCs/>
                <w:szCs w:val="21"/>
              </w:rPr>
            </w:pPr>
            <w:r w:rsidRPr="00C64AB3">
              <w:rPr>
                <w:rFonts w:ascii="宋体" w:eastAsia="宋体" w:hAnsi="宋体" w:cs="Times New Roman" w:hint="eastAsia"/>
                <w:b/>
                <w:bCs/>
                <w:szCs w:val="21"/>
              </w:rPr>
              <w:t>技术参数要求</w:t>
            </w:r>
          </w:p>
        </w:tc>
      </w:tr>
      <w:tr w:rsidR="00C64AB3" w:rsidRPr="00C64AB3" w14:paraId="2BD63091" w14:textId="77777777" w:rsidTr="0059125F">
        <w:tc>
          <w:tcPr>
            <w:tcW w:w="1101" w:type="dxa"/>
            <w:vMerge w:val="restart"/>
            <w:tcBorders>
              <w:top w:val="single" w:sz="4" w:space="0" w:color="auto"/>
              <w:left w:val="single" w:sz="4" w:space="0" w:color="auto"/>
              <w:right w:val="single" w:sz="4" w:space="0" w:color="auto"/>
            </w:tcBorders>
          </w:tcPr>
          <w:p w14:paraId="0021C332" w14:textId="77777777" w:rsidR="00C64AB3" w:rsidRPr="00C64AB3" w:rsidRDefault="00C64AB3" w:rsidP="00C64AB3">
            <w:pPr>
              <w:rPr>
                <w:rFonts w:ascii="宋体" w:eastAsia="宋体" w:hAnsi="宋体" w:cs="Times New Roman" w:hint="eastAsia"/>
                <w:b/>
                <w:bCs/>
                <w:szCs w:val="21"/>
              </w:rPr>
            </w:pPr>
          </w:p>
          <w:p w14:paraId="2A49F4DC" w14:textId="77777777" w:rsidR="00C64AB3" w:rsidRPr="00C64AB3" w:rsidRDefault="00C64AB3" w:rsidP="00C64AB3">
            <w:pPr>
              <w:rPr>
                <w:rFonts w:ascii="宋体" w:eastAsia="宋体" w:hAnsi="宋体" w:cs="Times New Roman" w:hint="eastAsia"/>
                <w:b/>
                <w:bCs/>
                <w:szCs w:val="21"/>
              </w:rPr>
            </w:pPr>
          </w:p>
          <w:p w14:paraId="72436F64" w14:textId="77777777" w:rsidR="00C64AB3" w:rsidRPr="00C64AB3" w:rsidRDefault="00C64AB3" w:rsidP="00C64AB3">
            <w:pPr>
              <w:rPr>
                <w:rFonts w:ascii="宋体" w:eastAsia="宋体" w:hAnsi="宋体" w:cs="Times New Roman" w:hint="eastAsia"/>
                <w:b/>
                <w:bCs/>
                <w:szCs w:val="21"/>
              </w:rPr>
            </w:pPr>
          </w:p>
          <w:p w14:paraId="201544E5" w14:textId="77777777" w:rsidR="00C64AB3" w:rsidRPr="00C64AB3" w:rsidRDefault="00C64AB3" w:rsidP="00C64AB3">
            <w:pPr>
              <w:rPr>
                <w:rFonts w:ascii="宋体" w:eastAsia="宋体" w:hAnsi="宋体" w:cs="Times New Roman" w:hint="eastAsia"/>
                <w:b/>
                <w:bCs/>
                <w:szCs w:val="21"/>
              </w:rPr>
            </w:pPr>
          </w:p>
          <w:p w14:paraId="6B00B884"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智慧药学</w:t>
            </w:r>
            <w:r w:rsidRPr="00C64AB3">
              <w:rPr>
                <w:rFonts w:ascii="宋体" w:eastAsia="宋体" w:hAnsi="宋体" w:cs="Times New Roman" w:hint="eastAsia"/>
                <w:b/>
                <w:bCs/>
                <w:szCs w:val="21"/>
              </w:rPr>
              <w:lastRenderedPageBreak/>
              <w:t>服务平台</w:t>
            </w:r>
          </w:p>
          <w:p w14:paraId="15B38A0E" w14:textId="77777777" w:rsidR="00C64AB3" w:rsidRPr="00C64AB3" w:rsidRDefault="00C64AB3" w:rsidP="00C64AB3">
            <w:pPr>
              <w:rPr>
                <w:rFonts w:ascii="宋体" w:eastAsia="宋体" w:hAnsi="宋体" w:cs="Times New Roman" w:hint="eastAsia"/>
                <w:b/>
                <w:bCs/>
                <w:szCs w:val="21"/>
              </w:rPr>
            </w:pPr>
          </w:p>
        </w:tc>
        <w:tc>
          <w:tcPr>
            <w:tcW w:w="1984" w:type="dxa"/>
            <w:gridSpan w:val="2"/>
            <w:tcBorders>
              <w:top w:val="single" w:sz="4" w:space="0" w:color="auto"/>
              <w:left w:val="single" w:sz="4" w:space="0" w:color="auto"/>
              <w:bottom w:val="single" w:sz="4" w:space="0" w:color="auto"/>
              <w:right w:val="single" w:sz="4" w:space="0" w:color="auto"/>
            </w:tcBorders>
          </w:tcPr>
          <w:p w14:paraId="23C3F65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lastRenderedPageBreak/>
              <w:t>数据回传</w:t>
            </w:r>
          </w:p>
        </w:tc>
        <w:tc>
          <w:tcPr>
            <w:tcW w:w="5586" w:type="dxa"/>
            <w:tcBorders>
              <w:top w:val="single" w:sz="4" w:space="0" w:color="auto"/>
              <w:left w:val="single" w:sz="4" w:space="0" w:color="auto"/>
              <w:bottom w:val="single" w:sz="4" w:space="0" w:color="auto"/>
              <w:right w:val="single" w:sz="4" w:space="0" w:color="auto"/>
            </w:tcBorders>
          </w:tcPr>
          <w:p w14:paraId="2FCECE89"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智慧药学服务平台要求能对接HIS、EMR系统，(包括但不限于</w:t>
            </w:r>
            <w:proofErr w:type="gramStart"/>
            <w:r w:rsidRPr="00C64AB3">
              <w:rPr>
                <w:rFonts w:ascii="宋体" w:eastAsia="宋体" w:hAnsi="宋体" w:cs="Times New Roman" w:hint="eastAsia"/>
                <w:b/>
                <w:bCs/>
                <w:szCs w:val="21"/>
              </w:rPr>
              <w:t>电子药历</w:t>
            </w:r>
            <w:proofErr w:type="gramEnd"/>
            <w:r w:rsidRPr="00C64AB3">
              <w:rPr>
                <w:rFonts w:ascii="宋体" w:eastAsia="宋体" w:hAnsi="宋体" w:cs="Times New Roman" w:hint="eastAsia"/>
                <w:b/>
                <w:bCs/>
                <w:szCs w:val="21"/>
              </w:rPr>
              <w:t>,监护记录、查房记录、医嘱审核、用药指导、收费等)，在病历系统生成相应表单供医生查看，同时可在药师</w:t>
            </w:r>
            <w:proofErr w:type="gramStart"/>
            <w:r w:rsidRPr="00C64AB3">
              <w:rPr>
                <w:rFonts w:ascii="宋体" w:eastAsia="宋体" w:hAnsi="宋体" w:cs="Times New Roman" w:hint="eastAsia"/>
                <w:b/>
                <w:bCs/>
                <w:szCs w:val="21"/>
              </w:rPr>
              <w:t>端决定</w:t>
            </w:r>
            <w:proofErr w:type="gramEnd"/>
            <w:r w:rsidRPr="00C64AB3">
              <w:rPr>
                <w:rFonts w:ascii="宋体" w:eastAsia="宋体" w:hAnsi="宋体" w:cs="Times New Roman" w:hint="eastAsia"/>
                <w:b/>
                <w:bCs/>
                <w:szCs w:val="21"/>
              </w:rPr>
              <w:t>哪些表单可供医生查看或打印归档，能符合药学服务项目收费要求。提供承诺函并加盖投标人公章。</w:t>
            </w:r>
          </w:p>
        </w:tc>
      </w:tr>
      <w:tr w:rsidR="00C64AB3" w:rsidRPr="00C64AB3" w14:paraId="6094314A" w14:textId="77777777" w:rsidTr="0059125F">
        <w:tc>
          <w:tcPr>
            <w:tcW w:w="1101" w:type="dxa"/>
            <w:vMerge/>
            <w:tcBorders>
              <w:left w:val="single" w:sz="4" w:space="0" w:color="auto"/>
              <w:right w:val="single" w:sz="4" w:space="0" w:color="auto"/>
            </w:tcBorders>
          </w:tcPr>
          <w:p w14:paraId="5311F980" w14:textId="77777777" w:rsidR="00C64AB3" w:rsidRPr="00C64AB3" w:rsidRDefault="00C64AB3" w:rsidP="00C64AB3">
            <w:pPr>
              <w:rPr>
                <w:rFonts w:ascii="宋体" w:eastAsia="宋体" w:hAnsi="宋体" w:cs="Times New Roman" w:hint="eastAsia"/>
                <w:szCs w:val="21"/>
              </w:rPr>
            </w:pPr>
          </w:p>
        </w:tc>
        <w:tc>
          <w:tcPr>
            <w:tcW w:w="708" w:type="dxa"/>
            <w:vMerge w:val="restart"/>
            <w:tcBorders>
              <w:top w:val="single" w:sz="4" w:space="0" w:color="auto"/>
              <w:left w:val="single" w:sz="4" w:space="0" w:color="auto"/>
              <w:bottom w:val="single" w:sz="4" w:space="0" w:color="auto"/>
              <w:right w:val="single" w:sz="4" w:space="0" w:color="auto"/>
            </w:tcBorders>
          </w:tcPr>
          <w:p w14:paraId="739D80A2" w14:textId="77777777" w:rsidR="00C64AB3" w:rsidRPr="00C64AB3" w:rsidRDefault="00C64AB3" w:rsidP="00C64AB3">
            <w:pPr>
              <w:rPr>
                <w:rFonts w:ascii="宋体" w:eastAsia="宋体" w:hAnsi="宋体" w:cs="Times New Roman" w:hint="eastAsia"/>
                <w:szCs w:val="21"/>
              </w:rPr>
            </w:pPr>
          </w:p>
          <w:p w14:paraId="7C5CBE95" w14:textId="77777777" w:rsidR="00C64AB3" w:rsidRPr="00C64AB3" w:rsidRDefault="00C64AB3" w:rsidP="00C64AB3">
            <w:pPr>
              <w:rPr>
                <w:rFonts w:ascii="宋体" w:eastAsia="宋体" w:hAnsi="宋体" w:cs="Times New Roman" w:hint="eastAsia"/>
                <w:szCs w:val="21"/>
              </w:rPr>
            </w:pPr>
          </w:p>
          <w:p w14:paraId="0D086486" w14:textId="77777777" w:rsidR="00C64AB3" w:rsidRPr="00C64AB3" w:rsidRDefault="00C64AB3" w:rsidP="00C64AB3">
            <w:pPr>
              <w:rPr>
                <w:rFonts w:ascii="宋体" w:eastAsia="宋体" w:hAnsi="宋体" w:cs="Times New Roman" w:hint="eastAsia"/>
                <w:szCs w:val="21"/>
              </w:rPr>
            </w:pPr>
          </w:p>
          <w:p w14:paraId="16052F0A" w14:textId="77777777" w:rsidR="00C64AB3" w:rsidRPr="00C64AB3" w:rsidRDefault="00C64AB3" w:rsidP="00C64AB3">
            <w:pPr>
              <w:rPr>
                <w:rFonts w:ascii="宋体" w:eastAsia="宋体" w:hAnsi="宋体" w:cs="Times New Roman" w:hint="eastAsia"/>
                <w:szCs w:val="21"/>
              </w:rPr>
            </w:pPr>
          </w:p>
          <w:p w14:paraId="5FEA5B9D" w14:textId="77777777" w:rsidR="00C64AB3" w:rsidRPr="00C64AB3" w:rsidRDefault="00C64AB3" w:rsidP="00C64AB3">
            <w:pPr>
              <w:rPr>
                <w:rFonts w:ascii="宋体" w:eastAsia="宋体" w:hAnsi="宋体" w:cs="Times New Roman" w:hint="eastAsia"/>
                <w:szCs w:val="21"/>
              </w:rPr>
            </w:pPr>
          </w:p>
          <w:p w14:paraId="3CC96CBA" w14:textId="77777777" w:rsidR="00C64AB3" w:rsidRPr="00C64AB3" w:rsidRDefault="00C64AB3" w:rsidP="00C64AB3">
            <w:pPr>
              <w:rPr>
                <w:rFonts w:ascii="宋体" w:eastAsia="宋体" w:hAnsi="宋体" w:cs="Times New Roman" w:hint="eastAsia"/>
                <w:szCs w:val="21"/>
              </w:rPr>
            </w:pPr>
          </w:p>
          <w:p w14:paraId="165CFB7B" w14:textId="77777777" w:rsidR="00C64AB3" w:rsidRPr="00C64AB3" w:rsidRDefault="00C64AB3" w:rsidP="00C64AB3">
            <w:pPr>
              <w:rPr>
                <w:rFonts w:ascii="宋体" w:eastAsia="宋体" w:hAnsi="宋体" w:cs="Times New Roman" w:hint="eastAsia"/>
                <w:szCs w:val="21"/>
              </w:rPr>
            </w:pPr>
          </w:p>
          <w:p w14:paraId="08286458" w14:textId="77777777" w:rsidR="00C64AB3" w:rsidRPr="00C64AB3" w:rsidRDefault="00C64AB3" w:rsidP="00C64AB3">
            <w:pPr>
              <w:rPr>
                <w:rFonts w:ascii="宋体" w:eastAsia="宋体" w:hAnsi="宋体" w:cs="Times New Roman" w:hint="eastAsia"/>
                <w:szCs w:val="21"/>
              </w:rPr>
            </w:pPr>
          </w:p>
          <w:p w14:paraId="109E4276" w14:textId="77777777" w:rsidR="00C64AB3" w:rsidRPr="00C64AB3" w:rsidRDefault="00C64AB3" w:rsidP="00C64AB3">
            <w:pPr>
              <w:rPr>
                <w:rFonts w:ascii="宋体" w:eastAsia="宋体" w:hAnsi="宋体" w:cs="Times New Roman" w:hint="eastAsia"/>
                <w:szCs w:val="21"/>
              </w:rPr>
            </w:pPr>
          </w:p>
          <w:p w14:paraId="22686F14" w14:textId="77777777" w:rsidR="00C64AB3" w:rsidRPr="00C64AB3" w:rsidRDefault="00C64AB3" w:rsidP="00C64AB3">
            <w:pPr>
              <w:rPr>
                <w:rFonts w:ascii="宋体" w:eastAsia="宋体" w:hAnsi="宋体" w:cs="Times New Roman" w:hint="eastAsia"/>
                <w:szCs w:val="21"/>
              </w:rPr>
            </w:pPr>
          </w:p>
          <w:p w14:paraId="1B7A0D50" w14:textId="77777777" w:rsidR="00C64AB3" w:rsidRPr="00C64AB3" w:rsidRDefault="00C64AB3" w:rsidP="00C64AB3">
            <w:pPr>
              <w:rPr>
                <w:rFonts w:ascii="宋体" w:eastAsia="宋体" w:hAnsi="宋体" w:cs="Times New Roman" w:hint="eastAsia"/>
                <w:szCs w:val="21"/>
              </w:rPr>
            </w:pPr>
          </w:p>
          <w:p w14:paraId="345D6EA2" w14:textId="77777777" w:rsidR="00C64AB3" w:rsidRPr="00C64AB3" w:rsidRDefault="00C64AB3" w:rsidP="00C64AB3">
            <w:pPr>
              <w:rPr>
                <w:rFonts w:ascii="宋体" w:eastAsia="宋体" w:hAnsi="宋体" w:cs="Times New Roman" w:hint="eastAsia"/>
                <w:szCs w:val="21"/>
              </w:rPr>
            </w:pPr>
          </w:p>
          <w:p w14:paraId="7F6A1C0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 xml:space="preserve">住院药学监护   </w:t>
            </w:r>
          </w:p>
        </w:tc>
        <w:tc>
          <w:tcPr>
            <w:tcW w:w="1276" w:type="dxa"/>
            <w:tcBorders>
              <w:top w:val="single" w:sz="4" w:space="0" w:color="auto"/>
              <w:left w:val="single" w:sz="4" w:space="0" w:color="auto"/>
              <w:bottom w:val="single" w:sz="4" w:space="0" w:color="auto"/>
              <w:right w:val="single" w:sz="4" w:space="0" w:color="auto"/>
            </w:tcBorders>
          </w:tcPr>
          <w:p w14:paraId="24C16CC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患者档案</w:t>
            </w:r>
          </w:p>
        </w:tc>
        <w:tc>
          <w:tcPr>
            <w:tcW w:w="5586" w:type="dxa"/>
            <w:tcBorders>
              <w:top w:val="single" w:sz="4" w:space="0" w:color="auto"/>
              <w:left w:val="single" w:sz="4" w:space="0" w:color="auto"/>
              <w:bottom w:val="single" w:sz="4" w:space="0" w:color="auto"/>
              <w:right w:val="single" w:sz="4" w:space="0" w:color="auto"/>
            </w:tcBorders>
          </w:tcPr>
          <w:p w14:paraId="2B77692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1.1.系统应能提供患者个人档案，方便药师查看患者历次就诊记录、药学服务记录。</w:t>
            </w:r>
          </w:p>
          <w:p w14:paraId="1F0A135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1.2.患者档案应包括个人信息、过敏史、药品不良反应史、基因检测、既往手术史、既往病史、诊疗记录等，药师可编辑。</w:t>
            </w:r>
          </w:p>
        </w:tc>
      </w:tr>
      <w:tr w:rsidR="00C64AB3" w:rsidRPr="00C64AB3" w14:paraId="4A6331AB" w14:textId="77777777" w:rsidTr="0059125F">
        <w:tc>
          <w:tcPr>
            <w:tcW w:w="1101" w:type="dxa"/>
            <w:vMerge/>
            <w:tcBorders>
              <w:left w:val="single" w:sz="4" w:space="0" w:color="auto"/>
              <w:right w:val="single" w:sz="4" w:space="0" w:color="auto"/>
            </w:tcBorders>
            <w:vAlign w:val="center"/>
          </w:tcPr>
          <w:p w14:paraId="3033D16E"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EF631DE"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55E3E15F" w14:textId="77777777" w:rsidR="00C64AB3" w:rsidRPr="00C64AB3" w:rsidRDefault="00C64AB3" w:rsidP="00C64AB3">
            <w:pPr>
              <w:rPr>
                <w:rFonts w:ascii="宋体" w:eastAsia="宋体" w:hAnsi="宋体" w:cs="Times New Roman" w:hint="eastAsia"/>
                <w:szCs w:val="21"/>
              </w:rPr>
            </w:pPr>
            <w:proofErr w:type="gramStart"/>
            <w:r w:rsidRPr="00C64AB3">
              <w:rPr>
                <w:rFonts w:ascii="宋体" w:eastAsia="宋体" w:hAnsi="宋体" w:cs="Times New Roman" w:hint="eastAsia"/>
                <w:szCs w:val="21"/>
              </w:rPr>
              <w:t>电子药历</w:t>
            </w:r>
            <w:proofErr w:type="gramEnd"/>
          </w:p>
        </w:tc>
        <w:tc>
          <w:tcPr>
            <w:tcW w:w="5586" w:type="dxa"/>
            <w:tcBorders>
              <w:top w:val="single" w:sz="4" w:space="0" w:color="auto"/>
              <w:left w:val="single" w:sz="4" w:space="0" w:color="auto"/>
              <w:bottom w:val="single" w:sz="4" w:space="0" w:color="auto"/>
              <w:right w:val="single" w:sz="4" w:space="0" w:color="auto"/>
            </w:tcBorders>
          </w:tcPr>
          <w:p w14:paraId="2249DD8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系统应能自动导入患者基本信息（包括患者基本信息、医嘱、检验、检查、手术、会诊、病程、历史诊疗、健康摘要、用药时序图、药品联用图、风险提示）</w:t>
            </w:r>
          </w:p>
          <w:p w14:paraId="06C4E3C8"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系统应提供工作药历、</w:t>
            </w:r>
            <w:proofErr w:type="gramStart"/>
            <w:r w:rsidRPr="00C64AB3">
              <w:rPr>
                <w:rFonts w:ascii="宋体" w:eastAsia="宋体" w:hAnsi="宋体" w:cs="Times New Roman" w:hint="eastAsia"/>
                <w:szCs w:val="21"/>
              </w:rPr>
              <w:t>教学药历填写</w:t>
            </w:r>
            <w:proofErr w:type="gramEnd"/>
            <w:r w:rsidRPr="00C64AB3">
              <w:rPr>
                <w:rFonts w:ascii="宋体" w:eastAsia="宋体" w:hAnsi="宋体" w:cs="Times New Roman" w:hint="eastAsia"/>
                <w:szCs w:val="21"/>
              </w:rPr>
              <w:t>模块，并提供</w:t>
            </w:r>
            <w:proofErr w:type="gramStart"/>
            <w:r w:rsidRPr="00C64AB3">
              <w:rPr>
                <w:rFonts w:ascii="宋体" w:eastAsia="宋体" w:hAnsi="宋体" w:cs="Times New Roman" w:hint="eastAsia"/>
                <w:szCs w:val="21"/>
              </w:rPr>
              <w:t>自定义药历内容</w:t>
            </w:r>
            <w:proofErr w:type="gramEnd"/>
            <w:r w:rsidRPr="00C64AB3">
              <w:rPr>
                <w:rFonts w:ascii="宋体" w:eastAsia="宋体" w:hAnsi="宋体" w:cs="Times New Roman" w:hint="eastAsia"/>
                <w:szCs w:val="21"/>
              </w:rPr>
              <w:t>、</w:t>
            </w:r>
            <w:proofErr w:type="gramStart"/>
            <w:r w:rsidRPr="00C64AB3">
              <w:rPr>
                <w:rFonts w:ascii="宋体" w:eastAsia="宋体" w:hAnsi="宋体" w:cs="Times New Roman" w:hint="eastAsia"/>
                <w:szCs w:val="21"/>
              </w:rPr>
              <w:t>药历审阅</w:t>
            </w:r>
            <w:proofErr w:type="gramEnd"/>
            <w:r w:rsidRPr="00C64AB3">
              <w:rPr>
                <w:rFonts w:ascii="宋体" w:eastAsia="宋体" w:hAnsi="宋体" w:cs="Times New Roman" w:hint="eastAsia"/>
                <w:szCs w:val="21"/>
              </w:rPr>
              <w:t>和工作量统计</w:t>
            </w:r>
          </w:p>
        </w:tc>
      </w:tr>
      <w:tr w:rsidR="00C64AB3" w:rsidRPr="00C64AB3" w14:paraId="698B2754" w14:textId="77777777" w:rsidTr="0059125F">
        <w:tc>
          <w:tcPr>
            <w:tcW w:w="1101" w:type="dxa"/>
            <w:vMerge/>
            <w:tcBorders>
              <w:left w:val="single" w:sz="4" w:space="0" w:color="auto"/>
              <w:right w:val="single" w:sz="4" w:space="0" w:color="auto"/>
            </w:tcBorders>
            <w:vAlign w:val="center"/>
          </w:tcPr>
          <w:p w14:paraId="5A7547EF"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0557B5B"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A6A429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监护范围</w:t>
            </w:r>
          </w:p>
        </w:tc>
        <w:tc>
          <w:tcPr>
            <w:tcW w:w="5586" w:type="dxa"/>
            <w:tcBorders>
              <w:top w:val="single" w:sz="4" w:space="0" w:color="auto"/>
              <w:left w:val="single" w:sz="4" w:space="0" w:color="auto"/>
              <w:bottom w:val="single" w:sz="4" w:space="0" w:color="auto"/>
              <w:right w:val="single" w:sz="4" w:space="0" w:color="auto"/>
            </w:tcBorders>
          </w:tcPr>
          <w:p w14:paraId="6989E10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系统应能按科室、病区、医疗组、主管医生设置监护范围，应能实现对监护范围内患者当日新开医嘱进行批量审查，方便药师开展监护工作。</w:t>
            </w:r>
          </w:p>
        </w:tc>
      </w:tr>
      <w:tr w:rsidR="00C64AB3" w:rsidRPr="00C64AB3" w14:paraId="58C24CD8" w14:textId="77777777" w:rsidTr="0059125F">
        <w:tc>
          <w:tcPr>
            <w:tcW w:w="1101" w:type="dxa"/>
            <w:vMerge/>
            <w:tcBorders>
              <w:left w:val="single" w:sz="4" w:space="0" w:color="auto"/>
              <w:right w:val="single" w:sz="4" w:space="0" w:color="auto"/>
            </w:tcBorders>
            <w:vAlign w:val="center"/>
          </w:tcPr>
          <w:p w14:paraId="1A70B488"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0CA9846"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2740B19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监护评级</w:t>
            </w:r>
          </w:p>
        </w:tc>
        <w:tc>
          <w:tcPr>
            <w:tcW w:w="5586" w:type="dxa"/>
            <w:tcBorders>
              <w:top w:val="single" w:sz="4" w:space="0" w:color="auto"/>
              <w:left w:val="single" w:sz="4" w:space="0" w:color="auto"/>
              <w:bottom w:val="single" w:sz="4" w:space="0" w:color="auto"/>
              <w:right w:val="single" w:sz="4" w:space="0" w:color="auto"/>
            </w:tcBorders>
          </w:tcPr>
          <w:p w14:paraId="77E9A094"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系统应具备可按需自定义评级指标的监护评级机制，可根据异常检验结果、异常生命体征、重点关注药品、用药品种数、是否存在特殊治疗将患者自动划分为一级、二级、三级药学监护，并根据监护级别推荐监护频率，药师可进行人工确认。提供承诺函并加盖投标人公章。</w:t>
            </w:r>
          </w:p>
        </w:tc>
      </w:tr>
      <w:tr w:rsidR="00C64AB3" w:rsidRPr="00C64AB3" w14:paraId="6604F90D" w14:textId="77777777" w:rsidTr="0059125F">
        <w:tc>
          <w:tcPr>
            <w:tcW w:w="1101" w:type="dxa"/>
            <w:vMerge/>
            <w:tcBorders>
              <w:left w:val="single" w:sz="4" w:space="0" w:color="auto"/>
              <w:right w:val="single" w:sz="4" w:space="0" w:color="auto"/>
            </w:tcBorders>
            <w:vAlign w:val="center"/>
          </w:tcPr>
          <w:p w14:paraId="310AD6B5"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7DBA83D"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0D1CE68"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重点关注病例</w:t>
            </w:r>
          </w:p>
        </w:tc>
        <w:tc>
          <w:tcPr>
            <w:tcW w:w="5586" w:type="dxa"/>
            <w:tcBorders>
              <w:top w:val="single" w:sz="4" w:space="0" w:color="auto"/>
              <w:left w:val="single" w:sz="4" w:space="0" w:color="auto"/>
              <w:bottom w:val="single" w:sz="4" w:space="0" w:color="auto"/>
              <w:right w:val="single" w:sz="4" w:space="0" w:color="auto"/>
            </w:tcBorders>
          </w:tcPr>
          <w:p w14:paraId="5BE81FA1"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4.1.</w:t>
            </w:r>
            <w:r w:rsidRPr="00C64AB3">
              <w:rPr>
                <w:rFonts w:ascii="宋体" w:eastAsia="宋体" w:hAnsi="宋体" w:cs="宋体" w:hint="eastAsia"/>
                <w:b/>
                <w:bCs/>
                <w:kern w:val="0"/>
                <w:szCs w:val="21"/>
              </w:rPr>
              <w:t xml:space="preserve"> ▲</w:t>
            </w:r>
            <w:r w:rsidRPr="00C64AB3">
              <w:rPr>
                <w:rFonts w:ascii="宋体" w:eastAsia="宋体" w:hAnsi="宋体" w:cs="Times New Roman" w:hint="eastAsia"/>
                <w:b/>
                <w:bCs/>
                <w:szCs w:val="21"/>
              </w:rPr>
              <w:t>系统应能自动筛选出需要重点监护的患者，包括新入院、待出院、3天内转入、一级/二级监护、未完成监护计划、肝肾损害、过敏、手术、医药公式与评估量表结果、执行中重点关注药品、执行中不合理医嘱、异常检验、异常体征和自定义患者。提供承诺函并加盖投标人公章。</w:t>
            </w:r>
          </w:p>
          <w:p w14:paraId="7312580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4.2.系统应能根据药品、疾病特点自定义患者，如VTE异常且未使用抗凝药、尿隐血阳性、万古霉素联</w:t>
            </w:r>
            <w:proofErr w:type="gramStart"/>
            <w:r w:rsidRPr="00C64AB3">
              <w:rPr>
                <w:rFonts w:ascii="宋体" w:eastAsia="宋体" w:hAnsi="宋体" w:cs="Times New Roman" w:hint="eastAsia"/>
                <w:szCs w:val="21"/>
              </w:rPr>
              <w:t>用阿奇霉素</w:t>
            </w:r>
            <w:proofErr w:type="gramEnd"/>
            <w:r w:rsidRPr="00C64AB3">
              <w:rPr>
                <w:rFonts w:ascii="宋体" w:eastAsia="宋体" w:hAnsi="宋体" w:cs="Times New Roman" w:hint="eastAsia"/>
                <w:szCs w:val="21"/>
              </w:rPr>
              <w:t>的患者，自定义要素包括但不限于药品、检查项目、检验结果、基因检测、出血风险、VTE风险、手术、切口类型、诊断和联合用药、用药天数、体重、年龄、住院天数。</w:t>
            </w:r>
          </w:p>
          <w:p w14:paraId="21C6E326"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4.3.</w:t>
            </w:r>
            <w:r w:rsidRPr="00C64AB3">
              <w:rPr>
                <w:rFonts w:ascii="宋体" w:eastAsia="宋体" w:hAnsi="宋体" w:cs="宋体" w:hint="eastAsia"/>
                <w:b/>
                <w:bCs/>
                <w:kern w:val="0"/>
                <w:szCs w:val="21"/>
              </w:rPr>
              <w:t xml:space="preserve"> </w:t>
            </w:r>
            <w:bookmarkStart w:id="7" w:name="OLE_LINK7"/>
            <w:bookmarkStart w:id="8" w:name="OLE_LINK6"/>
            <w:r w:rsidRPr="00C64AB3">
              <w:rPr>
                <w:rFonts w:ascii="宋体" w:eastAsia="宋体" w:hAnsi="宋体" w:cs="宋体" w:hint="eastAsia"/>
                <w:b/>
                <w:bCs/>
                <w:kern w:val="0"/>
                <w:szCs w:val="21"/>
              </w:rPr>
              <w:t>▲</w:t>
            </w:r>
            <w:bookmarkEnd w:id="7"/>
            <w:bookmarkEnd w:id="8"/>
            <w:r w:rsidRPr="00C64AB3">
              <w:rPr>
                <w:rFonts w:ascii="宋体" w:eastAsia="宋体" w:hAnsi="宋体" w:cs="Times New Roman" w:hint="eastAsia"/>
                <w:b/>
                <w:bCs/>
                <w:szCs w:val="21"/>
              </w:rPr>
              <w:t>自定义联合用药患者应提供同天使用、同点有交叉、同点有交叉或前后相差小于24小时的联用方式。提供承诺函并加盖投标人公章。</w:t>
            </w:r>
          </w:p>
        </w:tc>
      </w:tr>
      <w:tr w:rsidR="00C64AB3" w:rsidRPr="00C64AB3" w14:paraId="546784C0" w14:textId="77777777" w:rsidTr="0059125F">
        <w:tc>
          <w:tcPr>
            <w:tcW w:w="1101" w:type="dxa"/>
            <w:vMerge/>
            <w:tcBorders>
              <w:left w:val="single" w:sz="4" w:space="0" w:color="auto"/>
              <w:right w:val="single" w:sz="4" w:space="0" w:color="auto"/>
            </w:tcBorders>
            <w:vAlign w:val="center"/>
          </w:tcPr>
          <w:p w14:paraId="67D3562A"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19D7F6C"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022E16DF"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患者360视图</w:t>
            </w:r>
          </w:p>
        </w:tc>
        <w:tc>
          <w:tcPr>
            <w:tcW w:w="5586" w:type="dxa"/>
            <w:tcBorders>
              <w:top w:val="single" w:sz="4" w:space="0" w:color="auto"/>
              <w:left w:val="single" w:sz="4" w:space="0" w:color="auto"/>
              <w:bottom w:val="single" w:sz="4" w:space="0" w:color="auto"/>
              <w:right w:val="single" w:sz="4" w:space="0" w:color="auto"/>
            </w:tcBorders>
          </w:tcPr>
          <w:p w14:paraId="3D302B2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5.1.系统应整合患者数据方便药师查看，包括患者基本信息、医嘱、检验、检查、手术、会诊、病程、历史诊疗、健康摘要、用药时序图、风险提示。</w:t>
            </w:r>
          </w:p>
          <w:p w14:paraId="7BF51FBC"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5.2.</w:t>
            </w:r>
            <w:r w:rsidRPr="00C64AB3">
              <w:rPr>
                <w:rFonts w:ascii="宋体" w:eastAsia="宋体" w:hAnsi="宋体" w:cs="宋体" w:hint="eastAsia"/>
                <w:b/>
                <w:bCs/>
                <w:kern w:val="0"/>
                <w:szCs w:val="21"/>
              </w:rPr>
              <w:t xml:space="preserve"> ▲</w:t>
            </w:r>
            <w:r w:rsidRPr="00C64AB3">
              <w:rPr>
                <w:rFonts w:ascii="宋体" w:eastAsia="宋体" w:hAnsi="宋体" w:cs="Times New Roman" w:hint="eastAsia"/>
                <w:b/>
                <w:bCs/>
                <w:szCs w:val="21"/>
              </w:rPr>
              <w:t>基本信息应包括但不限于患者姓名、年龄、标记、体表面积、体重指数、入院诊断、肌酐清除率、过敏史、基因检测结果、医药公式与评估量表及结果。提供承诺函并加盖投标人公章。</w:t>
            </w:r>
          </w:p>
          <w:p w14:paraId="05CF5D98"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5.3.系统应高亮显示患者在用医嘱，并提供药疗/非药疗、长期/临时、三日内新开医嘱、出院带药、特殊标记医嘱、特殊药品属性供药师筛选。</w:t>
            </w:r>
          </w:p>
          <w:p w14:paraId="7F46521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5.4.系统应提供用药时序图自定义功能，药师可根据科室、疾病特点设置显示项目，包括呼吸、脉搏、体温、疼痛评分、血糖、内科/外科VTE风险、内科/外科出血风险、出/入量、</w:t>
            </w:r>
            <w:r w:rsidRPr="00C64AB3">
              <w:rPr>
                <w:rFonts w:ascii="宋体" w:eastAsia="宋体" w:hAnsi="宋体" w:cs="Times New Roman" w:hint="eastAsia"/>
                <w:szCs w:val="21"/>
              </w:rPr>
              <w:lastRenderedPageBreak/>
              <w:t>血压、体重、身高、手术、病原学送检、内生肌酐清除率、肾小球滤过率、医药公式与评估量表、药品、检验。</w:t>
            </w:r>
          </w:p>
          <w:p w14:paraId="47C7BC81"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5.5系统应能提供数据录入功能，方便药师手动补录患者检验检查和诊断等数据。</w:t>
            </w:r>
          </w:p>
          <w:p w14:paraId="549788C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5.6 系统应提供自定义事项提醒，药师可根据患者监护需要设置提醒内容及时间，方便药师及时处理。</w:t>
            </w:r>
          </w:p>
        </w:tc>
      </w:tr>
      <w:tr w:rsidR="00C64AB3" w:rsidRPr="00C64AB3" w14:paraId="06CBD9E0" w14:textId="77777777" w:rsidTr="0059125F">
        <w:tc>
          <w:tcPr>
            <w:tcW w:w="1101" w:type="dxa"/>
            <w:vMerge/>
            <w:tcBorders>
              <w:left w:val="single" w:sz="4" w:space="0" w:color="auto"/>
              <w:right w:val="single" w:sz="4" w:space="0" w:color="auto"/>
            </w:tcBorders>
            <w:vAlign w:val="center"/>
          </w:tcPr>
          <w:p w14:paraId="225C8BA6"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366273C"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0FC1106" w14:textId="77777777" w:rsidR="00C64AB3" w:rsidRPr="00C64AB3" w:rsidRDefault="00C64AB3" w:rsidP="00C64AB3">
            <w:pPr>
              <w:rPr>
                <w:rFonts w:ascii="宋体" w:eastAsia="宋体" w:hAnsi="宋体" w:cs="Times New Roman" w:hint="eastAsia"/>
                <w:szCs w:val="21"/>
              </w:rPr>
            </w:pPr>
            <w:proofErr w:type="gramStart"/>
            <w:r w:rsidRPr="00C64AB3">
              <w:rPr>
                <w:rFonts w:ascii="宋体" w:eastAsia="宋体" w:hAnsi="宋体" w:cs="Times New Roman" w:hint="eastAsia"/>
                <w:szCs w:val="21"/>
              </w:rPr>
              <w:t>监护全</w:t>
            </w:r>
            <w:proofErr w:type="gramEnd"/>
            <w:r w:rsidRPr="00C64AB3">
              <w:rPr>
                <w:rFonts w:ascii="宋体" w:eastAsia="宋体" w:hAnsi="宋体" w:cs="Times New Roman" w:hint="eastAsia"/>
                <w:szCs w:val="21"/>
              </w:rPr>
              <w:t>过程</w:t>
            </w:r>
          </w:p>
        </w:tc>
        <w:tc>
          <w:tcPr>
            <w:tcW w:w="5586" w:type="dxa"/>
            <w:tcBorders>
              <w:top w:val="single" w:sz="4" w:space="0" w:color="auto"/>
              <w:left w:val="single" w:sz="4" w:space="0" w:color="auto"/>
              <w:bottom w:val="single" w:sz="4" w:space="0" w:color="auto"/>
              <w:right w:val="single" w:sz="4" w:space="0" w:color="auto"/>
            </w:tcBorders>
          </w:tcPr>
          <w:p w14:paraId="3125E00F"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6.1.系统应提供入院评估表，内容包括患者一般资料、入院状况、既往用药了解程序、主要实验室检查结果、风险评估、依从性评估、疾病认识。应可导入既往入院评估。</w:t>
            </w:r>
          </w:p>
          <w:p w14:paraId="151160D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6.2.系统应提供程序审查结果、药品说明书、注意事项辅助药师进行合理用药审查，应支持药师将不合理医嘱一键生成用药建议，反馈给临床医生并记录医生采纳情况。</w:t>
            </w:r>
          </w:p>
          <w:p w14:paraId="56BDC7B7"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6.3.</w:t>
            </w:r>
            <w:r w:rsidRPr="00C64AB3">
              <w:rPr>
                <w:rFonts w:ascii="宋体" w:eastAsia="宋体" w:hAnsi="宋体" w:cs="宋体" w:hint="eastAsia"/>
                <w:b/>
                <w:bCs/>
                <w:kern w:val="0"/>
                <w:szCs w:val="21"/>
              </w:rPr>
              <w:t xml:space="preserve"> ▲</w:t>
            </w:r>
            <w:r w:rsidRPr="00C64AB3">
              <w:rPr>
                <w:rFonts w:ascii="宋体" w:eastAsia="宋体" w:hAnsi="宋体" w:cs="Times New Roman" w:hint="eastAsia"/>
                <w:b/>
                <w:bCs/>
                <w:szCs w:val="21"/>
              </w:rPr>
              <w:t>系统应能自动导入患者在用医嘱，快速生成药物重整计划，应支持药师将重整计划反馈给临床医生并记录医生采纳情况。应可导入既往重整计划。提供承诺函并加盖投标人公章。</w:t>
            </w:r>
          </w:p>
          <w:p w14:paraId="49A3919E"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6.4.系统应提供导入历史监护计划、监护计划模板快捷输入、医嘱/检验/检查自动导入功能、医嘱/检验值模糊查找功能，帮助药师快速生成监护计划。</w:t>
            </w:r>
          </w:p>
          <w:p w14:paraId="231647F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6.5.系统应提供监护日志模板，内容包括监护日期、病情变化、修正诊断、药学问诊、问题及患者反馈、治疗方案、新开药品、停</w:t>
            </w:r>
            <w:proofErr w:type="gramStart"/>
            <w:r w:rsidRPr="00C64AB3">
              <w:rPr>
                <w:rFonts w:ascii="宋体" w:eastAsia="宋体" w:hAnsi="宋体" w:cs="Times New Roman" w:hint="eastAsia"/>
                <w:szCs w:val="21"/>
              </w:rPr>
              <w:t>嘱</w:t>
            </w:r>
            <w:proofErr w:type="gramEnd"/>
            <w:r w:rsidRPr="00C64AB3">
              <w:rPr>
                <w:rFonts w:ascii="宋体" w:eastAsia="宋体" w:hAnsi="宋体" w:cs="Times New Roman" w:hint="eastAsia"/>
                <w:szCs w:val="21"/>
              </w:rPr>
              <w:t>药品、实验室检查结果更新、药学分析与建议，药师应可根据需要自定义填写内容。</w:t>
            </w:r>
          </w:p>
          <w:p w14:paraId="28D2D7D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6.6.系统应能根据患者已有基因检测结果、血药浓度结果提醒药师制定个体化用药方案</w:t>
            </w:r>
            <w:bookmarkStart w:id="9" w:name="OLE_LINK4"/>
            <w:bookmarkStart w:id="10" w:name="OLE_LINK5"/>
            <w:r w:rsidRPr="00C64AB3">
              <w:rPr>
                <w:rFonts w:ascii="宋体" w:eastAsia="宋体" w:hAnsi="宋体" w:cs="Times New Roman" w:hint="eastAsia"/>
                <w:szCs w:val="21"/>
              </w:rPr>
              <w:t>。</w:t>
            </w:r>
            <w:bookmarkStart w:id="11" w:name="OLE_LINK3"/>
            <w:r w:rsidRPr="00C64AB3">
              <w:rPr>
                <w:rFonts w:ascii="宋体" w:eastAsia="宋体" w:hAnsi="宋体" w:cs="Times New Roman" w:hint="eastAsia"/>
                <w:szCs w:val="21"/>
              </w:rPr>
              <w:t>应提供药动学模型协助药师调整用量。</w:t>
            </w:r>
          </w:p>
          <w:bookmarkEnd w:id="9"/>
          <w:bookmarkEnd w:id="10"/>
          <w:bookmarkEnd w:id="11"/>
          <w:p w14:paraId="3BAE630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6.7.系统应支持药师将用药建议一键生成监护计划，提高药师填写效率。系统应能支持药师将用药建议发送给临床医生并记录医生对于该用药建议的采纳情况，发送方式应为医生工作站消息提示。系统应支持用药建议智能分析功能，应能自动读取并分析医生行为，智能判断医生是否采纳建议。药师可在程序评估结果的基础上人工确认。</w:t>
            </w:r>
          </w:p>
          <w:p w14:paraId="2C194E1F"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6.8.系统应能自动生成患者全程化药学监护记录，并根据监护记录内容生成“新入院患者药学监护记录表”、“在院患者药学监护记录表”。</w:t>
            </w:r>
          </w:p>
          <w:p w14:paraId="61D6C18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6.9系统应支持医生在工作站、电子病历等系统中自主查看监护评级、监护计划、监护日志、用药建议、药物重整计划、个体化用药方案、风险评估。</w:t>
            </w:r>
          </w:p>
        </w:tc>
      </w:tr>
      <w:tr w:rsidR="00C64AB3" w:rsidRPr="00C64AB3" w14:paraId="394D0F79" w14:textId="77777777" w:rsidTr="0059125F">
        <w:tc>
          <w:tcPr>
            <w:tcW w:w="1101" w:type="dxa"/>
            <w:vMerge/>
            <w:tcBorders>
              <w:left w:val="single" w:sz="4" w:space="0" w:color="auto"/>
              <w:right w:val="single" w:sz="4" w:space="0" w:color="auto"/>
            </w:tcBorders>
            <w:vAlign w:val="center"/>
          </w:tcPr>
          <w:p w14:paraId="55721AD3"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57BF030"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EBA2B9E"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专项监护</w:t>
            </w:r>
          </w:p>
        </w:tc>
        <w:tc>
          <w:tcPr>
            <w:tcW w:w="5586" w:type="dxa"/>
            <w:tcBorders>
              <w:top w:val="single" w:sz="4" w:space="0" w:color="auto"/>
              <w:left w:val="single" w:sz="4" w:space="0" w:color="auto"/>
              <w:bottom w:val="single" w:sz="4" w:space="0" w:color="auto"/>
              <w:right w:val="single" w:sz="4" w:space="0" w:color="auto"/>
            </w:tcBorders>
          </w:tcPr>
          <w:p w14:paraId="57281F7E"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系统应能实现批量医嘱审核功能，快速发现不合理医嘱，提高药师医嘱审核效率。系统应能提供药学会诊、血药浓度/基因检测个体化治疗方案随访管理功能，并记录医生对个体化治疗方案的采纳情况。提供承诺函并加盖投标人公章。</w:t>
            </w:r>
          </w:p>
        </w:tc>
      </w:tr>
      <w:tr w:rsidR="00C64AB3" w:rsidRPr="00C64AB3" w14:paraId="0235C64E" w14:textId="77777777" w:rsidTr="0059125F">
        <w:tc>
          <w:tcPr>
            <w:tcW w:w="1101" w:type="dxa"/>
            <w:vMerge/>
            <w:tcBorders>
              <w:left w:val="single" w:sz="4" w:space="0" w:color="auto"/>
              <w:right w:val="single" w:sz="4" w:space="0" w:color="auto"/>
            </w:tcBorders>
            <w:vAlign w:val="center"/>
          </w:tcPr>
          <w:p w14:paraId="5C57619B"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F48708B"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39125A4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带</w:t>
            </w:r>
            <w:proofErr w:type="gramStart"/>
            <w:r w:rsidRPr="00C64AB3">
              <w:rPr>
                <w:rFonts w:ascii="宋体" w:eastAsia="宋体" w:hAnsi="宋体" w:cs="Times New Roman" w:hint="eastAsia"/>
                <w:szCs w:val="21"/>
              </w:rPr>
              <w:t>教学习</w:t>
            </w:r>
            <w:proofErr w:type="gramEnd"/>
          </w:p>
        </w:tc>
        <w:tc>
          <w:tcPr>
            <w:tcW w:w="5586" w:type="dxa"/>
            <w:tcBorders>
              <w:top w:val="single" w:sz="4" w:space="0" w:color="auto"/>
              <w:left w:val="single" w:sz="4" w:space="0" w:color="auto"/>
              <w:bottom w:val="single" w:sz="4" w:space="0" w:color="auto"/>
              <w:right w:val="single" w:sz="4" w:space="0" w:color="auto"/>
            </w:tcBorders>
          </w:tcPr>
          <w:p w14:paraId="101EA1E7"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系统应提供带教模块，学生填写的药学记录需提交老师审核。提供承诺函并加盖投标人公章。</w:t>
            </w:r>
          </w:p>
        </w:tc>
      </w:tr>
      <w:tr w:rsidR="00C64AB3" w:rsidRPr="00C64AB3" w14:paraId="0DB0F70D" w14:textId="77777777" w:rsidTr="0059125F">
        <w:tc>
          <w:tcPr>
            <w:tcW w:w="1101" w:type="dxa"/>
            <w:vMerge/>
            <w:tcBorders>
              <w:left w:val="single" w:sz="4" w:space="0" w:color="auto"/>
              <w:right w:val="single" w:sz="4" w:space="0" w:color="auto"/>
            </w:tcBorders>
            <w:vAlign w:val="center"/>
          </w:tcPr>
          <w:p w14:paraId="64055854"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1A7EFC"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5F866CA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药学记录</w:t>
            </w:r>
          </w:p>
        </w:tc>
        <w:tc>
          <w:tcPr>
            <w:tcW w:w="5586" w:type="dxa"/>
            <w:tcBorders>
              <w:top w:val="single" w:sz="4" w:space="0" w:color="auto"/>
              <w:left w:val="single" w:sz="4" w:space="0" w:color="auto"/>
              <w:bottom w:val="single" w:sz="4" w:space="0" w:color="auto"/>
              <w:right w:val="single" w:sz="4" w:space="0" w:color="auto"/>
            </w:tcBorders>
          </w:tcPr>
          <w:p w14:paraId="43040E9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系统应能自动生成我的监护病例/查房备注/带教学习、全院监护记录/发送记录/带教学习、用药建议采纳情况等药学记录供药师查询、处理。系统应支持批量生成查房备注，减少药师填写工作量。</w:t>
            </w:r>
          </w:p>
        </w:tc>
      </w:tr>
      <w:tr w:rsidR="00C64AB3" w:rsidRPr="00C64AB3" w14:paraId="3CD51C9E" w14:textId="77777777" w:rsidTr="0059125F">
        <w:tc>
          <w:tcPr>
            <w:tcW w:w="1101" w:type="dxa"/>
            <w:vMerge/>
            <w:tcBorders>
              <w:left w:val="single" w:sz="4" w:space="0" w:color="auto"/>
              <w:right w:val="single" w:sz="4" w:space="0" w:color="auto"/>
            </w:tcBorders>
            <w:vAlign w:val="center"/>
          </w:tcPr>
          <w:p w14:paraId="59025DAD"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AD09947"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3F95140E"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药学查房</w:t>
            </w:r>
          </w:p>
        </w:tc>
        <w:tc>
          <w:tcPr>
            <w:tcW w:w="5586" w:type="dxa"/>
            <w:tcBorders>
              <w:top w:val="single" w:sz="4" w:space="0" w:color="auto"/>
              <w:left w:val="single" w:sz="4" w:space="0" w:color="auto"/>
              <w:bottom w:val="single" w:sz="4" w:space="0" w:color="auto"/>
              <w:right w:val="single" w:sz="4" w:space="0" w:color="auto"/>
            </w:tcBorders>
          </w:tcPr>
          <w:p w14:paraId="552F4011" w14:textId="77777777" w:rsidR="00C64AB3" w:rsidRPr="00C64AB3" w:rsidRDefault="00C64AB3" w:rsidP="00C64AB3">
            <w:pPr>
              <w:jc w:val="left"/>
              <w:rPr>
                <w:rFonts w:ascii="宋体" w:eastAsia="宋体" w:hAnsi="宋体" w:cs="Times New Roman"/>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系统应提供移动端程序协助药师完成药学查房，</w:t>
            </w:r>
            <w:proofErr w:type="gramStart"/>
            <w:r w:rsidRPr="00C64AB3">
              <w:rPr>
                <w:rFonts w:ascii="宋体" w:eastAsia="宋体" w:hAnsi="宋体" w:cs="Times New Roman" w:hint="eastAsia"/>
                <w:b/>
                <w:bCs/>
                <w:szCs w:val="21"/>
              </w:rPr>
              <w:t>移动端应提供</w:t>
            </w:r>
            <w:proofErr w:type="gramEnd"/>
            <w:r w:rsidRPr="00C64AB3">
              <w:rPr>
                <w:rFonts w:ascii="宋体" w:eastAsia="宋体" w:hAnsi="宋体" w:cs="Times New Roman" w:hint="eastAsia"/>
                <w:b/>
                <w:bCs/>
                <w:szCs w:val="21"/>
              </w:rPr>
              <w:t xml:space="preserve"> iOS/Android 双平台 APP</w:t>
            </w:r>
          </w:p>
          <w:p w14:paraId="10B9A3FF"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应支持查看患者360视图并简单备注查房前准备和查房时情况。应提供查房备注模板，方便药师快速填写。提供承诺函并加盖投标人公章。</w:t>
            </w:r>
          </w:p>
        </w:tc>
      </w:tr>
      <w:tr w:rsidR="00C64AB3" w:rsidRPr="00C64AB3" w14:paraId="545433CB" w14:textId="77777777" w:rsidTr="0059125F">
        <w:tc>
          <w:tcPr>
            <w:tcW w:w="1101" w:type="dxa"/>
            <w:vMerge/>
            <w:tcBorders>
              <w:left w:val="single" w:sz="4" w:space="0" w:color="auto"/>
              <w:right w:val="single" w:sz="4" w:space="0" w:color="auto"/>
            </w:tcBorders>
            <w:vAlign w:val="center"/>
          </w:tcPr>
          <w:p w14:paraId="56B7AEF7"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FC02434"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6939BD0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用药咨询</w:t>
            </w:r>
          </w:p>
        </w:tc>
        <w:tc>
          <w:tcPr>
            <w:tcW w:w="5586" w:type="dxa"/>
            <w:tcBorders>
              <w:top w:val="single" w:sz="4" w:space="0" w:color="auto"/>
              <w:left w:val="single" w:sz="4" w:space="0" w:color="auto"/>
              <w:bottom w:val="single" w:sz="4" w:space="0" w:color="auto"/>
              <w:right w:val="single" w:sz="4" w:space="0" w:color="auto"/>
            </w:tcBorders>
          </w:tcPr>
          <w:p w14:paraId="6714883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11.1.线下咨询</w:t>
            </w:r>
          </w:p>
          <w:p w14:paraId="19BB3A78"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系统应支持药师记录门诊患者、住院患者、患者亲友、医生、护士发起的线下用药咨询及药师解答，应支持延答复操作，方便药师查找暂未答复的问题。</w:t>
            </w:r>
          </w:p>
          <w:p w14:paraId="3EBECAD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11.2.医生咨询</w:t>
            </w:r>
          </w:p>
          <w:p w14:paraId="3877506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系统应支持医生在工作站向药师发起用药咨询。</w:t>
            </w:r>
          </w:p>
        </w:tc>
      </w:tr>
      <w:tr w:rsidR="00C64AB3" w:rsidRPr="00C64AB3" w14:paraId="0358129E" w14:textId="77777777" w:rsidTr="0059125F">
        <w:tc>
          <w:tcPr>
            <w:tcW w:w="1101" w:type="dxa"/>
            <w:vMerge/>
            <w:tcBorders>
              <w:left w:val="single" w:sz="4" w:space="0" w:color="auto"/>
              <w:right w:val="single" w:sz="4" w:space="0" w:color="auto"/>
            </w:tcBorders>
            <w:vAlign w:val="center"/>
          </w:tcPr>
          <w:p w14:paraId="3D53CB50"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2AB8A5D"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9E7E48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用药指导</w:t>
            </w:r>
          </w:p>
        </w:tc>
        <w:tc>
          <w:tcPr>
            <w:tcW w:w="5586" w:type="dxa"/>
            <w:tcBorders>
              <w:top w:val="single" w:sz="4" w:space="0" w:color="auto"/>
              <w:left w:val="single" w:sz="4" w:space="0" w:color="auto"/>
              <w:bottom w:val="single" w:sz="4" w:space="0" w:color="auto"/>
              <w:right w:val="single" w:sz="4" w:space="0" w:color="auto"/>
            </w:tcBorders>
          </w:tcPr>
          <w:p w14:paraId="7036171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12.1.系统应支持自动生成用药指导单，包括用药清单（药品名称/规格/厂家/发药数量/用法用量/等）、药品注意事项、服药时间表、错时给药、食物宜忌事项、其他注意事项。应支持药师设置特殊周剂量、月剂量给药方案。</w:t>
            </w:r>
          </w:p>
          <w:p w14:paraId="662061E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12.2.系统应支持将用药指导单打印给患者。</w:t>
            </w:r>
          </w:p>
        </w:tc>
      </w:tr>
      <w:tr w:rsidR="00C64AB3" w:rsidRPr="00C64AB3" w14:paraId="526F927B" w14:textId="77777777" w:rsidTr="0059125F">
        <w:tc>
          <w:tcPr>
            <w:tcW w:w="1101" w:type="dxa"/>
            <w:vMerge/>
            <w:tcBorders>
              <w:left w:val="single" w:sz="4" w:space="0" w:color="auto"/>
              <w:right w:val="single" w:sz="4" w:space="0" w:color="auto"/>
            </w:tcBorders>
            <w:vAlign w:val="center"/>
          </w:tcPr>
          <w:p w14:paraId="64CEE002"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F7497CC"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66F05C9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统计分析</w:t>
            </w:r>
          </w:p>
        </w:tc>
        <w:tc>
          <w:tcPr>
            <w:tcW w:w="5586" w:type="dxa"/>
            <w:tcBorders>
              <w:top w:val="single" w:sz="4" w:space="0" w:color="auto"/>
              <w:left w:val="single" w:sz="4" w:space="0" w:color="auto"/>
              <w:bottom w:val="single" w:sz="4" w:space="0" w:color="auto"/>
              <w:right w:val="single" w:sz="4" w:space="0" w:color="auto"/>
            </w:tcBorders>
          </w:tcPr>
          <w:p w14:paraId="2E1D649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系统应能根据药师工作内容生成以下报表：</w:t>
            </w:r>
          </w:p>
          <w:p w14:paraId="38A8331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13.1.住院监护</w:t>
            </w:r>
          </w:p>
          <w:p w14:paraId="27BC00F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医嘱审核汇总</w:t>
            </w:r>
          </w:p>
          <w:p w14:paraId="727D21B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应能按药师、科室、主管医生维度统计医嘱审核情况，如审核数、医嘱</w:t>
            </w:r>
            <w:proofErr w:type="gramStart"/>
            <w:r w:rsidRPr="00C64AB3">
              <w:rPr>
                <w:rFonts w:ascii="宋体" w:eastAsia="宋体" w:hAnsi="宋体" w:cs="Times New Roman" w:hint="eastAsia"/>
                <w:szCs w:val="21"/>
              </w:rPr>
              <w:t>审核占</w:t>
            </w:r>
            <w:proofErr w:type="gramEnd"/>
            <w:r w:rsidRPr="00C64AB3">
              <w:rPr>
                <w:rFonts w:ascii="宋体" w:eastAsia="宋体" w:hAnsi="宋体" w:cs="Times New Roman" w:hint="eastAsia"/>
                <w:szCs w:val="21"/>
              </w:rPr>
              <w:t>比、不合理医嘱数等</w:t>
            </w:r>
          </w:p>
          <w:p w14:paraId="45839FEE"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药学监护记录汇总</w:t>
            </w:r>
          </w:p>
          <w:p w14:paraId="659B52B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应能按药师、科室、全院维度统计药学监护各项记录数及全院趋势分析，包括但不限于监护计划/日志数、用药建议、药物</w:t>
            </w:r>
            <w:proofErr w:type="gramStart"/>
            <w:r w:rsidRPr="00C64AB3">
              <w:rPr>
                <w:rFonts w:ascii="宋体" w:eastAsia="宋体" w:hAnsi="宋体" w:cs="Times New Roman" w:hint="eastAsia"/>
                <w:szCs w:val="21"/>
              </w:rPr>
              <w:t>重整数</w:t>
            </w:r>
            <w:proofErr w:type="gramEnd"/>
            <w:r w:rsidRPr="00C64AB3">
              <w:rPr>
                <w:rFonts w:ascii="宋体" w:eastAsia="宋体" w:hAnsi="宋体" w:cs="Times New Roman" w:hint="eastAsia"/>
                <w:szCs w:val="21"/>
              </w:rPr>
              <w:t>等。</w:t>
            </w:r>
          </w:p>
          <w:p w14:paraId="12C012F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w:t>
            </w:r>
            <w:r w:rsidRPr="00C64AB3">
              <w:rPr>
                <w:rFonts w:ascii="宋体" w:eastAsia="宋体" w:hAnsi="宋体" w:cs="Times New Roman" w:hint="eastAsia"/>
                <w:szCs w:val="21"/>
              </w:rPr>
              <w:tab/>
              <w:t>出院病人药学监护统计</w:t>
            </w:r>
          </w:p>
          <w:p w14:paraId="6DA540B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药学监护病人清单表</w:t>
            </w:r>
          </w:p>
          <w:p w14:paraId="77B066E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科室药学监护病人数统计</w:t>
            </w:r>
          </w:p>
          <w:p w14:paraId="45695FA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w:t>
            </w:r>
            <w:r w:rsidRPr="00C64AB3">
              <w:rPr>
                <w:rFonts w:ascii="宋体" w:eastAsia="宋体" w:hAnsi="宋体" w:cs="Times New Roman" w:hint="eastAsia"/>
                <w:szCs w:val="21"/>
              </w:rPr>
              <w:tab/>
              <w:t>全院药学监护病人数统计</w:t>
            </w:r>
          </w:p>
          <w:p w14:paraId="76873D2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w:t>
            </w:r>
            <w:r w:rsidRPr="00C64AB3">
              <w:rPr>
                <w:rFonts w:ascii="宋体" w:eastAsia="宋体" w:hAnsi="宋体" w:cs="Times New Roman" w:hint="eastAsia"/>
                <w:szCs w:val="21"/>
              </w:rPr>
              <w:tab/>
              <w:t>用药建议原因分析</w:t>
            </w:r>
          </w:p>
          <w:p w14:paraId="3D41861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w:t>
            </w:r>
            <w:r w:rsidRPr="00C64AB3">
              <w:rPr>
                <w:rFonts w:ascii="宋体" w:eastAsia="宋体" w:hAnsi="宋体" w:cs="Times New Roman" w:hint="eastAsia"/>
                <w:szCs w:val="21"/>
              </w:rPr>
              <w:tab/>
              <w:t>用药建议发送分析</w:t>
            </w:r>
          </w:p>
          <w:p w14:paraId="15C2E01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w:t>
            </w:r>
            <w:r w:rsidRPr="00C64AB3">
              <w:rPr>
                <w:rFonts w:ascii="宋体" w:eastAsia="宋体" w:hAnsi="宋体" w:cs="Times New Roman" w:hint="eastAsia"/>
                <w:szCs w:val="21"/>
              </w:rPr>
              <w:tab/>
              <w:t>药物重整发送分析</w:t>
            </w:r>
          </w:p>
          <w:p w14:paraId="701B151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（7）</w:t>
            </w:r>
            <w:r w:rsidRPr="00C64AB3">
              <w:rPr>
                <w:rFonts w:ascii="宋体" w:eastAsia="宋体" w:hAnsi="宋体" w:cs="Times New Roman" w:hint="eastAsia"/>
                <w:szCs w:val="21"/>
              </w:rPr>
              <w:tab/>
              <w:t>查房打卡汇总统计</w:t>
            </w:r>
          </w:p>
          <w:p w14:paraId="5A03F0AF"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13.2.用药咨询</w:t>
            </w:r>
          </w:p>
          <w:p w14:paraId="64355CB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个人工作量统计</w:t>
            </w:r>
          </w:p>
          <w:p w14:paraId="6E339F7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问题类型统计</w:t>
            </w:r>
          </w:p>
          <w:p w14:paraId="4D798C2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w:t>
            </w:r>
            <w:r w:rsidRPr="00C64AB3">
              <w:rPr>
                <w:rFonts w:ascii="宋体" w:eastAsia="宋体" w:hAnsi="宋体" w:cs="Times New Roman" w:hint="eastAsia"/>
                <w:szCs w:val="21"/>
              </w:rPr>
              <w:tab/>
              <w:t>药理类别统计</w:t>
            </w:r>
          </w:p>
          <w:p w14:paraId="4B024148"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13.3.用药指导</w:t>
            </w:r>
          </w:p>
          <w:p w14:paraId="308F38D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指导原因统计</w:t>
            </w:r>
          </w:p>
          <w:p w14:paraId="0183F66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药品统计</w:t>
            </w:r>
          </w:p>
          <w:p w14:paraId="3E90C20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lastRenderedPageBreak/>
              <w:t>（3）</w:t>
            </w:r>
            <w:r w:rsidRPr="00C64AB3">
              <w:rPr>
                <w:rFonts w:ascii="宋体" w:eastAsia="宋体" w:hAnsi="宋体" w:cs="Times New Roman" w:hint="eastAsia"/>
                <w:szCs w:val="21"/>
              </w:rPr>
              <w:tab/>
              <w:t>药理类别统计</w:t>
            </w:r>
          </w:p>
        </w:tc>
      </w:tr>
      <w:tr w:rsidR="00C64AB3" w:rsidRPr="00C64AB3" w14:paraId="10EB4411" w14:textId="77777777" w:rsidTr="0059125F">
        <w:tc>
          <w:tcPr>
            <w:tcW w:w="1101" w:type="dxa"/>
            <w:vMerge/>
            <w:tcBorders>
              <w:left w:val="single" w:sz="4" w:space="0" w:color="auto"/>
              <w:right w:val="single" w:sz="4" w:space="0" w:color="auto"/>
            </w:tcBorders>
            <w:vAlign w:val="center"/>
          </w:tcPr>
          <w:p w14:paraId="1D535021" w14:textId="77777777" w:rsidR="00C64AB3" w:rsidRPr="00C64AB3" w:rsidRDefault="00C64AB3" w:rsidP="00C64AB3">
            <w:pPr>
              <w:widowControl/>
              <w:jc w:val="left"/>
              <w:rPr>
                <w:rFonts w:ascii="宋体" w:eastAsia="宋体" w:hAnsi="宋体" w:cs="Times New Roman"/>
                <w:szCs w:val="21"/>
              </w:rPr>
            </w:pPr>
          </w:p>
        </w:tc>
        <w:tc>
          <w:tcPr>
            <w:tcW w:w="708" w:type="dxa"/>
            <w:vMerge w:val="restart"/>
            <w:tcBorders>
              <w:top w:val="single" w:sz="4" w:space="0" w:color="auto"/>
              <w:left w:val="single" w:sz="4" w:space="0" w:color="auto"/>
              <w:bottom w:val="single" w:sz="4" w:space="0" w:color="auto"/>
              <w:right w:val="single" w:sz="4" w:space="0" w:color="auto"/>
            </w:tcBorders>
          </w:tcPr>
          <w:p w14:paraId="2035B47E" w14:textId="77777777" w:rsidR="00C64AB3" w:rsidRPr="00C64AB3" w:rsidRDefault="00C64AB3" w:rsidP="00C64AB3">
            <w:pPr>
              <w:rPr>
                <w:rFonts w:ascii="宋体" w:eastAsia="宋体" w:hAnsi="宋体" w:cs="Times New Roman" w:hint="eastAsia"/>
                <w:szCs w:val="21"/>
              </w:rPr>
            </w:pPr>
          </w:p>
          <w:p w14:paraId="475A0995" w14:textId="77777777" w:rsidR="00C64AB3" w:rsidRPr="00C64AB3" w:rsidRDefault="00C64AB3" w:rsidP="00C64AB3">
            <w:pPr>
              <w:rPr>
                <w:rFonts w:ascii="宋体" w:eastAsia="宋体" w:hAnsi="宋体" w:cs="Times New Roman" w:hint="eastAsia"/>
                <w:szCs w:val="21"/>
              </w:rPr>
            </w:pPr>
          </w:p>
          <w:p w14:paraId="642E81BA" w14:textId="77777777" w:rsidR="00C64AB3" w:rsidRPr="00C64AB3" w:rsidRDefault="00C64AB3" w:rsidP="00C64AB3">
            <w:pPr>
              <w:rPr>
                <w:rFonts w:ascii="宋体" w:eastAsia="宋体" w:hAnsi="宋体" w:cs="Times New Roman" w:hint="eastAsia"/>
                <w:szCs w:val="21"/>
              </w:rPr>
            </w:pPr>
          </w:p>
          <w:p w14:paraId="6733AC49" w14:textId="77777777" w:rsidR="00C64AB3" w:rsidRPr="00C64AB3" w:rsidRDefault="00C64AB3" w:rsidP="00C64AB3">
            <w:pPr>
              <w:rPr>
                <w:rFonts w:ascii="宋体" w:eastAsia="宋体" w:hAnsi="宋体" w:cs="Times New Roman" w:hint="eastAsia"/>
                <w:szCs w:val="21"/>
              </w:rPr>
            </w:pPr>
          </w:p>
          <w:p w14:paraId="4465660E" w14:textId="77777777" w:rsidR="00C64AB3" w:rsidRPr="00C64AB3" w:rsidRDefault="00C64AB3" w:rsidP="00C64AB3">
            <w:pPr>
              <w:rPr>
                <w:rFonts w:ascii="宋体" w:eastAsia="宋体" w:hAnsi="宋体" w:cs="Times New Roman" w:hint="eastAsia"/>
                <w:szCs w:val="21"/>
              </w:rPr>
            </w:pPr>
          </w:p>
          <w:p w14:paraId="0108F265" w14:textId="77777777" w:rsidR="00C64AB3" w:rsidRPr="00C64AB3" w:rsidRDefault="00C64AB3" w:rsidP="00C64AB3">
            <w:pPr>
              <w:rPr>
                <w:rFonts w:ascii="宋体" w:eastAsia="宋体" w:hAnsi="宋体" w:cs="Times New Roman" w:hint="eastAsia"/>
                <w:szCs w:val="21"/>
              </w:rPr>
            </w:pPr>
          </w:p>
          <w:p w14:paraId="4F47AEDC" w14:textId="77777777" w:rsidR="00C64AB3" w:rsidRPr="00C64AB3" w:rsidRDefault="00C64AB3" w:rsidP="00C64AB3">
            <w:pPr>
              <w:rPr>
                <w:rFonts w:ascii="宋体" w:eastAsia="宋体" w:hAnsi="宋体" w:cs="Times New Roman" w:hint="eastAsia"/>
                <w:szCs w:val="21"/>
              </w:rPr>
            </w:pPr>
          </w:p>
          <w:p w14:paraId="0C0C012C" w14:textId="77777777" w:rsidR="00C64AB3" w:rsidRPr="00C64AB3" w:rsidRDefault="00C64AB3" w:rsidP="00C64AB3">
            <w:pPr>
              <w:rPr>
                <w:rFonts w:ascii="宋体" w:eastAsia="宋体" w:hAnsi="宋体" w:cs="Times New Roman" w:hint="eastAsia"/>
                <w:szCs w:val="21"/>
              </w:rPr>
            </w:pPr>
          </w:p>
          <w:p w14:paraId="4395AC5B" w14:textId="77777777" w:rsidR="00C64AB3" w:rsidRPr="00C64AB3" w:rsidRDefault="00C64AB3" w:rsidP="00C64AB3">
            <w:pPr>
              <w:rPr>
                <w:rFonts w:ascii="宋体" w:eastAsia="宋体" w:hAnsi="宋体" w:cs="Times New Roman" w:hint="eastAsia"/>
                <w:szCs w:val="21"/>
              </w:rPr>
            </w:pPr>
          </w:p>
          <w:p w14:paraId="600201D0" w14:textId="77777777" w:rsidR="00C64AB3" w:rsidRPr="00C64AB3" w:rsidRDefault="00C64AB3" w:rsidP="00C64AB3">
            <w:pPr>
              <w:rPr>
                <w:rFonts w:ascii="宋体" w:eastAsia="宋体" w:hAnsi="宋体" w:cs="Times New Roman" w:hint="eastAsia"/>
                <w:szCs w:val="21"/>
              </w:rPr>
            </w:pPr>
          </w:p>
          <w:p w14:paraId="480C71D6" w14:textId="77777777" w:rsidR="00C64AB3" w:rsidRPr="00C64AB3" w:rsidRDefault="00C64AB3" w:rsidP="00C64AB3">
            <w:pPr>
              <w:rPr>
                <w:rFonts w:ascii="宋体" w:eastAsia="宋体" w:hAnsi="宋体" w:cs="Times New Roman" w:hint="eastAsia"/>
                <w:szCs w:val="21"/>
              </w:rPr>
            </w:pPr>
          </w:p>
          <w:p w14:paraId="20780073" w14:textId="77777777" w:rsidR="00C64AB3" w:rsidRPr="00C64AB3" w:rsidRDefault="00C64AB3" w:rsidP="00C64AB3">
            <w:pPr>
              <w:rPr>
                <w:rFonts w:ascii="宋体" w:eastAsia="宋体" w:hAnsi="宋体" w:cs="Times New Roman" w:hint="eastAsia"/>
                <w:szCs w:val="21"/>
              </w:rPr>
            </w:pPr>
          </w:p>
          <w:p w14:paraId="36B61039" w14:textId="77777777" w:rsidR="00C64AB3" w:rsidRPr="00C64AB3" w:rsidRDefault="00C64AB3" w:rsidP="00C64AB3">
            <w:pPr>
              <w:rPr>
                <w:rFonts w:ascii="宋体" w:eastAsia="宋体" w:hAnsi="宋体" w:cs="Times New Roman" w:hint="eastAsia"/>
                <w:szCs w:val="21"/>
              </w:rPr>
            </w:pPr>
          </w:p>
          <w:p w14:paraId="01992963" w14:textId="77777777" w:rsidR="00C64AB3" w:rsidRPr="00C64AB3" w:rsidRDefault="00C64AB3" w:rsidP="00C64AB3">
            <w:pPr>
              <w:rPr>
                <w:rFonts w:ascii="宋体" w:eastAsia="宋体" w:hAnsi="宋体" w:cs="Times New Roman" w:hint="eastAsia"/>
                <w:szCs w:val="21"/>
              </w:rPr>
            </w:pPr>
          </w:p>
          <w:p w14:paraId="6BD563CC" w14:textId="77777777" w:rsidR="00C64AB3" w:rsidRPr="00C64AB3" w:rsidRDefault="00C64AB3" w:rsidP="00C64AB3">
            <w:pPr>
              <w:rPr>
                <w:rFonts w:ascii="宋体" w:eastAsia="宋体" w:hAnsi="宋体" w:cs="Times New Roman" w:hint="eastAsia"/>
                <w:szCs w:val="21"/>
              </w:rPr>
            </w:pPr>
          </w:p>
          <w:p w14:paraId="74628916" w14:textId="77777777" w:rsidR="00C64AB3" w:rsidRPr="00C64AB3" w:rsidRDefault="00C64AB3" w:rsidP="00C64AB3">
            <w:pPr>
              <w:rPr>
                <w:rFonts w:ascii="宋体" w:eastAsia="宋体" w:hAnsi="宋体" w:cs="Times New Roman" w:hint="eastAsia"/>
                <w:szCs w:val="21"/>
              </w:rPr>
            </w:pPr>
          </w:p>
          <w:p w14:paraId="0331FFAA" w14:textId="77777777" w:rsidR="00C64AB3" w:rsidRPr="00C64AB3" w:rsidRDefault="00C64AB3" w:rsidP="00C64AB3">
            <w:pPr>
              <w:rPr>
                <w:rFonts w:ascii="宋体" w:eastAsia="宋体" w:hAnsi="宋体" w:cs="Times New Roman" w:hint="eastAsia"/>
                <w:szCs w:val="21"/>
              </w:rPr>
            </w:pPr>
          </w:p>
          <w:p w14:paraId="3029DB2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患者居家用药管理</w:t>
            </w:r>
          </w:p>
        </w:tc>
        <w:tc>
          <w:tcPr>
            <w:tcW w:w="1276" w:type="dxa"/>
            <w:tcBorders>
              <w:top w:val="single" w:sz="4" w:space="0" w:color="auto"/>
              <w:left w:val="single" w:sz="4" w:space="0" w:color="auto"/>
              <w:bottom w:val="single" w:sz="4" w:space="0" w:color="auto"/>
              <w:right w:val="single" w:sz="4" w:space="0" w:color="auto"/>
            </w:tcBorders>
          </w:tcPr>
          <w:p w14:paraId="50CA0C9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患者档案</w:t>
            </w:r>
          </w:p>
        </w:tc>
        <w:tc>
          <w:tcPr>
            <w:tcW w:w="5586" w:type="dxa"/>
            <w:tcBorders>
              <w:top w:val="single" w:sz="4" w:space="0" w:color="auto"/>
              <w:left w:val="single" w:sz="4" w:space="0" w:color="auto"/>
              <w:bottom w:val="single" w:sz="4" w:space="0" w:color="auto"/>
              <w:right w:val="single" w:sz="4" w:space="0" w:color="auto"/>
            </w:tcBorders>
          </w:tcPr>
          <w:p w14:paraId="7251D30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1.1.系统应能提供患者个人档案，方便药师查看患者历次就诊记录、药学服务记录。</w:t>
            </w:r>
          </w:p>
          <w:p w14:paraId="481962A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1.2.患者档案应包括个人信息、过敏史、药品不良反应史、基因检测、既往手术史、既往病史、诊疗记录等，药师可编辑。</w:t>
            </w:r>
          </w:p>
        </w:tc>
      </w:tr>
      <w:tr w:rsidR="00C64AB3" w:rsidRPr="00C64AB3" w14:paraId="4153A16C" w14:textId="77777777" w:rsidTr="0059125F">
        <w:tc>
          <w:tcPr>
            <w:tcW w:w="1101" w:type="dxa"/>
            <w:vMerge/>
            <w:tcBorders>
              <w:left w:val="single" w:sz="4" w:space="0" w:color="auto"/>
              <w:right w:val="single" w:sz="4" w:space="0" w:color="auto"/>
            </w:tcBorders>
            <w:vAlign w:val="center"/>
          </w:tcPr>
          <w:p w14:paraId="2C9F0303"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B4364D3"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37FF19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内外网交互</w:t>
            </w:r>
          </w:p>
        </w:tc>
        <w:tc>
          <w:tcPr>
            <w:tcW w:w="5586" w:type="dxa"/>
            <w:tcBorders>
              <w:top w:val="single" w:sz="4" w:space="0" w:color="auto"/>
              <w:left w:val="single" w:sz="4" w:space="0" w:color="auto"/>
              <w:bottom w:val="single" w:sz="4" w:space="0" w:color="auto"/>
              <w:right w:val="single" w:sz="4" w:space="0" w:color="auto"/>
            </w:tcBorders>
          </w:tcPr>
          <w:p w14:paraId="2E63AF95"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宋体" w:hint="eastAsia"/>
                <w:b/>
                <w:bCs/>
                <w:kern w:val="0"/>
                <w:szCs w:val="21"/>
              </w:rPr>
              <w:t>▲</w:t>
            </w:r>
            <w:r w:rsidRPr="00C64AB3">
              <w:rPr>
                <w:rFonts w:ascii="宋体" w:eastAsia="宋体" w:hAnsi="宋体" w:cs="Times New Roman" w:hint="eastAsia"/>
                <w:b/>
                <w:bCs/>
                <w:szCs w:val="21"/>
              </w:rPr>
              <w:t>系统应建立内外网交互机制，将药学服务延伸到院外，让药师能够在医院内</w:t>
            </w:r>
            <w:proofErr w:type="gramStart"/>
            <w:r w:rsidRPr="00C64AB3">
              <w:rPr>
                <w:rFonts w:ascii="宋体" w:eastAsia="宋体" w:hAnsi="宋体" w:cs="Times New Roman" w:hint="eastAsia"/>
                <w:b/>
                <w:bCs/>
                <w:szCs w:val="21"/>
              </w:rPr>
              <w:t>网环境</w:t>
            </w:r>
            <w:proofErr w:type="gramEnd"/>
            <w:r w:rsidRPr="00C64AB3">
              <w:rPr>
                <w:rFonts w:ascii="宋体" w:eastAsia="宋体" w:hAnsi="宋体" w:cs="Times New Roman" w:hint="eastAsia"/>
                <w:b/>
                <w:bCs/>
                <w:szCs w:val="21"/>
              </w:rPr>
              <w:t>下与患者在线交互。提供承诺函并加盖投标人公章。</w:t>
            </w:r>
          </w:p>
        </w:tc>
      </w:tr>
      <w:tr w:rsidR="00C64AB3" w:rsidRPr="00C64AB3" w14:paraId="429B4EE0" w14:textId="77777777" w:rsidTr="0059125F">
        <w:tc>
          <w:tcPr>
            <w:tcW w:w="1101" w:type="dxa"/>
            <w:vMerge/>
            <w:tcBorders>
              <w:left w:val="single" w:sz="4" w:space="0" w:color="auto"/>
              <w:right w:val="single" w:sz="4" w:space="0" w:color="auto"/>
            </w:tcBorders>
            <w:vAlign w:val="center"/>
          </w:tcPr>
          <w:p w14:paraId="40649236"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D4A039F"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B79DB1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远程管理</w:t>
            </w:r>
          </w:p>
        </w:tc>
        <w:tc>
          <w:tcPr>
            <w:tcW w:w="5586" w:type="dxa"/>
            <w:tcBorders>
              <w:top w:val="single" w:sz="4" w:space="0" w:color="auto"/>
              <w:left w:val="single" w:sz="4" w:space="0" w:color="auto"/>
              <w:bottom w:val="single" w:sz="4" w:space="0" w:color="auto"/>
              <w:right w:val="single" w:sz="4" w:space="0" w:color="auto"/>
            </w:tcBorders>
          </w:tcPr>
          <w:p w14:paraId="1CD672E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3.1.系统应提供居家管理路径，方便药师在线批量管理患者。</w:t>
            </w:r>
          </w:p>
          <w:p w14:paraId="6A0292D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3.2.居家管理路径既能定时、持续向患者推送健康教育资料、随访调研问卷，又能向患者收集患者监测指标，并支持药师对患者反馈的异常结果进行干预。</w:t>
            </w:r>
          </w:p>
          <w:p w14:paraId="7FC8C95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3.3.系统应内置图文并茂的健康教育资料，同时也支持药师自定义PDF/视频/音频/图片格式的健康教育资料。</w:t>
            </w:r>
          </w:p>
          <w:p w14:paraId="54E0795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3.4.系统应支持患者在线上传血压、血糖、体温、心率、INR、血脂、尿酸、睡眠、运动、体重、疼痛、癫痫、家庭氧疗监测数据。</w:t>
            </w:r>
          </w:p>
        </w:tc>
      </w:tr>
      <w:tr w:rsidR="00C64AB3" w:rsidRPr="00C64AB3" w14:paraId="42D7333A" w14:textId="77777777" w:rsidTr="0059125F">
        <w:tc>
          <w:tcPr>
            <w:tcW w:w="1101" w:type="dxa"/>
            <w:vMerge/>
            <w:tcBorders>
              <w:left w:val="single" w:sz="4" w:space="0" w:color="auto"/>
              <w:right w:val="single" w:sz="4" w:space="0" w:color="auto"/>
            </w:tcBorders>
            <w:vAlign w:val="center"/>
          </w:tcPr>
          <w:p w14:paraId="5B2DCC87"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70C3921"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7AF8518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患者端</w:t>
            </w:r>
          </w:p>
        </w:tc>
        <w:tc>
          <w:tcPr>
            <w:tcW w:w="5586" w:type="dxa"/>
            <w:tcBorders>
              <w:top w:val="single" w:sz="4" w:space="0" w:color="auto"/>
              <w:left w:val="single" w:sz="4" w:space="0" w:color="auto"/>
              <w:bottom w:val="single" w:sz="4" w:space="0" w:color="auto"/>
              <w:right w:val="single" w:sz="4" w:space="0" w:color="auto"/>
            </w:tcBorders>
          </w:tcPr>
          <w:p w14:paraId="235D484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系统应提供患者端程序，患者</w:t>
            </w:r>
            <w:proofErr w:type="gramStart"/>
            <w:r w:rsidRPr="00C64AB3">
              <w:rPr>
                <w:rFonts w:ascii="宋体" w:eastAsia="宋体" w:hAnsi="宋体" w:cs="Times New Roman" w:hint="eastAsia"/>
                <w:szCs w:val="21"/>
              </w:rPr>
              <w:t>端不仅</w:t>
            </w:r>
            <w:proofErr w:type="gramEnd"/>
            <w:r w:rsidRPr="00C64AB3">
              <w:rPr>
                <w:rFonts w:ascii="宋体" w:eastAsia="宋体" w:hAnsi="宋体" w:cs="Times New Roman" w:hint="eastAsia"/>
                <w:szCs w:val="21"/>
              </w:rPr>
              <w:t>能配合药师完成居家路径管理，还能实现：</w:t>
            </w:r>
          </w:p>
          <w:p w14:paraId="4CAB3665"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4.1.</w:t>
            </w:r>
            <w:r w:rsidRPr="00C64AB3">
              <w:rPr>
                <w:rFonts w:ascii="宋体" w:eastAsia="宋体" w:hAnsi="宋体" w:cs="宋体" w:hint="eastAsia"/>
                <w:b/>
                <w:bCs/>
                <w:kern w:val="0"/>
                <w:szCs w:val="21"/>
              </w:rPr>
              <w:t xml:space="preserve"> ▲</w:t>
            </w:r>
            <w:r w:rsidRPr="00C64AB3">
              <w:rPr>
                <w:rFonts w:ascii="宋体" w:eastAsia="宋体" w:hAnsi="宋体" w:cs="Times New Roman" w:hint="eastAsia"/>
                <w:b/>
                <w:bCs/>
                <w:szCs w:val="21"/>
              </w:rPr>
              <w:t>自动获取处方用药须知，包括药品不良反应、说明书、用药指导及健康教育资料。提供承诺函并加盖投标人公章。</w:t>
            </w:r>
          </w:p>
          <w:p w14:paraId="5F528FA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4.2在线发起药箱整理申请，邀请药师前往患者家中整理药品。</w:t>
            </w:r>
          </w:p>
          <w:p w14:paraId="7D5E57D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4.3在线反馈药品不良反应。</w:t>
            </w:r>
          </w:p>
          <w:p w14:paraId="275C4F8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4.4自主开展药品知识查询、错时给药查询和健康状态评估，评估项目包括烟草依赖性、焦虑、疼痛、便秘等。</w:t>
            </w:r>
          </w:p>
          <w:p w14:paraId="1B6312D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4.5添加亲友档案，协助亲友管理用药。</w:t>
            </w:r>
          </w:p>
        </w:tc>
      </w:tr>
      <w:tr w:rsidR="00C64AB3" w:rsidRPr="00C64AB3" w14:paraId="42F7C5DD" w14:textId="77777777" w:rsidTr="0059125F">
        <w:trPr>
          <w:trHeight w:val="542"/>
        </w:trPr>
        <w:tc>
          <w:tcPr>
            <w:tcW w:w="1101" w:type="dxa"/>
            <w:vMerge/>
            <w:tcBorders>
              <w:left w:val="single" w:sz="4" w:space="0" w:color="auto"/>
              <w:right w:val="single" w:sz="4" w:space="0" w:color="auto"/>
            </w:tcBorders>
            <w:vAlign w:val="center"/>
          </w:tcPr>
          <w:p w14:paraId="54D4FF7A"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A59C922"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3185E0B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用药咨询</w:t>
            </w:r>
          </w:p>
        </w:tc>
        <w:tc>
          <w:tcPr>
            <w:tcW w:w="5586" w:type="dxa"/>
            <w:tcBorders>
              <w:top w:val="single" w:sz="4" w:space="0" w:color="auto"/>
              <w:left w:val="single" w:sz="4" w:space="0" w:color="auto"/>
              <w:bottom w:val="single" w:sz="4" w:space="0" w:color="auto"/>
              <w:right w:val="single" w:sz="4" w:space="0" w:color="auto"/>
            </w:tcBorders>
          </w:tcPr>
          <w:p w14:paraId="780A8B4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5.1.线下咨询</w:t>
            </w:r>
          </w:p>
          <w:p w14:paraId="478DB82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系统应支持药师记录门诊患者、住院患者、患者亲友、医生、护士发起的线下用药咨询及药师解答，应支持延答复操作，方便药师查找暂未答复的问题。</w:t>
            </w:r>
          </w:p>
          <w:p w14:paraId="22DE5ACE"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5.2.医生咨询</w:t>
            </w:r>
          </w:p>
          <w:p w14:paraId="474E51E0"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系统应支持医生在工作站向药师发起用药咨询。</w:t>
            </w:r>
          </w:p>
          <w:p w14:paraId="22A7CB54"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5.3.患者咨询</w:t>
            </w:r>
          </w:p>
          <w:p w14:paraId="1A301DE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系统应支持患者在线发起用药咨询，患者应可添加药品、疾病情况，录入语音、上</w:t>
            </w:r>
            <w:proofErr w:type="gramStart"/>
            <w:r w:rsidRPr="00C64AB3">
              <w:rPr>
                <w:rFonts w:ascii="宋体" w:eastAsia="宋体" w:hAnsi="宋体" w:cs="Times New Roman" w:hint="eastAsia"/>
                <w:szCs w:val="21"/>
              </w:rPr>
              <w:t>传图片</w:t>
            </w:r>
            <w:proofErr w:type="gramEnd"/>
            <w:r w:rsidRPr="00C64AB3">
              <w:rPr>
                <w:rFonts w:ascii="宋体" w:eastAsia="宋体" w:hAnsi="宋体" w:cs="Times New Roman" w:hint="eastAsia"/>
                <w:szCs w:val="21"/>
              </w:rPr>
              <w:t>询问药师用药问题，可对药师服务进行评价。药师应能自定义在线接受咨询时间、日咨询量上限。</w:t>
            </w:r>
          </w:p>
        </w:tc>
      </w:tr>
      <w:tr w:rsidR="00C64AB3" w:rsidRPr="00C64AB3" w14:paraId="4DBFA1A8" w14:textId="77777777" w:rsidTr="0059125F">
        <w:tc>
          <w:tcPr>
            <w:tcW w:w="1101" w:type="dxa"/>
            <w:vMerge/>
            <w:tcBorders>
              <w:left w:val="single" w:sz="4" w:space="0" w:color="auto"/>
              <w:right w:val="single" w:sz="4" w:space="0" w:color="auto"/>
            </w:tcBorders>
            <w:vAlign w:val="center"/>
          </w:tcPr>
          <w:p w14:paraId="366E89CD"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A94122"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7D349003"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用药指导</w:t>
            </w:r>
          </w:p>
        </w:tc>
        <w:tc>
          <w:tcPr>
            <w:tcW w:w="5586" w:type="dxa"/>
            <w:tcBorders>
              <w:top w:val="single" w:sz="4" w:space="0" w:color="auto"/>
              <w:left w:val="single" w:sz="4" w:space="0" w:color="auto"/>
              <w:bottom w:val="single" w:sz="4" w:space="0" w:color="auto"/>
              <w:right w:val="single" w:sz="4" w:space="0" w:color="auto"/>
            </w:tcBorders>
          </w:tcPr>
          <w:p w14:paraId="6485BB0C" w14:textId="77777777" w:rsidR="00C64AB3" w:rsidRPr="00C64AB3" w:rsidRDefault="00C64AB3" w:rsidP="00C64AB3">
            <w:pPr>
              <w:rPr>
                <w:rFonts w:ascii="宋体" w:eastAsia="宋体" w:hAnsi="宋体" w:cs="Times New Roman" w:hint="eastAsia"/>
                <w:b/>
                <w:bCs/>
                <w:szCs w:val="21"/>
              </w:rPr>
            </w:pPr>
            <w:r w:rsidRPr="00C64AB3">
              <w:rPr>
                <w:rFonts w:ascii="宋体" w:eastAsia="宋体" w:hAnsi="宋体" w:cs="Times New Roman" w:hint="eastAsia"/>
                <w:b/>
                <w:bCs/>
                <w:szCs w:val="21"/>
              </w:rPr>
              <w:t>6.1.</w:t>
            </w:r>
            <w:r w:rsidRPr="00C64AB3">
              <w:rPr>
                <w:rFonts w:ascii="宋体" w:eastAsia="宋体" w:hAnsi="宋体" w:cs="宋体" w:hint="eastAsia"/>
                <w:b/>
                <w:bCs/>
                <w:kern w:val="0"/>
                <w:szCs w:val="21"/>
              </w:rPr>
              <w:t xml:space="preserve"> ▲</w:t>
            </w:r>
            <w:r w:rsidRPr="00C64AB3">
              <w:rPr>
                <w:rFonts w:ascii="宋体" w:eastAsia="宋体" w:hAnsi="宋体" w:cs="Times New Roman" w:hint="eastAsia"/>
                <w:b/>
                <w:bCs/>
                <w:szCs w:val="21"/>
              </w:rPr>
              <w:t>系统应支持自动生成用药指导单，包括用药清单（药品名称/规格/厂家/发药数量/用法用量/等）、药品注意事项、服药时间表、错时给药、食物宜忌事项、其他注意</w:t>
            </w:r>
            <w:r w:rsidRPr="00C64AB3">
              <w:rPr>
                <w:rFonts w:ascii="宋体" w:eastAsia="宋体" w:hAnsi="宋体" w:cs="Times New Roman" w:hint="eastAsia"/>
                <w:b/>
                <w:bCs/>
                <w:szCs w:val="21"/>
              </w:rPr>
              <w:lastRenderedPageBreak/>
              <w:t>事项。应支持药师设置特殊周剂量、月剂量给药方案。提供承诺函并加盖投标人公章。</w:t>
            </w:r>
          </w:p>
          <w:p w14:paraId="7965B43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6.2.系统应支持将用药指导单打印、发送给患者。</w:t>
            </w:r>
          </w:p>
        </w:tc>
      </w:tr>
      <w:tr w:rsidR="00C64AB3" w:rsidRPr="00C64AB3" w14:paraId="757E1165" w14:textId="77777777" w:rsidTr="0059125F">
        <w:tc>
          <w:tcPr>
            <w:tcW w:w="1101" w:type="dxa"/>
            <w:vMerge/>
            <w:tcBorders>
              <w:left w:val="single" w:sz="4" w:space="0" w:color="auto"/>
              <w:right w:val="single" w:sz="4" w:space="0" w:color="auto"/>
            </w:tcBorders>
            <w:vAlign w:val="center"/>
          </w:tcPr>
          <w:p w14:paraId="4BA997A7" w14:textId="77777777" w:rsidR="00C64AB3" w:rsidRPr="00C64AB3" w:rsidRDefault="00C64AB3" w:rsidP="00C64AB3">
            <w:pPr>
              <w:widowControl/>
              <w:jc w:val="left"/>
              <w:rPr>
                <w:rFonts w:ascii="宋体" w:eastAsia="宋体" w:hAnsi="宋体" w:cs="Times New Roman"/>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42BB18B" w14:textId="77777777" w:rsidR="00C64AB3" w:rsidRPr="00C64AB3" w:rsidRDefault="00C64AB3" w:rsidP="00C64AB3">
            <w:pPr>
              <w:widowControl/>
              <w:jc w:val="left"/>
              <w:rPr>
                <w:rFonts w:ascii="宋体" w:eastAsia="宋体" w:hAnsi="宋体" w:cs="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5B46ED1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统计分析</w:t>
            </w:r>
          </w:p>
        </w:tc>
        <w:tc>
          <w:tcPr>
            <w:tcW w:w="5586" w:type="dxa"/>
            <w:tcBorders>
              <w:top w:val="single" w:sz="4" w:space="0" w:color="auto"/>
              <w:left w:val="single" w:sz="4" w:space="0" w:color="auto"/>
              <w:bottom w:val="single" w:sz="4" w:space="0" w:color="auto"/>
              <w:right w:val="single" w:sz="4" w:space="0" w:color="auto"/>
            </w:tcBorders>
          </w:tcPr>
          <w:p w14:paraId="4B02BC7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系统应能根据药师工作内容生成以下报表：</w:t>
            </w:r>
          </w:p>
          <w:p w14:paraId="4305CA2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7.1.居家服务</w:t>
            </w:r>
          </w:p>
          <w:p w14:paraId="5029CDC1"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推荐清单处理量</w:t>
            </w:r>
          </w:p>
          <w:p w14:paraId="6EC741CC"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不良反应统计</w:t>
            </w:r>
          </w:p>
          <w:p w14:paraId="6D34236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w:t>
            </w:r>
            <w:r w:rsidRPr="00C64AB3">
              <w:rPr>
                <w:rFonts w:ascii="宋体" w:eastAsia="宋体" w:hAnsi="宋体" w:cs="Times New Roman" w:hint="eastAsia"/>
                <w:szCs w:val="21"/>
              </w:rPr>
              <w:tab/>
              <w:t>药箱整理统计</w:t>
            </w:r>
          </w:p>
          <w:p w14:paraId="043ED64D"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w:t>
            </w:r>
            <w:r w:rsidRPr="00C64AB3">
              <w:rPr>
                <w:rFonts w:ascii="宋体" w:eastAsia="宋体" w:hAnsi="宋体" w:cs="Times New Roman" w:hint="eastAsia"/>
                <w:szCs w:val="21"/>
              </w:rPr>
              <w:tab/>
              <w:t>居家管理人次</w:t>
            </w:r>
          </w:p>
          <w:p w14:paraId="79AFFE25"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（5）</w:t>
            </w:r>
            <w:r w:rsidRPr="00C64AB3">
              <w:rPr>
                <w:rFonts w:ascii="宋体" w:eastAsia="宋体" w:hAnsi="宋体" w:cs="Times New Roman" w:hint="eastAsia"/>
                <w:szCs w:val="21"/>
              </w:rPr>
              <w:tab/>
              <w:t>居家监护统计</w:t>
            </w:r>
          </w:p>
          <w:p w14:paraId="6FB5B7C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（6）</w:t>
            </w:r>
            <w:r w:rsidRPr="00C64AB3">
              <w:rPr>
                <w:rFonts w:ascii="宋体" w:eastAsia="宋体" w:hAnsi="宋体" w:cs="Times New Roman" w:hint="eastAsia"/>
                <w:szCs w:val="21"/>
              </w:rPr>
              <w:tab/>
              <w:t>随访问卷结果统计</w:t>
            </w:r>
          </w:p>
          <w:p w14:paraId="2958C562"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（7）</w:t>
            </w:r>
            <w:r w:rsidRPr="00C64AB3">
              <w:rPr>
                <w:rFonts w:ascii="宋体" w:eastAsia="宋体" w:hAnsi="宋体" w:cs="Times New Roman" w:hint="eastAsia"/>
                <w:szCs w:val="21"/>
              </w:rPr>
              <w:tab/>
              <w:t>患者用药须知查询量统计</w:t>
            </w:r>
          </w:p>
          <w:p w14:paraId="4D9903F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7.2.用药咨询</w:t>
            </w:r>
          </w:p>
          <w:p w14:paraId="0239D986"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个人工作量统计</w:t>
            </w:r>
          </w:p>
          <w:p w14:paraId="005AA56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问题类型统计</w:t>
            </w:r>
          </w:p>
          <w:p w14:paraId="30880AF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w:t>
            </w:r>
            <w:r w:rsidRPr="00C64AB3">
              <w:rPr>
                <w:rFonts w:ascii="宋体" w:eastAsia="宋体" w:hAnsi="宋体" w:cs="Times New Roman" w:hint="eastAsia"/>
                <w:szCs w:val="21"/>
              </w:rPr>
              <w:tab/>
              <w:t>药理类别统计</w:t>
            </w:r>
          </w:p>
          <w:p w14:paraId="6E1A103F"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7.3.用药指导</w:t>
            </w:r>
          </w:p>
          <w:p w14:paraId="78EE455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（1）</w:t>
            </w:r>
            <w:r w:rsidRPr="00C64AB3">
              <w:rPr>
                <w:rFonts w:ascii="宋体" w:eastAsia="宋体" w:hAnsi="宋体" w:cs="Times New Roman" w:hint="eastAsia"/>
                <w:szCs w:val="21"/>
              </w:rPr>
              <w:tab/>
              <w:t>工作量统计</w:t>
            </w:r>
          </w:p>
          <w:p w14:paraId="67E7B9A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（2）</w:t>
            </w:r>
            <w:r w:rsidRPr="00C64AB3">
              <w:rPr>
                <w:rFonts w:ascii="宋体" w:eastAsia="宋体" w:hAnsi="宋体" w:cs="Times New Roman" w:hint="eastAsia"/>
                <w:szCs w:val="21"/>
              </w:rPr>
              <w:tab/>
              <w:t>药理类别统计</w:t>
            </w:r>
          </w:p>
          <w:p w14:paraId="3FCA36C7"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（3）   用药指导原因统计</w:t>
            </w:r>
          </w:p>
          <w:p w14:paraId="4BA4347A"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（4）</w:t>
            </w:r>
            <w:r w:rsidRPr="00C64AB3">
              <w:rPr>
                <w:rFonts w:ascii="宋体" w:eastAsia="宋体" w:hAnsi="宋体" w:cs="Times New Roman" w:hint="eastAsia"/>
                <w:szCs w:val="21"/>
              </w:rPr>
              <w:tab/>
              <w:t>指导效果统计</w:t>
            </w:r>
          </w:p>
        </w:tc>
      </w:tr>
      <w:tr w:rsidR="00C64AB3" w:rsidRPr="00C64AB3" w14:paraId="54901205" w14:textId="77777777" w:rsidTr="0059125F">
        <w:tc>
          <w:tcPr>
            <w:tcW w:w="1101" w:type="dxa"/>
            <w:vMerge/>
            <w:tcBorders>
              <w:left w:val="single" w:sz="4" w:space="0" w:color="auto"/>
              <w:right w:val="single" w:sz="4" w:space="0" w:color="auto"/>
            </w:tcBorders>
            <w:vAlign w:val="center"/>
          </w:tcPr>
          <w:p w14:paraId="006E512C" w14:textId="77777777" w:rsidR="00C64AB3" w:rsidRPr="00C64AB3" w:rsidRDefault="00C64AB3" w:rsidP="00C64AB3">
            <w:pPr>
              <w:widowControl/>
              <w:jc w:val="left"/>
              <w:rPr>
                <w:rFonts w:ascii="宋体" w:eastAsia="宋体" w:hAnsi="宋体"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2CB3AB"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hint="eastAsia"/>
                <w:szCs w:val="21"/>
              </w:rPr>
              <w:t>前置机配置</w:t>
            </w:r>
          </w:p>
        </w:tc>
        <w:tc>
          <w:tcPr>
            <w:tcW w:w="5586" w:type="dxa"/>
            <w:tcBorders>
              <w:top w:val="single" w:sz="4" w:space="0" w:color="auto"/>
              <w:left w:val="single" w:sz="4" w:space="0" w:color="auto"/>
              <w:bottom w:val="single" w:sz="4" w:space="0" w:color="auto"/>
              <w:right w:val="single" w:sz="4" w:space="0" w:color="auto"/>
            </w:tcBorders>
          </w:tcPr>
          <w:p w14:paraId="04F560D2" w14:textId="77777777" w:rsidR="00C64AB3" w:rsidRPr="00C64AB3" w:rsidRDefault="00C64AB3" w:rsidP="00C64AB3">
            <w:pPr>
              <w:rPr>
                <w:rFonts w:ascii="Times New Roman" w:eastAsia="宋体" w:hAnsi="Times New Roman" w:cs="Times New Roman" w:hint="eastAsia"/>
                <w:szCs w:val="24"/>
              </w:rPr>
            </w:pPr>
            <w:r w:rsidRPr="00C64AB3">
              <w:rPr>
                <w:rFonts w:ascii="Times New Roman" w:eastAsia="宋体" w:hAnsi="Times New Roman" w:cs="Times New Roman" w:hint="eastAsia"/>
                <w:szCs w:val="24"/>
              </w:rPr>
              <w:t>超聚变</w:t>
            </w:r>
            <w:r w:rsidRPr="00C64AB3">
              <w:rPr>
                <w:rFonts w:ascii="Times New Roman" w:eastAsia="宋体" w:hAnsi="Times New Roman" w:cs="Times New Roman" w:hint="eastAsia"/>
                <w:szCs w:val="24"/>
              </w:rPr>
              <w:t xml:space="preserve"> 2U</w:t>
            </w:r>
            <w:r w:rsidRPr="00C64AB3">
              <w:rPr>
                <w:rFonts w:ascii="Times New Roman" w:eastAsia="宋体" w:hAnsi="Times New Roman" w:cs="Times New Roman" w:hint="eastAsia"/>
                <w:szCs w:val="24"/>
              </w:rPr>
              <w:t>机架式</w:t>
            </w:r>
            <w:r w:rsidRPr="00C64AB3">
              <w:rPr>
                <w:rFonts w:ascii="Times New Roman" w:eastAsia="宋体" w:hAnsi="Times New Roman" w:cs="Times New Roman" w:hint="eastAsia"/>
                <w:szCs w:val="24"/>
              </w:rPr>
              <w:t xml:space="preserve"> 2288HV5  12*3.5  </w:t>
            </w:r>
            <w:r w:rsidRPr="00C64AB3">
              <w:rPr>
                <w:rFonts w:ascii="Times New Roman" w:eastAsia="宋体" w:hAnsi="Times New Roman" w:cs="Times New Roman" w:hint="eastAsia"/>
                <w:szCs w:val="24"/>
              </w:rPr>
              <w:t>银牌</w:t>
            </w:r>
            <w:r w:rsidRPr="00C64AB3">
              <w:rPr>
                <w:rFonts w:ascii="Times New Roman" w:eastAsia="宋体" w:hAnsi="Times New Roman" w:cs="Times New Roman" w:hint="eastAsia"/>
                <w:szCs w:val="24"/>
              </w:rPr>
              <w:t>CPU4310*2</w:t>
            </w:r>
            <w:r w:rsidRPr="00C64AB3">
              <w:rPr>
                <w:rFonts w:ascii="Times New Roman" w:eastAsia="宋体" w:hAnsi="Times New Roman" w:cs="Times New Roman" w:hint="eastAsia"/>
                <w:szCs w:val="24"/>
              </w:rPr>
              <w:t>颗</w:t>
            </w:r>
            <w:r w:rsidRPr="00C64AB3">
              <w:rPr>
                <w:rFonts w:ascii="Times New Roman" w:eastAsia="宋体" w:hAnsi="Times New Roman" w:cs="Times New Roman" w:hint="eastAsia"/>
                <w:szCs w:val="24"/>
              </w:rPr>
              <w:t>/2*32G RECC 3200Mhz /2*480G  SATA  SSD  +4*2.4T  SAS  10K  HDD  /XR450C-2G</w:t>
            </w:r>
            <w:r w:rsidRPr="00C64AB3">
              <w:rPr>
                <w:rFonts w:ascii="Times New Roman" w:eastAsia="宋体" w:hAnsi="Times New Roman" w:cs="Times New Roman" w:hint="eastAsia"/>
                <w:szCs w:val="24"/>
              </w:rPr>
              <w:t>缓存阵列卡</w:t>
            </w:r>
            <w:r w:rsidRPr="00C64AB3">
              <w:rPr>
                <w:rFonts w:ascii="Times New Roman" w:eastAsia="宋体" w:hAnsi="Times New Roman" w:cs="Times New Roman" w:hint="eastAsia"/>
                <w:szCs w:val="24"/>
              </w:rPr>
              <w:t>/2*1GE+2*10GE</w:t>
            </w:r>
            <w:r w:rsidRPr="00C64AB3">
              <w:rPr>
                <w:rFonts w:ascii="Times New Roman" w:eastAsia="宋体" w:hAnsi="Times New Roman" w:cs="Times New Roman" w:hint="eastAsia"/>
                <w:szCs w:val="24"/>
              </w:rPr>
              <w:t>（含万兆多模模块）</w:t>
            </w:r>
            <w:r w:rsidRPr="00C64AB3">
              <w:rPr>
                <w:rFonts w:ascii="Times New Roman" w:eastAsia="宋体" w:hAnsi="Times New Roman" w:cs="Times New Roman" w:hint="eastAsia"/>
                <w:szCs w:val="24"/>
              </w:rPr>
              <w:t xml:space="preserve">/2*900W </w:t>
            </w:r>
            <w:proofErr w:type="gramStart"/>
            <w:r w:rsidRPr="00C64AB3">
              <w:rPr>
                <w:rFonts w:ascii="Times New Roman" w:eastAsia="宋体" w:hAnsi="Times New Roman" w:cs="Times New Roman" w:hint="eastAsia"/>
                <w:szCs w:val="24"/>
              </w:rPr>
              <w:t>双电</w:t>
            </w:r>
            <w:proofErr w:type="gramEnd"/>
            <w:r w:rsidRPr="00C64AB3">
              <w:rPr>
                <w:rFonts w:ascii="Times New Roman" w:eastAsia="宋体" w:hAnsi="Times New Roman" w:cs="Times New Roman" w:hint="eastAsia"/>
                <w:szCs w:val="24"/>
              </w:rPr>
              <w:t xml:space="preserve"> /</w:t>
            </w:r>
            <w:r w:rsidRPr="00C64AB3">
              <w:rPr>
                <w:rFonts w:ascii="Times New Roman" w:eastAsia="宋体" w:hAnsi="Times New Roman" w:cs="Times New Roman" w:hint="eastAsia"/>
                <w:szCs w:val="24"/>
              </w:rPr>
              <w:t>导轨</w:t>
            </w:r>
            <w:r w:rsidRPr="00C64AB3">
              <w:rPr>
                <w:rFonts w:ascii="Times New Roman" w:eastAsia="宋体" w:hAnsi="Times New Roman" w:cs="Times New Roman" w:hint="eastAsia"/>
                <w:szCs w:val="24"/>
              </w:rPr>
              <w:t xml:space="preserve">  </w:t>
            </w:r>
          </w:p>
        </w:tc>
      </w:tr>
      <w:tr w:rsidR="00C64AB3" w:rsidRPr="00C64AB3" w14:paraId="4B7CD014" w14:textId="77777777" w:rsidTr="0059125F">
        <w:tc>
          <w:tcPr>
            <w:tcW w:w="1101" w:type="dxa"/>
            <w:vMerge/>
            <w:tcBorders>
              <w:left w:val="single" w:sz="4" w:space="0" w:color="auto"/>
              <w:right w:val="single" w:sz="4" w:space="0" w:color="auto"/>
            </w:tcBorders>
            <w:vAlign w:val="center"/>
          </w:tcPr>
          <w:p w14:paraId="36103514" w14:textId="77777777" w:rsidR="00C64AB3" w:rsidRPr="00C64AB3" w:rsidRDefault="00C64AB3" w:rsidP="00C64AB3">
            <w:pPr>
              <w:widowControl/>
              <w:jc w:val="left"/>
              <w:rPr>
                <w:rFonts w:ascii="宋体" w:eastAsia="宋体" w:hAnsi="宋体"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D1079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szCs w:val="21"/>
              </w:rPr>
              <w:t>接口开发服务</w:t>
            </w:r>
          </w:p>
        </w:tc>
        <w:tc>
          <w:tcPr>
            <w:tcW w:w="5586" w:type="dxa"/>
            <w:tcBorders>
              <w:top w:val="single" w:sz="4" w:space="0" w:color="auto"/>
              <w:left w:val="single" w:sz="4" w:space="0" w:color="auto"/>
              <w:bottom w:val="single" w:sz="4" w:space="0" w:color="auto"/>
              <w:right w:val="single" w:sz="4" w:space="0" w:color="auto"/>
            </w:tcBorders>
          </w:tcPr>
          <w:p w14:paraId="3C1D4F6D" w14:textId="77777777" w:rsidR="00C64AB3" w:rsidRPr="00C64AB3" w:rsidRDefault="00C64AB3" w:rsidP="00C64AB3">
            <w:pPr>
              <w:rPr>
                <w:rFonts w:ascii="Times New Roman" w:eastAsia="宋体" w:hAnsi="Times New Roman" w:cs="Times New Roman" w:hint="eastAsia"/>
                <w:szCs w:val="24"/>
              </w:rPr>
            </w:pPr>
            <w:r w:rsidRPr="00C64AB3">
              <w:rPr>
                <w:rFonts w:ascii="Times New Roman" w:eastAsia="宋体" w:hAnsi="Times New Roman" w:cs="Times New Roman" w:hint="eastAsia"/>
                <w:szCs w:val="24"/>
              </w:rPr>
              <w:t xml:space="preserve">1. </w:t>
            </w:r>
            <w:r w:rsidRPr="00C64AB3">
              <w:rPr>
                <w:rFonts w:ascii="Times New Roman" w:eastAsia="宋体" w:hAnsi="Times New Roman" w:cs="Times New Roman" w:hint="eastAsia"/>
                <w:szCs w:val="24"/>
              </w:rPr>
              <w:t>与</w:t>
            </w:r>
            <w:r w:rsidRPr="00C64AB3">
              <w:rPr>
                <w:rFonts w:ascii="Times New Roman" w:eastAsia="宋体" w:hAnsi="Times New Roman" w:cs="Times New Roman" w:hint="eastAsia"/>
                <w:szCs w:val="24"/>
              </w:rPr>
              <w:t xml:space="preserve"> HIS </w:t>
            </w:r>
            <w:r w:rsidRPr="00C64AB3">
              <w:rPr>
                <w:rFonts w:ascii="Times New Roman" w:eastAsia="宋体" w:hAnsi="Times New Roman" w:cs="Times New Roman" w:hint="eastAsia"/>
                <w:szCs w:val="24"/>
              </w:rPr>
              <w:t>系统对接，实现患者基本信息、医嘱数据的实时同步；</w:t>
            </w:r>
            <w:r w:rsidRPr="00C64AB3">
              <w:rPr>
                <w:rFonts w:ascii="Times New Roman" w:eastAsia="宋体" w:hAnsi="Times New Roman" w:cs="Times New Roman" w:hint="eastAsia"/>
                <w:szCs w:val="24"/>
              </w:rPr>
              <w:br/>
              <w:t xml:space="preserve">2. </w:t>
            </w:r>
            <w:r w:rsidRPr="00C64AB3">
              <w:rPr>
                <w:rFonts w:ascii="Times New Roman" w:eastAsia="宋体" w:hAnsi="Times New Roman" w:cs="Times New Roman" w:hint="eastAsia"/>
                <w:szCs w:val="24"/>
              </w:rPr>
              <w:t>与</w:t>
            </w:r>
            <w:r w:rsidRPr="00C64AB3">
              <w:rPr>
                <w:rFonts w:ascii="Times New Roman" w:eastAsia="宋体" w:hAnsi="Times New Roman" w:cs="Times New Roman" w:hint="eastAsia"/>
                <w:szCs w:val="24"/>
              </w:rPr>
              <w:t xml:space="preserve"> EMR </w:t>
            </w:r>
            <w:r w:rsidRPr="00C64AB3">
              <w:rPr>
                <w:rFonts w:ascii="Times New Roman" w:eastAsia="宋体" w:hAnsi="Times New Roman" w:cs="Times New Roman" w:hint="eastAsia"/>
                <w:szCs w:val="24"/>
              </w:rPr>
              <w:t>系统对接，获取电子病历、病程记录及诊断信息；</w:t>
            </w:r>
          </w:p>
        </w:tc>
      </w:tr>
      <w:tr w:rsidR="00C64AB3" w:rsidRPr="00C64AB3" w14:paraId="2E761EBC" w14:textId="77777777" w:rsidTr="0059125F">
        <w:tc>
          <w:tcPr>
            <w:tcW w:w="1101" w:type="dxa"/>
            <w:vMerge/>
            <w:tcBorders>
              <w:left w:val="single" w:sz="4" w:space="0" w:color="auto"/>
              <w:right w:val="single" w:sz="4" w:space="0" w:color="auto"/>
            </w:tcBorders>
            <w:vAlign w:val="center"/>
          </w:tcPr>
          <w:p w14:paraId="0E47740C" w14:textId="77777777" w:rsidR="00C64AB3" w:rsidRPr="00C64AB3" w:rsidRDefault="00C64AB3" w:rsidP="00C64AB3">
            <w:pPr>
              <w:widowControl/>
              <w:jc w:val="left"/>
              <w:rPr>
                <w:rFonts w:ascii="宋体" w:eastAsia="宋体" w:hAnsi="宋体"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63BAF99" w14:textId="77777777" w:rsidR="00C64AB3" w:rsidRPr="00C64AB3" w:rsidRDefault="00C64AB3" w:rsidP="00C64AB3">
            <w:pPr>
              <w:rPr>
                <w:rFonts w:ascii="宋体" w:eastAsia="宋体" w:hAnsi="宋体" w:cs="Times New Roman" w:hint="eastAsia"/>
                <w:szCs w:val="21"/>
              </w:rPr>
            </w:pPr>
            <w:r w:rsidRPr="00C64AB3">
              <w:rPr>
                <w:rFonts w:ascii="宋体" w:eastAsia="宋体" w:hAnsi="宋体" w:cs="Times New Roman"/>
                <w:szCs w:val="21"/>
              </w:rPr>
              <w:t>系统集成服务</w:t>
            </w:r>
          </w:p>
        </w:tc>
        <w:tc>
          <w:tcPr>
            <w:tcW w:w="5586" w:type="dxa"/>
            <w:tcBorders>
              <w:top w:val="single" w:sz="4" w:space="0" w:color="auto"/>
              <w:left w:val="single" w:sz="4" w:space="0" w:color="auto"/>
              <w:bottom w:val="single" w:sz="4" w:space="0" w:color="auto"/>
              <w:right w:val="single" w:sz="4" w:space="0" w:color="auto"/>
            </w:tcBorders>
          </w:tcPr>
          <w:p w14:paraId="1ACC661D" w14:textId="77777777" w:rsidR="00C64AB3" w:rsidRPr="00C64AB3" w:rsidRDefault="00C64AB3" w:rsidP="00C64AB3">
            <w:pPr>
              <w:rPr>
                <w:rFonts w:ascii="宋体" w:eastAsia="宋体" w:hAnsi="宋体" w:cs="Times New Roman" w:hint="eastAsia"/>
                <w:szCs w:val="21"/>
              </w:rPr>
            </w:pPr>
            <w:r w:rsidRPr="00C64AB3">
              <w:rPr>
                <w:rFonts w:ascii="Times New Roman" w:eastAsia="宋体" w:hAnsi="Times New Roman" w:cs="Times New Roman" w:hint="eastAsia"/>
                <w:szCs w:val="24"/>
              </w:rPr>
              <w:t xml:space="preserve">1. </w:t>
            </w:r>
            <w:r w:rsidRPr="00C64AB3">
              <w:rPr>
                <w:rFonts w:ascii="Times New Roman" w:eastAsia="宋体" w:hAnsi="Times New Roman" w:cs="Times New Roman" w:hint="eastAsia"/>
                <w:szCs w:val="24"/>
              </w:rPr>
              <w:t>平台与院内现有硬件设备（如前置机、服务器）的集成部署；</w:t>
            </w:r>
            <w:r w:rsidRPr="00C64AB3">
              <w:rPr>
                <w:rFonts w:ascii="Times New Roman" w:eastAsia="宋体" w:hAnsi="Times New Roman" w:cs="Times New Roman" w:hint="eastAsia"/>
                <w:szCs w:val="24"/>
              </w:rPr>
              <w:br/>
              <w:t xml:space="preserve">2. </w:t>
            </w:r>
            <w:r w:rsidRPr="00C64AB3">
              <w:rPr>
                <w:rFonts w:ascii="Times New Roman" w:eastAsia="宋体" w:hAnsi="Times New Roman" w:cs="Times New Roman" w:hint="eastAsia"/>
                <w:szCs w:val="24"/>
              </w:rPr>
              <w:t>系统模块（住院药学监护、居家用药管理等）的功能整合与调试；</w:t>
            </w:r>
            <w:r w:rsidRPr="00C64AB3">
              <w:rPr>
                <w:rFonts w:ascii="Times New Roman" w:eastAsia="宋体" w:hAnsi="Times New Roman" w:cs="Times New Roman" w:hint="eastAsia"/>
                <w:szCs w:val="24"/>
              </w:rPr>
              <w:br/>
              <w:t xml:space="preserve">3. </w:t>
            </w:r>
            <w:r w:rsidRPr="00C64AB3">
              <w:rPr>
                <w:rFonts w:ascii="Times New Roman" w:eastAsia="宋体" w:hAnsi="Times New Roman" w:cs="Times New Roman" w:hint="eastAsia"/>
                <w:szCs w:val="24"/>
              </w:rPr>
              <w:t>数据迁移方案设计及历史药学数据导入。</w:t>
            </w:r>
          </w:p>
        </w:tc>
      </w:tr>
      <w:tr w:rsidR="00C64AB3" w:rsidRPr="00C64AB3" w14:paraId="1BB32218" w14:textId="77777777" w:rsidTr="0059125F">
        <w:tc>
          <w:tcPr>
            <w:tcW w:w="1101" w:type="dxa"/>
            <w:vMerge/>
            <w:tcBorders>
              <w:left w:val="single" w:sz="4" w:space="0" w:color="auto"/>
              <w:right w:val="single" w:sz="4" w:space="0" w:color="auto"/>
            </w:tcBorders>
            <w:vAlign w:val="center"/>
          </w:tcPr>
          <w:p w14:paraId="0485CE9E" w14:textId="77777777" w:rsidR="00C64AB3" w:rsidRPr="00C64AB3" w:rsidRDefault="00C64AB3" w:rsidP="00C64AB3">
            <w:pPr>
              <w:widowControl/>
              <w:jc w:val="left"/>
              <w:rPr>
                <w:rFonts w:ascii="宋体" w:eastAsia="宋体" w:hAnsi="宋体" w:cs="Times New Roman"/>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C543F58" w14:textId="77777777" w:rsidR="00C64AB3" w:rsidRPr="00C64AB3" w:rsidRDefault="00C64AB3" w:rsidP="00C64AB3">
            <w:pPr>
              <w:rPr>
                <w:rFonts w:ascii="宋体" w:eastAsia="宋体" w:hAnsi="宋体" w:cs="Times New Roman"/>
                <w:color w:val="000000"/>
                <w:szCs w:val="21"/>
              </w:rPr>
            </w:pPr>
            <w:r w:rsidRPr="00C64AB3">
              <w:rPr>
                <w:rFonts w:ascii="宋体" w:eastAsia="宋体" w:hAnsi="宋体" w:cs="Times New Roman"/>
                <w:color w:val="000000"/>
                <w:szCs w:val="21"/>
              </w:rPr>
              <w:t>智慧药学服务平台与 DeepSeek 大模型对接功能</w:t>
            </w:r>
          </w:p>
          <w:p w14:paraId="670ED26E" w14:textId="77777777" w:rsidR="00C64AB3" w:rsidRPr="00C64AB3" w:rsidRDefault="00C64AB3" w:rsidP="00C64AB3">
            <w:pPr>
              <w:rPr>
                <w:rFonts w:ascii="宋体" w:eastAsia="宋体" w:hAnsi="宋体" w:cs="Times New Roman"/>
                <w:color w:val="000000"/>
                <w:szCs w:val="21"/>
              </w:rPr>
            </w:pPr>
          </w:p>
        </w:tc>
        <w:tc>
          <w:tcPr>
            <w:tcW w:w="5586" w:type="dxa"/>
            <w:tcBorders>
              <w:top w:val="single" w:sz="4" w:space="0" w:color="auto"/>
              <w:left w:val="single" w:sz="4" w:space="0" w:color="auto"/>
              <w:bottom w:val="single" w:sz="4" w:space="0" w:color="auto"/>
              <w:right w:val="single" w:sz="4" w:space="0" w:color="auto"/>
            </w:tcBorders>
          </w:tcPr>
          <w:p w14:paraId="3EABC065" w14:textId="77777777" w:rsidR="00C64AB3" w:rsidRPr="00C64AB3" w:rsidRDefault="00C64AB3" w:rsidP="00C64AB3">
            <w:pPr>
              <w:numPr>
                <w:ilvl w:val="0"/>
                <w:numId w:val="1"/>
              </w:numPr>
              <w:rPr>
                <w:rFonts w:ascii="Times New Roman" w:eastAsia="宋体" w:hAnsi="Times New Roman" w:cs="Times New Roman" w:hint="eastAsia"/>
                <w:color w:val="000000"/>
                <w:szCs w:val="24"/>
              </w:rPr>
            </w:pPr>
            <w:r w:rsidRPr="00C64AB3">
              <w:rPr>
                <w:rFonts w:ascii="Times New Roman" w:eastAsia="宋体" w:hAnsi="Times New Roman" w:cs="Times New Roman" w:hint="eastAsia"/>
                <w:color w:val="000000"/>
                <w:szCs w:val="24"/>
              </w:rPr>
              <w:t>硬件由采购人提供</w:t>
            </w:r>
          </w:p>
          <w:p w14:paraId="5E00B4E3" w14:textId="77777777" w:rsidR="00C64AB3" w:rsidRPr="00C64AB3" w:rsidRDefault="00C64AB3" w:rsidP="00C64AB3">
            <w:pPr>
              <w:rPr>
                <w:rFonts w:ascii="Times New Roman" w:eastAsia="宋体" w:hAnsi="Times New Roman" w:cs="Times New Roman" w:hint="eastAsia"/>
                <w:color w:val="000000"/>
                <w:szCs w:val="24"/>
              </w:rPr>
            </w:pPr>
            <w:r w:rsidRPr="00C64AB3">
              <w:rPr>
                <w:rFonts w:ascii="Times New Roman" w:eastAsia="宋体" w:hAnsi="Times New Roman" w:cs="Times New Roman" w:hint="eastAsia"/>
                <w:color w:val="000000"/>
                <w:szCs w:val="24"/>
              </w:rPr>
              <w:t>投标功能</w:t>
            </w:r>
            <w:proofErr w:type="gramStart"/>
            <w:r w:rsidRPr="00C64AB3">
              <w:rPr>
                <w:rFonts w:ascii="Times New Roman" w:eastAsia="宋体" w:hAnsi="Times New Roman" w:cs="Times New Roman" w:hint="eastAsia"/>
                <w:color w:val="000000"/>
                <w:szCs w:val="24"/>
              </w:rPr>
              <w:t>需支持</w:t>
            </w:r>
            <w:proofErr w:type="gramEnd"/>
            <w:r w:rsidRPr="00C64AB3">
              <w:rPr>
                <w:rFonts w:ascii="Times New Roman" w:eastAsia="宋体" w:hAnsi="Times New Roman" w:cs="Times New Roman" w:hint="eastAsia"/>
                <w:color w:val="000000"/>
                <w:szCs w:val="24"/>
              </w:rPr>
              <w:t>与</w:t>
            </w:r>
            <w:r w:rsidRPr="00C64AB3">
              <w:rPr>
                <w:rFonts w:ascii="Times New Roman" w:eastAsia="宋体" w:hAnsi="Times New Roman" w:cs="Times New Roman" w:hint="eastAsia"/>
                <w:color w:val="000000"/>
                <w:szCs w:val="24"/>
              </w:rPr>
              <w:t xml:space="preserve"> DeepSeek </w:t>
            </w:r>
            <w:r w:rsidRPr="00C64AB3">
              <w:rPr>
                <w:rFonts w:ascii="Times New Roman" w:eastAsia="宋体" w:hAnsi="Times New Roman" w:cs="Times New Roman" w:hint="eastAsia"/>
                <w:color w:val="000000"/>
                <w:szCs w:val="24"/>
              </w:rPr>
              <w:t>大模型（版本：</w:t>
            </w:r>
            <w:r w:rsidRPr="00C64AB3">
              <w:rPr>
                <w:rFonts w:ascii="Times New Roman" w:eastAsia="宋体" w:hAnsi="Times New Roman" w:cs="Times New Roman" w:hint="eastAsia"/>
                <w:color w:val="000000"/>
                <w:szCs w:val="24"/>
              </w:rPr>
              <w:t xml:space="preserve">deepseek-r1-32b </w:t>
            </w:r>
            <w:r w:rsidRPr="00C64AB3">
              <w:rPr>
                <w:rFonts w:ascii="Times New Roman" w:eastAsia="宋体" w:hAnsi="Times New Roman" w:cs="Times New Roman" w:hint="eastAsia"/>
                <w:color w:val="000000"/>
                <w:szCs w:val="24"/>
              </w:rPr>
              <w:t>及以上）进行深度集成，实现以下功能：</w:t>
            </w:r>
          </w:p>
          <w:p w14:paraId="5C284C45" w14:textId="77777777" w:rsidR="00C64AB3" w:rsidRPr="00C64AB3" w:rsidRDefault="00C64AB3" w:rsidP="00C64AB3">
            <w:pPr>
              <w:rPr>
                <w:rFonts w:ascii="Times New Roman" w:eastAsia="宋体" w:hAnsi="Times New Roman" w:cs="Times New Roman" w:hint="eastAsia"/>
                <w:color w:val="000000"/>
                <w:szCs w:val="24"/>
              </w:rPr>
            </w:pPr>
            <w:r w:rsidRPr="00C64AB3">
              <w:rPr>
                <w:rFonts w:ascii="Times New Roman" w:eastAsia="宋体" w:hAnsi="Times New Roman" w:cs="Times New Roman" w:hint="eastAsia"/>
                <w:color w:val="000000"/>
                <w:szCs w:val="24"/>
              </w:rPr>
              <w:t>在住院药学监护系统（</w:t>
            </w:r>
            <w:r w:rsidRPr="00C64AB3">
              <w:rPr>
                <w:rFonts w:ascii="Times New Roman" w:eastAsia="宋体" w:hAnsi="Times New Roman" w:cs="Times New Roman" w:hint="eastAsia"/>
                <w:color w:val="000000"/>
                <w:szCs w:val="24"/>
              </w:rPr>
              <w:t>IPC</w:t>
            </w:r>
            <w:r w:rsidRPr="00C64AB3">
              <w:rPr>
                <w:rFonts w:ascii="Times New Roman" w:eastAsia="宋体" w:hAnsi="Times New Roman" w:cs="Times New Roman" w:hint="eastAsia"/>
                <w:color w:val="000000"/>
                <w:szCs w:val="24"/>
              </w:rPr>
              <w:t>）中，药师可将患者信息、用药问题等数据推送至</w:t>
            </w:r>
            <w:r w:rsidRPr="00C64AB3">
              <w:rPr>
                <w:rFonts w:ascii="Times New Roman" w:eastAsia="宋体" w:hAnsi="Times New Roman" w:cs="Times New Roman" w:hint="eastAsia"/>
                <w:color w:val="000000"/>
                <w:szCs w:val="24"/>
              </w:rPr>
              <w:t xml:space="preserve"> DeepSeek</w:t>
            </w:r>
            <w:r w:rsidRPr="00C64AB3">
              <w:rPr>
                <w:rFonts w:ascii="Times New Roman" w:eastAsia="宋体" w:hAnsi="Times New Roman" w:cs="Times New Roman" w:hint="eastAsia"/>
                <w:color w:val="000000"/>
                <w:szCs w:val="24"/>
              </w:rPr>
              <w:t>，获取用药建议、药物相互作用分析等参考结果。</w:t>
            </w:r>
          </w:p>
          <w:p w14:paraId="1102CAD0" w14:textId="77777777" w:rsidR="00C64AB3" w:rsidRPr="00C64AB3" w:rsidRDefault="00C64AB3" w:rsidP="00C64AB3">
            <w:pPr>
              <w:rPr>
                <w:rFonts w:ascii="Times New Roman" w:eastAsia="宋体" w:hAnsi="Times New Roman" w:cs="Times New Roman" w:hint="eastAsia"/>
                <w:color w:val="000000"/>
                <w:szCs w:val="24"/>
              </w:rPr>
            </w:pPr>
            <w:r w:rsidRPr="00C64AB3">
              <w:rPr>
                <w:rFonts w:ascii="Times New Roman" w:eastAsia="宋体" w:hAnsi="Times New Roman" w:cs="Times New Roman" w:hint="eastAsia"/>
                <w:color w:val="000000"/>
                <w:szCs w:val="24"/>
              </w:rPr>
              <w:t>在处方点评系统（</w:t>
            </w:r>
            <w:r w:rsidRPr="00C64AB3">
              <w:rPr>
                <w:rFonts w:ascii="Times New Roman" w:eastAsia="宋体" w:hAnsi="Times New Roman" w:cs="Times New Roman" w:hint="eastAsia"/>
                <w:color w:val="000000"/>
                <w:szCs w:val="24"/>
              </w:rPr>
              <w:t>PA</w:t>
            </w:r>
            <w:r w:rsidRPr="00C64AB3">
              <w:rPr>
                <w:rFonts w:ascii="Times New Roman" w:eastAsia="宋体" w:hAnsi="Times New Roman" w:cs="Times New Roman" w:hint="eastAsia"/>
                <w:color w:val="000000"/>
                <w:szCs w:val="24"/>
              </w:rPr>
              <w:t>）中，同步启用系统现有规则库与</w:t>
            </w:r>
            <w:r w:rsidRPr="00C64AB3">
              <w:rPr>
                <w:rFonts w:ascii="Times New Roman" w:eastAsia="宋体" w:hAnsi="Times New Roman" w:cs="Times New Roman" w:hint="eastAsia"/>
                <w:color w:val="000000"/>
                <w:szCs w:val="24"/>
              </w:rPr>
              <w:t xml:space="preserve"> DeepSeek </w:t>
            </w:r>
            <w:r w:rsidRPr="00C64AB3">
              <w:rPr>
                <w:rFonts w:ascii="Times New Roman" w:eastAsia="宋体" w:hAnsi="Times New Roman" w:cs="Times New Roman" w:hint="eastAsia"/>
                <w:color w:val="000000"/>
                <w:szCs w:val="24"/>
              </w:rPr>
              <w:t>模型进行双重点评，提供多元处方审核依据。</w:t>
            </w:r>
          </w:p>
          <w:p w14:paraId="332B3593" w14:textId="77777777" w:rsidR="00C64AB3" w:rsidRPr="00C64AB3" w:rsidRDefault="00C64AB3" w:rsidP="00C64AB3">
            <w:pPr>
              <w:rPr>
                <w:rFonts w:ascii="Times New Roman" w:eastAsia="宋体" w:hAnsi="Times New Roman" w:cs="Times New Roman"/>
                <w:color w:val="000000"/>
                <w:szCs w:val="24"/>
              </w:rPr>
            </w:pPr>
            <w:r w:rsidRPr="00C64AB3">
              <w:rPr>
                <w:rFonts w:ascii="Times New Roman" w:eastAsia="宋体" w:hAnsi="Times New Roman" w:cs="Times New Roman" w:hint="eastAsia"/>
                <w:color w:val="000000"/>
                <w:szCs w:val="24"/>
              </w:rPr>
              <w:t>在合理用药信息支持系统中，集成</w:t>
            </w:r>
            <w:r w:rsidRPr="00C64AB3">
              <w:rPr>
                <w:rFonts w:ascii="Times New Roman" w:eastAsia="宋体" w:hAnsi="Times New Roman" w:cs="Times New Roman" w:hint="eastAsia"/>
                <w:color w:val="000000"/>
                <w:szCs w:val="24"/>
              </w:rPr>
              <w:t xml:space="preserve"> DeepSeek </w:t>
            </w:r>
            <w:r w:rsidRPr="00C64AB3">
              <w:rPr>
                <w:rFonts w:ascii="Times New Roman" w:eastAsia="宋体" w:hAnsi="Times New Roman" w:cs="Times New Roman" w:hint="eastAsia"/>
                <w:color w:val="000000"/>
                <w:szCs w:val="24"/>
              </w:rPr>
              <w:t>的药物知识问答功能，实现药物信息的自然语言交互查询。</w:t>
            </w:r>
          </w:p>
        </w:tc>
      </w:tr>
    </w:tbl>
    <w:p w14:paraId="422FB674" w14:textId="77777777" w:rsidR="00C64AB3" w:rsidRPr="00C64AB3" w:rsidRDefault="00C64AB3" w:rsidP="00C64AB3">
      <w:pPr>
        <w:rPr>
          <w:rFonts w:ascii="宋体" w:eastAsia="宋体" w:hAnsi="宋体" w:cs="Times New Roman" w:hint="eastAsia"/>
          <w:szCs w:val="21"/>
        </w:rPr>
      </w:pPr>
    </w:p>
    <w:p w14:paraId="3B7761C6"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b/>
          <w:bCs/>
          <w:kern w:val="0"/>
          <w:szCs w:val="16"/>
        </w:rPr>
      </w:pPr>
      <w:bookmarkStart w:id="12" w:name="_Toc193468416"/>
      <w:bookmarkStart w:id="13" w:name="_Toc203384949"/>
      <w:r w:rsidRPr="00C64AB3">
        <w:rPr>
          <w:rFonts w:ascii="宋体" w:eastAsia="宋体" w:hAnsi="宋体" w:cs="Times New Roman" w:hint="eastAsia"/>
          <w:b/>
          <w:bCs/>
          <w:kern w:val="0"/>
          <w:szCs w:val="16"/>
        </w:rPr>
        <w:t>四、项目人员要求</w:t>
      </w:r>
      <w:bookmarkEnd w:id="12"/>
      <w:bookmarkEnd w:id="13"/>
    </w:p>
    <w:p w14:paraId="6DEEB667" w14:textId="77777777" w:rsidR="00C64AB3" w:rsidRPr="00C64AB3" w:rsidRDefault="00C64AB3" w:rsidP="00C64AB3">
      <w:pPr>
        <w:adjustRightInd w:val="0"/>
        <w:snapToGrid w:val="0"/>
        <w:ind w:firstLineChars="200" w:firstLine="420"/>
        <w:rPr>
          <w:rFonts w:ascii="宋体" w:eastAsia="宋体" w:hAnsi="宋体" w:cs="宋体" w:hint="eastAsia"/>
          <w:color w:val="000000"/>
          <w:kern w:val="0"/>
          <w:szCs w:val="21"/>
        </w:rPr>
      </w:pPr>
      <w:r w:rsidRPr="00C64AB3">
        <w:rPr>
          <w:rFonts w:ascii="宋体" w:eastAsia="宋体" w:hAnsi="宋体" w:cs="宋体" w:hint="eastAsia"/>
          <w:color w:val="000000"/>
          <w:kern w:val="0"/>
          <w:szCs w:val="21"/>
        </w:rPr>
        <w:t>1、中标后，中标人或所投产品厂商安排至少一名工程师提供驻场实施服务，负责系统部署、调试及现场技术支持。</w:t>
      </w:r>
    </w:p>
    <w:p w14:paraId="79D88693" w14:textId="77777777" w:rsidR="00C64AB3" w:rsidRPr="00C64AB3" w:rsidRDefault="00C64AB3" w:rsidP="00C64AB3">
      <w:pPr>
        <w:ind w:firstLineChars="200" w:firstLine="420"/>
        <w:rPr>
          <w:rFonts w:ascii="宋体" w:eastAsia="宋体" w:hAnsi="宋体" w:cs="Times New Roman" w:hint="eastAsia"/>
          <w:b/>
          <w:szCs w:val="21"/>
        </w:rPr>
      </w:pPr>
      <w:r w:rsidRPr="00C64AB3">
        <w:rPr>
          <w:rFonts w:ascii="宋体" w:eastAsia="宋体" w:hAnsi="宋体" w:cs="宋体" w:hint="eastAsia"/>
          <w:color w:val="000000"/>
          <w:kern w:val="0"/>
          <w:szCs w:val="21"/>
        </w:rPr>
        <w:t>2、中标后，中标人有项目团队跟进项目，项目负责人在验收前未经采购人同意不可更换；确需更换的需提前1个月书面征得采购人同意后更换。</w:t>
      </w:r>
    </w:p>
    <w:p w14:paraId="02AFAAAB"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b/>
          <w:bCs/>
          <w:color w:val="FF0000"/>
          <w:kern w:val="0"/>
          <w:szCs w:val="16"/>
        </w:rPr>
      </w:pPr>
      <w:bookmarkStart w:id="14" w:name="_Toc203384950"/>
      <w:r w:rsidRPr="00C64AB3">
        <w:rPr>
          <w:rFonts w:ascii="宋体" w:eastAsia="宋体" w:hAnsi="宋体" w:cs="Times New Roman" w:hint="eastAsia"/>
          <w:b/>
          <w:bCs/>
          <w:color w:val="FF0000"/>
          <w:kern w:val="0"/>
          <w:szCs w:val="16"/>
        </w:rPr>
        <w:t>★五、</w:t>
      </w:r>
      <w:r w:rsidRPr="00C64AB3">
        <w:rPr>
          <w:rFonts w:ascii="宋体" w:eastAsia="宋体" w:hAnsi="宋体" w:cs="Times New Roman"/>
          <w:b/>
          <w:bCs/>
          <w:color w:val="FF0000"/>
          <w:kern w:val="0"/>
          <w:szCs w:val="16"/>
        </w:rPr>
        <w:t>商务要求</w:t>
      </w:r>
      <w:r w:rsidRPr="00C64AB3">
        <w:rPr>
          <w:rFonts w:ascii="宋体" w:eastAsia="宋体" w:hAnsi="宋体" w:cs="Times New Roman" w:hint="eastAsia"/>
          <w:b/>
          <w:bCs/>
          <w:color w:val="FF0000"/>
          <w:kern w:val="0"/>
          <w:szCs w:val="16"/>
        </w:rPr>
        <w:t>（注：以下商务要求条款均为实质性条款，供应商投标时不得负偏离，必须在投标文件中提供《商务条款偏离表》，且投标承诺为“完全响应”，否则按投标无效处理。）</w:t>
      </w:r>
      <w:bookmarkEnd w:id="14"/>
    </w:p>
    <w:p w14:paraId="28331FF0" w14:textId="77777777" w:rsidR="00C64AB3" w:rsidRPr="00C64AB3" w:rsidRDefault="00C64AB3" w:rsidP="00C64AB3">
      <w:pPr>
        <w:ind w:firstLineChars="200" w:firstLine="422"/>
        <w:rPr>
          <w:rFonts w:ascii="宋体" w:eastAsia="宋体" w:hAnsi="宋体" w:cs="宋体" w:hint="eastAsia"/>
          <w:b/>
          <w:bCs/>
          <w:szCs w:val="24"/>
        </w:rPr>
      </w:pPr>
      <w:r w:rsidRPr="00C64AB3">
        <w:rPr>
          <w:rFonts w:ascii="宋体" w:eastAsia="宋体" w:hAnsi="宋体" w:cs="宋体" w:hint="eastAsia"/>
          <w:b/>
          <w:bCs/>
          <w:szCs w:val="24"/>
        </w:rPr>
        <w:t>（一）交货时间:</w:t>
      </w:r>
      <w:r w:rsidRPr="00C64AB3">
        <w:rPr>
          <w:rFonts w:ascii="Times New Roman" w:eastAsia="宋体" w:hAnsi="Times New Roman" w:cs="Times New Roman" w:hint="eastAsia"/>
          <w:szCs w:val="24"/>
        </w:rPr>
        <w:t xml:space="preserve"> </w:t>
      </w:r>
      <w:r w:rsidRPr="00C64AB3">
        <w:rPr>
          <w:rFonts w:ascii="宋体" w:eastAsia="宋体" w:hAnsi="宋体" w:cs="宋体" w:hint="eastAsia"/>
          <w:b/>
          <w:bCs/>
          <w:szCs w:val="24"/>
        </w:rPr>
        <w:t>合同签订 6个月内完成系统的实施、培训交付使用。逾期未能交付使用，采购人有权取消双方合同，造成的损失由中标人负责。</w:t>
      </w:r>
    </w:p>
    <w:p w14:paraId="4C5D0E69" w14:textId="77777777" w:rsidR="00C64AB3" w:rsidRPr="00C64AB3" w:rsidRDefault="00C64AB3" w:rsidP="00C64AB3">
      <w:pPr>
        <w:ind w:firstLineChars="200" w:firstLine="422"/>
        <w:rPr>
          <w:rFonts w:ascii="宋体" w:eastAsia="宋体" w:hAnsi="宋体" w:cs="宋体" w:hint="eastAsia"/>
          <w:szCs w:val="24"/>
        </w:rPr>
      </w:pPr>
      <w:r w:rsidRPr="00C64AB3">
        <w:rPr>
          <w:rFonts w:ascii="宋体" w:eastAsia="宋体" w:hAnsi="宋体" w:cs="宋体" w:hint="eastAsia"/>
          <w:b/>
          <w:bCs/>
          <w:szCs w:val="24"/>
        </w:rPr>
        <w:t>（二）交货地点</w:t>
      </w:r>
      <w:r w:rsidRPr="00C64AB3">
        <w:rPr>
          <w:rFonts w:ascii="宋体" w:eastAsia="宋体" w:hAnsi="宋体" w:cs="宋体" w:hint="eastAsia"/>
          <w:szCs w:val="24"/>
        </w:rPr>
        <w:t>：中山大学附属第八医院（深圳福田）</w:t>
      </w:r>
    </w:p>
    <w:p w14:paraId="28FEA2EB" w14:textId="77777777" w:rsidR="00C64AB3" w:rsidRPr="00C64AB3" w:rsidRDefault="00C64AB3" w:rsidP="00C64AB3">
      <w:pPr>
        <w:ind w:firstLineChars="200" w:firstLine="422"/>
        <w:rPr>
          <w:rFonts w:ascii="宋体" w:eastAsia="宋体" w:hAnsi="宋体" w:cs="宋体" w:hint="eastAsia"/>
          <w:b/>
          <w:bCs/>
          <w:szCs w:val="24"/>
        </w:rPr>
      </w:pPr>
      <w:r w:rsidRPr="00C64AB3">
        <w:rPr>
          <w:rFonts w:ascii="宋体" w:eastAsia="宋体" w:hAnsi="宋体" w:cs="宋体" w:hint="eastAsia"/>
          <w:b/>
          <w:bCs/>
          <w:szCs w:val="24"/>
        </w:rPr>
        <w:t>（三）验收要求</w:t>
      </w:r>
    </w:p>
    <w:p w14:paraId="4BBCE3DE"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当满足以下条件时，采购人才向中标人签发软件系统验收报告：</w:t>
      </w:r>
    </w:p>
    <w:p w14:paraId="287E94F7"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1、在本期项目交付使用后，要求将各个阶段产生的全面、规范的成果和文档资料交付给采购人，而且要提供明确的交付清单。要交付的成果和文档资料</w:t>
      </w:r>
      <w:proofErr w:type="gramStart"/>
      <w:r w:rsidRPr="00C64AB3">
        <w:rPr>
          <w:rFonts w:ascii="宋体" w:eastAsia="宋体" w:hAnsi="宋体" w:cs="宋体" w:hint="eastAsia"/>
          <w:szCs w:val="24"/>
        </w:rPr>
        <w:t>需包括</w:t>
      </w:r>
      <w:proofErr w:type="gramEnd"/>
      <w:r w:rsidRPr="00C64AB3">
        <w:rPr>
          <w:rFonts w:ascii="宋体" w:eastAsia="宋体" w:hAnsi="宋体" w:cs="宋体" w:hint="eastAsia"/>
          <w:szCs w:val="24"/>
        </w:rPr>
        <w:t>以下部分：</w:t>
      </w:r>
    </w:p>
    <w:p w14:paraId="1B258EFD"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（1）可运行的系统。</w:t>
      </w:r>
    </w:p>
    <w:p w14:paraId="0AEB4FCA"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（2）技术文档： 包括项目开发中的各种技术文档，如项目计划书、软件需求说明书、系统技术说明书、系统测试计划、系统测试报告、用户使用手册。</w:t>
      </w:r>
    </w:p>
    <w:p w14:paraId="00609DA0"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（3）管理文档： 包括项目开发中的一些工作文档，如，计划、报告、讨论纲要、会议记录。</w:t>
      </w:r>
    </w:p>
    <w:p w14:paraId="158BC12B"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2、中标人所提供的软件系统功能上满足合同约定的功能要求，性能稳定，数据安全，用户操作方便。系统正式上线，连续正常运行不少于一个月，且运行稳定无障碍，不影响系统运行稳定的缺陷或漏洞得到及时解决后，采购人组织用户依照本项目招标文件需求内容、签署的采购合同及中标人在投标中所作的一切投标响应进行验收。项目验收应达到全部指标合格。</w:t>
      </w:r>
    </w:p>
    <w:p w14:paraId="2D7E5163" w14:textId="77777777" w:rsidR="00C64AB3" w:rsidRPr="00C64AB3" w:rsidRDefault="00C64AB3" w:rsidP="00C64AB3">
      <w:pPr>
        <w:ind w:firstLineChars="200" w:firstLine="420"/>
        <w:rPr>
          <w:rFonts w:ascii="宋体" w:eastAsia="宋体" w:hAnsi="宋体" w:cs="宋体"/>
          <w:color w:val="000000"/>
          <w:szCs w:val="24"/>
        </w:rPr>
      </w:pPr>
      <w:r w:rsidRPr="00C64AB3">
        <w:rPr>
          <w:rFonts w:ascii="宋体" w:eastAsia="宋体" w:hAnsi="宋体" w:cs="宋体" w:hint="eastAsia"/>
          <w:color w:val="000000"/>
          <w:szCs w:val="24"/>
        </w:rPr>
        <w:t xml:space="preserve">3、当采购人提供符合的硬件设备后，中标人须在 30 </w:t>
      </w:r>
      <w:proofErr w:type="gramStart"/>
      <w:r w:rsidRPr="00C64AB3">
        <w:rPr>
          <w:rFonts w:ascii="宋体" w:eastAsia="宋体" w:hAnsi="宋体" w:cs="宋体" w:hint="eastAsia"/>
          <w:color w:val="000000"/>
          <w:szCs w:val="24"/>
        </w:rPr>
        <w:t>个</w:t>
      </w:r>
      <w:proofErr w:type="gramEnd"/>
      <w:r w:rsidRPr="00C64AB3">
        <w:rPr>
          <w:rFonts w:ascii="宋体" w:eastAsia="宋体" w:hAnsi="宋体" w:cs="宋体" w:hint="eastAsia"/>
          <w:color w:val="000000"/>
          <w:szCs w:val="24"/>
        </w:rPr>
        <w:t>工作日内完成 DeepSeek 功能的对接与调试，具体验收条件如下：</w:t>
      </w:r>
      <w:r w:rsidRPr="00C64AB3">
        <w:rPr>
          <w:rFonts w:ascii="宋体" w:eastAsia="宋体" w:hAnsi="宋体" w:cs="宋体"/>
          <w:color w:val="000000"/>
          <w:szCs w:val="24"/>
        </w:rPr>
        <w:t>若采购人暂未提供硬件，不影响软件系统主体验收，DeepSeek 功能验收可暂缓；一旦采购人提供硬件，中标人须无条件履行功能对接义务，且不得要求追加费用。</w:t>
      </w:r>
    </w:p>
    <w:p w14:paraId="6204FEBD" w14:textId="77777777" w:rsidR="00C64AB3" w:rsidRPr="00C64AB3" w:rsidRDefault="00C64AB3" w:rsidP="00C64AB3">
      <w:pPr>
        <w:ind w:firstLineChars="200" w:firstLine="422"/>
        <w:rPr>
          <w:rFonts w:ascii="宋体" w:eastAsia="宋体" w:hAnsi="宋体" w:cs="宋体" w:hint="eastAsia"/>
          <w:b/>
          <w:bCs/>
          <w:szCs w:val="24"/>
        </w:rPr>
      </w:pPr>
      <w:r w:rsidRPr="00C64AB3">
        <w:rPr>
          <w:rFonts w:ascii="宋体" w:eastAsia="宋体" w:hAnsi="宋体" w:cs="宋体" w:hint="eastAsia"/>
          <w:b/>
          <w:bCs/>
          <w:szCs w:val="24"/>
        </w:rPr>
        <w:t>（四）技术支持与培训服务</w:t>
      </w:r>
    </w:p>
    <w:p w14:paraId="74AD786A" w14:textId="77777777" w:rsidR="00C64AB3" w:rsidRPr="00C64AB3" w:rsidRDefault="00C64AB3" w:rsidP="00C64AB3">
      <w:pPr>
        <w:ind w:firstLineChars="200" w:firstLine="420"/>
        <w:rPr>
          <w:rFonts w:ascii="宋体" w:eastAsia="宋体" w:hAnsi="宋体" w:cs="宋体"/>
          <w:szCs w:val="24"/>
        </w:rPr>
      </w:pPr>
      <w:r w:rsidRPr="00C64AB3">
        <w:rPr>
          <w:rFonts w:ascii="宋体" w:eastAsia="宋体" w:hAnsi="宋体" w:cs="宋体" w:hint="eastAsia"/>
          <w:szCs w:val="24"/>
        </w:rPr>
        <w:t>1、中标人需制定项目培训计划，针对不同用户角色根据需要提供全面系统的使用培训服务，保证采购人顺利掌握系统各项功能操作。培训的内容及方案应由双方协商制定；</w:t>
      </w:r>
    </w:p>
    <w:p w14:paraId="3DF17FF5" w14:textId="77777777" w:rsidR="00C64AB3" w:rsidRPr="00C64AB3" w:rsidRDefault="00C64AB3" w:rsidP="00C64AB3">
      <w:pPr>
        <w:ind w:firstLineChars="200" w:firstLine="420"/>
        <w:rPr>
          <w:rFonts w:ascii="Times New Roman" w:eastAsia="宋体" w:hAnsi="Times New Roman" w:cs="Times New Roman"/>
          <w:szCs w:val="24"/>
        </w:rPr>
      </w:pPr>
      <w:r w:rsidRPr="00C64AB3">
        <w:rPr>
          <w:rFonts w:ascii="宋体" w:eastAsia="宋体" w:hAnsi="宋体" w:cs="宋体" w:hint="eastAsia"/>
          <w:szCs w:val="24"/>
        </w:rPr>
        <w:t>2、</w:t>
      </w:r>
      <w:r w:rsidRPr="00C64AB3">
        <w:rPr>
          <w:rFonts w:ascii="Times New Roman" w:eastAsia="宋体" w:hAnsi="Times New Roman" w:cs="Times New Roman" w:hint="eastAsia"/>
          <w:szCs w:val="24"/>
        </w:rPr>
        <w:t>提供平台上线前的技术培训（针对药师、系统管理员等不同角色）；</w:t>
      </w:r>
    </w:p>
    <w:p w14:paraId="74C6A0CF" w14:textId="77777777" w:rsidR="00C64AB3" w:rsidRPr="00C64AB3" w:rsidRDefault="00C64AB3" w:rsidP="00C64AB3">
      <w:pPr>
        <w:ind w:firstLineChars="200" w:firstLine="420"/>
        <w:rPr>
          <w:rFonts w:ascii="Times New Roman" w:eastAsia="宋体" w:hAnsi="Times New Roman" w:cs="Times New Roman"/>
          <w:szCs w:val="24"/>
        </w:rPr>
      </w:pPr>
      <w:r w:rsidRPr="00C64AB3">
        <w:rPr>
          <w:rFonts w:ascii="Times New Roman" w:eastAsia="宋体" w:hAnsi="Times New Roman" w:cs="Times New Roman" w:hint="eastAsia"/>
          <w:szCs w:val="24"/>
        </w:rPr>
        <w:t>3</w:t>
      </w:r>
      <w:r w:rsidRPr="00C64AB3">
        <w:rPr>
          <w:rFonts w:ascii="Times New Roman" w:eastAsia="宋体" w:hAnsi="Times New Roman" w:cs="Times New Roman" w:hint="eastAsia"/>
          <w:szCs w:val="24"/>
        </w:rPr>
        <w:t>、提供</w:t>
      </w:r>
      <w:r w:rsidRPr="00C64AB3">
        <w:rPr>
          <w:rFonts w:ascii="Times New Roman" w:eastAsia="宋体" w:hAnsi="Times New Roman" w:cs="Times New Roman" w:hint="eastAsia"/>
          <w:szCs w:val="24"/>
        </w:rPr>
        <w:t xml:space="preserve"> 7</w:t>
      </w:r>
      <w:r w:rsidRPr="00C64AB3">
        <w:rPr>
          <w:rFonts w:ascii="Times New Roman" w:eastAsia="宋体" w:hAnsi="Times New Roman" w:cs="Times New Roman" w:hint="eastAsia"/>
          <w:szCs w:val="24"/>
        </w:rPr>
        <w:t>×</w:t>
      </w:r>
      <w:r w:rsidRPr="00C64AB3">
        <w:rPr>
          <w:rFonts w:ascii="Times New Roman" w:eastAsia="宋体" w:hAnsi="Times New Roman" w:cs="Times New Roman" w:hint="eastAsia"/>
          <w:szCs w:val="24"/>
        </w:rPr>
        <w:t xml:space="preserve">24 </w:t>
      </w:r>
      <w:r w:rsidRPr="00C64AB3">
        <w:rPr>
          <w:rFonts w:ascii="Times New Roman" w:eastAsia="宋体" w:hAnsi="Times New Roman" w:cs="Times New Roman" w:hint="eastAsia"/>
          <w:szCs w:val="24"/>
        </w:rPr>
        <w:t>小时售后技术支持，包括远程维护、现场故障处理；</w:t>
      </w:r>
    </w:p>
    <w:p w14:paraId="031417FE" w14:textId="77777777" w:rsidR="00C64AB3" w:rsidRPr="00C64AB3" w:rsidRDefault="00C64AB3" w:rsidP="00C64AB3">
      <w:pPr>
        <w:ind w:firstLineChars="200" w:firstLine="420"/>
        <w:rPr>
          <w:rFonts w:ascii="宋体" w:eastAsia="宋体" w:hAnsi="宋体" w:cs="宋体" w:hint="eastAsia"/>
          <w:szCs w:val="24"/>
        </w:rPr>
      </w:pPr>
      <w:r w:rsidRPr="00C64AB3">
        <w:rPr>
          <w:rFonts w:ascii="Times New Roman" w:eastAsia="宋体" w:hAnsi="Times New Roman" w:cs="Times New Roman" w:hint="eastAsia"/>
          <w:szCs w:val="24"/>
        </w:rPr>
        <w:t>4</w:t>
      </w:r>
      <w:r w:rsidRPr="00C64AB3">
        <w:rPr>
          <w:rFonts w:ascii="Times New Roman" w:eastAsia="宋体" w:hAnsi="Times New Roman" w:cs="Times New Roman" w:hint="eastAsia"/>
          <w:szCs w:val="24"/>
        </w:rPr>
        <w:t>、质保期内的系统升级与功能优化服务。</w:t>
      </w:r>
    </w:p>
    <w:p w14:paraId="34E9293D" w14:textId="77777777" w:rsidR="00C64AB3" w:rsidRPr="00C64AB3" w:rsidRDefault="00C64AB3" w:rsidP="00C64AB3">
      <w:pPr>
        <w:ind w:firstLineChars="200" w:firstLine="422"/>
        <w:rPr>
          <w:rFonts w:ascii="宋体" w:eastAsia="宋体" w:hAnsi="宋体" w:cs="宋体" w:hint="eastAsia"/>
          <w:b/>
          <w:bCs/>
          <w:szCs w:val="24"/>
        </w:rPr>
      </w:pPr>
      <w:r w:rsidRPr="00C64AB3">
        <w:rPr>
          <w:rFonts w:ascii="宋体" w:eastAsia="宋体" w:hAnsi="宋体" w:cs="宋体" w:hint="eastAsia"/>
          <w:b/>
          <w:bCs/>
          <w:szCs w:val="24"/>
        </w:rPr>
        <w:t>（五）投标报价要求</w:t>
      </w:r>
    </w:p>
    <w:p w14:paraId="6FDFEB51"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 xml:space="preserve"> 投标总价需是完成该项目的一切费用总和，包括但不限于软件、配套硬件设施费用、安装调试费、培 训、售后技术服务（含人员、咨询等）、设备安装费、接口费及对接院内其他信息系统所涉及到的费用、 日常维护等一切发生的费用，以及系统验收合格并交付使用后，投标人应负责的软件维护期内所发生的各项费用，除此之外投标人不得再要求采购人承</w:t>
      </w:r>
      <w:r w:rsidRPr="00C64AB3">
        <w:rPr>
          <w:rFonts w:ascii="宋体" w:eastAsia="宋体" w:hAnsi="宋体" w:cs="宋体" w:hint="eastAsia"/>
          <w:szCs w:val="24"/>
        </w:rPr>
        <w:lastRenderedPageBreak/>
        <w:t>担其他任何费用。</w:t>
      </w:r>
    </w:p>
    <w:p w14:paraId="7C537151" w14:textId="77777777" w:rsidR="00C64AB3" w:rsidRPr="00C64AB3" w:rsidRDefault="00C64AB3" w:rsidP="00C64AB3">
      <w:pPr>
        <w:ind w:firstLineChars="200" w:firstLine="422"/>
        <w:rPr>
          <w:rFonts w:ascii="宋体" w:eastAsia="宋体" w:hAnsi="宋体" w:cs="宋体" w:hint="eastAsia"/>
          <w:b/>
          <w:bCs/>
          <w:szCs w:val="24"/>
        </w:rPr>
      </w:pPr>
      <w:r w:rsidRPr="00C64AB3">
        <w:rPr>
          <w:rFonts w:ascii="宋体" w:eastAsia="宋体" w:hAnsi="宋体" w:cs="宋体" w:hint="eastAsia"/>
          <w:b/>
          <w:bCs/>
          <w:szCs w:val="24"/>
        </w:rPr>
        <w:t>（六）付款方式</w:t>
      </w:r>
    </w:p>
    <w:p w14:paraId="282F2A09"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具体按照采购人财务相关规定付款。</w:t>
      </w:r>
    </w:p>
    <w:p w14:paraId="346C6D9E" w14:textId="77777777" w:rsidR="00C64AB3" w:rsidRPr="00C64AB3" w:rsidRDefault="00C64AB3" w:rsidP="00C64AB3">
      <w:pPr>
        <w:ind w:firstLineChars="200" w:firstLine="420"/>
        <w:rPr>
          <w:rFonts w:ascii="宋体" w:eastAsia="宋体" w:hAnsi="宋体" w:cs="宋体" w:hint="eastAsia"/>
          <w:szCs w:val="24"/>
        </w:rPr>
      </w:pPr>
      <w:r w:rsidRPr="00C64AB3">
        <w:rPr>
          <w:rFonts w:ascii="宋体" w:eastAsia="宋体" w:hAnsi="宋体" w:cs="宋体" w:hint="eastAsia"/>
          <w:szCs w:val="24"/>
        </w:rPr>
        <w:t>1、合同签订后3个工作日内，投标人向采购人支付合同总金额 5%的履约保证金(投标人自主选择以支票、汇票、本票、保函等非现金形式缴纳或提交)，用于补偿采购人因投标人不履行或不</w:t>
      </w:r>
      <w:proofErr w:type="gramStart"/>
      <w:r w:rsidRPr="00C64AB3">
        <w:rPr>
          <w:rFonts w:ascii="宋体" w:eastAsia="宋体" w:hAnsi="宋体" w:cs="宋体" w:hint="eastAsia"/>
          <w:szCs w:val="24"/>
        </w:rPr>
        <w:t>妥善履行</w:t>
      </w:r>
      <w:proofErr w:type="gramEnd"/>
      <w:r w:rsidRPr="00C64AB3">
        <w:rPr>
          <w:rFonts w:ascii="宋体" w:eastAsia="宋体" w:hAnsi="宋体" w:cs="宋体" w:hint="eastAsia"/>
          <w:szCs w:val="24"/>
        </w:rPr>
        <w:t>合同义务而蒙受的损失，如投标人不履行或不</w:t>
      </w:r>
      <w:proofErr w:type="gramStart"/>
      <w:r w:rsidRPr="00C64AB3">
        <w:rPr>
          <w:rFonts w:ascii="宋体" w:eastAsia="宋体" w:hAnsi="宋体" w:cs="宋体" w:hint="eastAsia"/>
          <w:szCs w:val="24"/>
        </w:rPr>
        <w:t>妥善履行</w:t>
      </w:r>
      <w:proofErr w:type="gramEnd"/>
      <w:r w:rsidRPr="00C64AB3">
        <w:rPr>
          <w:rFonts w:ascii="宋体" w:eastAsia="宋体" w:hAnsi="宋体" w:cs="宋体" w:hint="eastAsia"/>
          <w:szCs w:val="24"/>
        </w:rPr>
        <w:t>合同义务的，采购人有权直接从履约保证金中扣除相应违约金/损失赔偿款项。本项目合作期满，投标人履行合同约定的义务事项期间未发生投标人不履行或不</w:t>
      </w:r>
      <w:proofErr w:type="gramStart"/>
      <w:r w:rsidRPr="00C64AB3">
        <w:rPr>
          <w:rFonts w:ascii="宋体" w:eastAsia="宋体" w:hAnsi="宋体" w:cs="宋体" w:hint="eastAsia"/>
          <w:szCs w:val="24"/>
        </w:rPr>
        <w:t>妥善履行</w:t>
      </w:r>
      <w:proofErr w:type="gramEnd"/>
      <w:r w:rsidRPr="00C64AB3">
        <w:rPr>
          <w:rFonts w:ascii="宋体" w:eastAsia="宋体" w:hAnsi="宋体" w:cs="宋体" w:hint="eastAsia"/>
          <w:szCs w:val="24"/>
        </w:rPr>
        <w:t>合同义务的情况，在投标人履行完毕合同约定的义务事项后，投标人向采购人提供完整资料到达采购人财务之日起 15个工作日内，采购人将履约保证金无息返还给投标人。履约保证金由采购人无息退还投标人。因投标人原因而未能达到本项目验收标准或验收不通过的，履约保证金不予退还。采购人收到履约保证金后向投标人支付合同总价30%的款项。</w:t>
      </w:r>
    </w:p>
    <w:p w14:paraId="3EB611C7" w14:textId="77777777" w:rsidR="00C64AB3" w:rsidRPr="00C64AB3" w:rsidRDefault="00C64AB3" w:rsidP="00C64AB3">
      <w:pPr>
        <w:ind w:firstLineChars="200" w:firstLine="420"/>
        <w:rPr>
          <w:rFonts w:ascii="Times New Roman" w:eastAsia="宋体" w:hAnsi="Times New Roman" w:cs="Times New Roman" w:hint="eastAsia"/>
          <w:szCs w:val="24"/>
        </w:rPr>
      </w:pPr>
      <w:r w:rsidRPr="00C64AB3">
        <w:rPr>
          <w:rFonts w:ascii="宋体" w:eastAsia="宋体" w:hAnsi="宋体" w:cs="宋体" w:hint="eastAsia"/>
          <w:szCs w:val="24"/>
        </w:rPr>
        <w:t>2、项目验收完毕后. 采购人向投标人支付70%的合同款项。</w:t>
      </w:r>
    </w:p>
    <w:p w14:paraId="69D4CECA"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（七）交货要求</w:t>
      </w:r>
    </w:p>
    <w:p w14:paraId="240E10DF"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1、投标人应向采购人提供项目计划书、软件需求说明书、系统技术说明书、系统测试计划、系统测试报告、用户使用手册。一并交付至采购人。</w:t>
      </w:r>
    </w:p>
    <w:p w14:paraId="4AAA0DA8"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投标人提供的货物、系统必须为全新的货物、系统，采购人有权检验或测试货物、系统，以确认货物/系统是否符合采购人要求，检测或测试费用由投标人承担。若发现投标人所交付的货物或系统与投标文件中所承诺的不符或存在质量、技术缺陷等,采购人有权拒绝接收该货物/系统，投标人应在7日内采取补足、更换或整改等措施,以满足采购人要求，由此发生的一切损失和费用由投标人承担。</w:t>
      </w:r>
    </w:p>
    <w:p w14:paraId="78DACD47"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3、投标人负责系统的现场部署安装和调试，提供系统安装、调试和维修所需的专用工具和辅助材料，并按实施进度要求部署安装调试完毕。</w:t>
      </w:r>
    </w:p>
    <w:p w14:paraId="7D022888"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4、系统上线前，投标人需对系统所有功能进行调试测试，确保交付给采购人的系统功能无任何漏洞及错误。</w:t>
      </w:r>
    </w:p>
    <w:p w14:paraId="56D9E077"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5、投标人完成系统所有功能上线后，需由采购人对系统功能进行逐一验证，方可完成交付。如在验证过程中发现投标人交付的系统不能完全满足采购文件、投标文件、合同约定具有的功能的，投标人应当立即整改直到所交付的系统完全满足采购文件、投标文件及合同约定为止。因投标人交付的系统不合要求进行整改产生的全部成本，由投标人承担。</w:t>
      </w:r>
    </w:p>
    <w:p w14:paraId="7F852731"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6、技术培训：中标人需制定项目培训计划，针对不同用户角色根据需要提供全面系统的使用培训服务，保证采购人顺利掌握系统各项功能操作。培训的内容及方案应由双方协商制定</w:t>
      </w:r>
    </w:p>
    <w:p w14:paraId="323D8D92"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（八）关于验收</w:t>
      </w:r>
    </w:p>
    <w:p w14:paraId="7E6CDCCC"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1、投标人应派有经验的技术人员到现场进行系统部署安装、调试，直到系统正常运行使用。由采购人按合同和招标、投标文件约定的要求和标准及中华人民共和国现行的验收规范和评定标准进行交货验收。</w:t>
      </w:r>
    </w:p>
    <w:p w14:paraId="315F783E"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2、自系统安装工作开始，采购人的工作人员有权一起参与现场的部署安装等各项工作。</w:t>
      </w:r>
    </w:p>
    <w:p w14:paraId="3694BF5C"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 xml:space="preserve">3、验收要求：系统必须满足以下条件后方可被采购方接受： </w:t>
      </w:r>
    </w:p>
    <w:p w14:paraId="037E084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（1）产品、系统具备质量合格证明和保修证明文件；</w:t>
      </w:r>
    </w:p>
    <w:p w14:paraId="1510A686"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AD11987"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（3）按照招标文件要求及投标文件承诺的技术要求验收必须合格；</w:t>
      </w:r>
    </w:p>
    <w:p w14:paraId="02CD286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（4）在系统安装调试合格后，所有技术指标达到技术规范书要求，经验收合格后，双方共同签署验收报告。产品质保期自验收合格之日起算，由投标人提供产品质保文件。</w:t>
      </w:r>
    </w:p>
    <w:p w14:paraId="1393175D"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4、投标人在项目验收通过后向采购人提供该项目形成的成果和相关文档。投标人向采购人提供的成果和文档资料不得人为设置技术障碍影响采购人的维护和二次开发。</w:t>
      </w:r>
    </w:p>
    <w:p w14:paraId="0CF4038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本项目交付成果（包括但不限于以下内容）：</w:t>
      </w:r>
    </w:p>
    <w:p w14:paraId="08376FF7"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（1）《项目实施计划》；</w:t>
      </w:r>
    </w:p>
    <w:p w14:paraId="51CF131F"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lastRenderedPageBreak/>
        <w:t>（2）《需求说明书》；</w:t>
      </w:r>
    </w:p>
    <w:p w14:paraId="101D758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（3）《上线试运行确认单》；</w:t>
      </w:r>
    </w:p>
    <w:p w14:paraId="5532EA7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（4）《系统技术文档》；</w:t>
      </w:r>
    </w:p>
    <w:p w14:paraId="1D5A1EC4"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（5）《系统管理员手册》；</w:t>
      </w:r>
    </w:p>
    <w:p w14:paraId="255B13E1"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（6）《用户手册》；</w:t>
      </w:r>
    </w:p>
    <w:p w14:paraId="32166DF0"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（7）《安装部署说明文档》；</w:t>
      </w:r>
    </w:p>
    <w:p w14:paraId="218469CE"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5、投标人提供的各种文件载明的内容必须真实，采购人对产品的技术数据置疑时有权要求投标人按照双方认可的第三方检测机构出具的检验方法进行检测(检测费用由投标人承担)，检测结果必须证明投标人提供的技术数据是真实的，否则视为不合格。</w:t>
      </w:r>
    </w:p>
    <w:p w14:paraId="6FDBC09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6、验收不合格，投标人必须按照国家相关技术规范和招标文件要求、投标文件承诺限期进行整改，并承担一切费用。若因此导致逾期验收的，每逾期一日，投标人应向采购人支付合同总价款5‰的违约金。逾期超过30日的，投标人须向采购人另行支付合同总金额10%的违约金，且采购人有权单方解除合同，投标人须在收到采购人解除合同通知后3日内无条件退回采购人已经支付的全部款项。</w:t>
      </w:r>
    </w:p>
    <w:p w14:paraId="5C78B9B2"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（九）售后服务要求</w:t>
      </w:r>
    </w:p>
    <w:p w14:paraId="1E78D548"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1、各投标人应在投标文件中列明软件、硬件的质保期限,软件系统要求提供至少一年的质保期；本项下所有硬件设备要求提供至少一年质保期，</w:t>
      </w:r>
      <w:proofErr w:type="gramStart"/>
      <w:r w:rsidRPr="00C64AB3">
        <w:rPr>
          <w:rFonts w:ascii="宋体" w:eastAsia="宋体" w:hAnsi="宋体" w:cs="宋体" w:hint="eastAsia"/>
          <w:kern w:val="0"/>
          <w:szCs w:val="21"/>
        </w:rPr>
        <w:t>自项目</w:t>
      </w:r>
      <w:proofErr w:type="gramEnd"/>
      <w:r w:rsidRPr="00C64AB3">
        <w:rPr>
          <w:rFonts w:ascii="宋体" w:eastAsia="宋体" w:hAnsi="宋体" w:cs="宋体" w:hint="eastAsia"/>
          <w:kern w:val="0"/>
          <w:szCs w:val="21"/>
        </w:rPr>
        <w:t>通过终验，双方签字确认之日起计算。终身维修。质保期内一切费用包含在本项目预算金额中，质保期内采购人不再二次支付费用。</w:t>
      </w:r>
    </w:p>
    <w:p w14:paraId="1C9AE90D"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2、安全维护：维保期内，投标人向采购人提供软件维护和支持服务，提供围绕系统安全性漏洞修复、升级服务。维保期外，投标人仍提供围绕系统安全性漏洞修复、升级服务。</w:t>
      </w:r>
    </w:p>
    <w:p w14:paraId="7DEB4C8B"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3、投标人承诺所有货物（包括但不限于设备、软件、硬件、系统等）原厂保修。维保期内,投标人提供年度定期预防性维护保养次数不少于2次并留存维护记录。维保期内更换零配件、免工时费。文档更新，实施系统维护或修改设计后，保证在1周内更新有关技术文档并提交采购人。</w:t>
      </w:r>
    </w:p>
    <w:p w14:paraId="46E472DF"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投标人提供7*24小时售后服务。如遇故障1小时内响应，若通过远程维护不能解决的问题，24小时内到达现场提供维护服务。维保期内及外货物（包括但不限于软件、系统、硬件、设备等）出现故障不能正常使用，投标人应提供应急备用方案（包括但不限于提供备用机等），保障采购人日常相关工作的开展，直至系统修复完好投入使用。</w:t>
      </w:r>
    </w:p>
    <w:p w14:paraId="4517B0F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5、</w:t>
      </w:r>
      <w:proofErr w:type="gramStart"/>
      <w:r w:rsidRPr="00C64AB3">
        <w:rPr>
          <w:rFonts w:ascii="宋体" w:eastAsia="宋体" w:hAnsi="宋体" w:cs="宋体" w:hint="eastAsia"/>
          <w:kern w:val="0"/>
          <w:szCs w:val="21"/>
        </w:rPr>
        <w:t>维保期满</w:t>
      </w:r>
      <w:proofErr w:type="gramEnd"/>
      <w:r w:rsidRPr="00C64AB3">
        <w:rPr>
          <w:rFonts w:ascii="宋体" w:eastAsia="宋体" w:hAnsi="宋体" w:cs="宋体" w:hint="eastAsia"/>
          <w:kern w:val="0"/>
          <w:szCs w:val="21"/>
        </w:rPr>
        <w:t>以后，投标人对系统、软件、硬件、设备终身负责维修、安装、升级软件服务，长期以优惠价</w:t>
      </w:r>
      <w:proofErr w:type="gramStart"/>
      <w:r w:rsidRPr="00C64AB3">
        <w:rPr>
          <w:rFonts w:ascii="宋体" w:eastAsia="宋体" w:hAnsi="宋体" w:cs="宋体" w:hint="eastAsia"/>
          <w:kern w:val="0"/>
          <w:szCs w:val="21"/>
        </w:rPr>
        <w:t>提供维保服务</w:t>
      </w:r>
      <w:proofErr w:type="gramEnd"/>
      <w:r w:rsidRPr="00C64AB3">
        <w:rPr>
          <w:rFonts w:ascii="宋体" w:eastAsia="宋体" w:hAnsi="宋体" w:cs="宋体" w:hint="eastAsia"/>
          <w:kern w:val="0"/>
          <w:szCs w:val="21"/>
        </w:rPr>
        <w:t>。投标人可与采购人就优惠价进行谈判，</w:t>
      </w:r>
      <w:proofErr w:type="gramStart"/>
      <w:r w:rsidRPr="00C64AB3">
        <w:rPr>
          <w:rFonts w:ascii="宋体" w:eastAsia="宋体" w:hAnsi="宋体" w:cs="宋体" w:hint="eastAsia"/>
          <w:kern w:val="0"/>
          <w:szCs w:val="21"/>
        </w:rPr>
        <w:t>维保期满</w:t>
      </w:r>
      <w:proofErr w:type="gramEnd"/>
      <w:r w:rsidRPr="00C64AB3">
        <w:rPr>
          <w:rFonts w:ascii="宋体" w:eastAsia="宋体" w:hAnsi="宋体" w:cs="宋体" w:hint="eastAsia"/>
          <w:kern w:val="0"/>
          <w:szCs w:val="21"/>
        </w:rPr>
        <w:t>后年度的基础维保费不得超过合同总金额的6%。</w:t>
      </w:r>
    </w:p>
    <w:p w14:paraId="38EC2F3F"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6、维保期内升级至本项目涉及系统的最新版本,开放系统/设备（包括但不限于软件、系统、硬件、设备等）接口；维保期内与采购人要求的信息系统及各级政府部门要求的信息系统进行连接、数据</w:t>
      </w:r>
      <w:proofErr w:type="gramStart"/>
      <w:r w:rsidRPr="00C64AB3">
        <w:rPr>
          <w:rFonts w:ascii="宋体" w:eastAsia="宋体" w:hAnsi="宋体" w:cs="宋体" w:hint="eastAsia"/>
          <w:kern w:val="0"/>
          <w:szCs w:val="21"/>
        </w:rPr>
        <w:t>交互或</w:t>
      </w:r>
      <w:proofErr w:type="gramEnd"/>
      <w:r w:rsidRPr="00C64AB3">
        <w:rPr>
          <w:rFonts w:ascii="宋体" w:eastAsia="宋体" w:hAnsi="宋体" w:cs="宋体" w:hint="eastAsia"/>
          <w:kern w:val="0"/>
          <w:szCs w:val="21"/>
        </w:rPr>
        <w:t>接口变更并需要与该系统/设备重新连接时(包括但不限于 HIS/EMR/LIS/PACS/合理用药/</w:t>
      </w:r>
      <w:proofErr w:type="gramStart"/>
      <w:r w:rsidRPr="00C64AB3">
        <w:rPr>
          <w:rFonts w:ascii="宋体" w:eastAsia="宋体" w:hAnsi="宋体" w:cs="宋体" w:hint="eastAsia"/>
          <w:kern w:val="0"/>
          <w:szCs w:val="21"/>
        </w:rPr>
        <w:t>围手术期</w:t>
      </w:r>
      <w:proofErr w:type="gramEnd"/>
      <w:r w:rsidRPr="00C64AB3">
        <w:rPr>
          <w:rFonts w:ascii="宋体" w:eastAsia="宋体" w:hAnsi="宋体" w:cs="宋体" w:hint="eastAsia"/>
          <w:kern w:val="0"/>
          <w:szCs w:val="21"/>
        </w:rPr>
        <w:t>管理/医疗技术管理/医保管理等系统等)，采购人须派人配合完成工作，过程产生的接口费与二次开发费等全部费用由采购人承担，直至该系统/设备可进行正常、完整的工作。</w:t>
      </w:r>
    </w:p>
    <w:p w14:paraId="57DD5CF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7、服务方式及范围：投标人成立项目服务组，由项目负责人、项目技术总监、开发人员、售前工程师、售后服务人员组成多人团队，统一领导、统一规划、统一部署、统一实施。迅速有效地对项目目标和各用户的需求做出反应并且实现，每阶段做好质量把控、文档整理，从项目进场实施到项目</w:t>
      </w:r>
      <w:proofErr w:type="gramStart"/>
      <w:r w:rsidRPr="00C64AB3">
        <w:rPr>
          <w:rFonts w:ascii="宋体" w:eastAsia="宋体" w:hAnsi="宋体" w:cs="宋体" w:hint="eastAsia"/>
          <w:kern w:val="0"/>
          <w:szCs w:val="21"/>
        </w:rPr>
        <w:t>终验全流程</w:t>
      </w:r>
      <w:proofErr w:type="gramEnd"/>
      <w:r w:rsidRPr="00C64AB3">
        <w:rPr>
          <w:rFonts w:ascii="宋体" w:eastAsia="宋体" w:hAnsi="宋体" w:cs="宋体" w:hint="eastAsia"/>
          <w:kern w:val="0"/>
          <w:szCs w:val="21"/>
        </w:rPr>
        <w:t>服务。</w:t>
      </w:r>
    </w:p>
    <w:p w14:paraId="6244BB89"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（十）质量保证</w:t>
      </w:r>
    </w:p>
    <w:p w14:paraId="01DB530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投标人须保证其提供的产品和为本项目安装的软件均为具有合法版权或使用权的正版软件且无质量瑕疵。投标人应承诺其提供的产品、服务等不会以任何形式侵犯他人合法的知识产权。如投标人提供的产品或服务侵犯他人知识产权，因侵权行为造成的一切经济和法律责任均由投标人自行承担，且投标人应承担因此给采购人造成的一切损失</w:t>
      </w:r>
      <w:r w:rsidRPr="00C64AB3">
        <w:rPr>
          <w:rFonts w:ascii="宋体" w:eastAsia="宋体" w:hAnsi="宋体" w:cs="宋体" w:hint="eastAsia"/>
          <w:kern w:val="0"/>
          <w:szCs w:val="21"/>
          <w:highlight w:val="yellow"/>
        </w:rPr>
        <w:t>（提供承诺函加盖公章）</w:t>
      </w:r>
      <w:r w:rsidRPr="00C64AB3">
        <w:rPr>
          <w:rFonts w:ascii="宋体" w:eastAsia="宋体" w:hAnsi="宋体" w:cs="宋体" w:hint="eastAsia"/>
          <w:kern w:val="0"/>
          <w:szCs w:val="21"/>
        </w:rPr>
        <w:t>。</w:t>
      </w:r>
    </w:p>
    <w:p w14:paraId="560C3E34"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（十一）数据安全服务</w:t>
      </w:r>
    </w:p>
    <w:p w14:paraId="2EBB3FDD"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1、系统权限分级管理，满足《信息安全技术 网络安全等级保护基本要求》三级标准；</w:t>
      </w:r>
    </w:p>
    <w:p w14:paraId="608DCC2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2、具备数据备份与恢复方案设计（每日增量备份，每周全量备份）。</w:t>
      </w:r>
    </w:p>
    <w:p w14:paraId="3ADD462A"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lastRenderedPageBreak/>
        <w:t>（十二）系统安全服务</w:t>
      </w:r>
    </w:p>
    <w:p w14:paraId="55D97EDD"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Times New Roman" w:eastAsia="宋体" w:hAnsi="Times New Roman" w:cs="Times New Roman" w:hint="eastAsia"/>
          <w:szCs w:val="24"/>
        </w:rPr>
        <w:t>系统通过第三方机构安全性测试，测试内容包含漏洞扫描测试</w:t>
      </w:r>
      <w:r w:rsidRPr="00C64AB3">
        <w:rPr>
          <w:rFonts w:ascii="宋体" w:eastAsia="宋体" w:hAnsi="宋体" w:cs="宋体" w:hint="eastAsia"/>
          <w:kern w:val="0"/>
          <w:szCs w:val="21"/>
        </w:rPr>
        <w:t>。</w:t>
      </w:r>
    </w:p>
    <w:p w14:paraId="13E4DAAD"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（十三）违约责任</w:t>
      </w:r>
    </w:p>
    <w:p w14:paraId="4DA5D206"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1、投标人未按合同的规定和采购人的要求履行义务或履行不合要求的，采购人有权在合同履行过程中或在验收时扣减项目费用，具体扣减费用由采购人根据实际情况确定。</w:t>
      </w:r>
    </w:p>
    <w:p w14:paraId="6D770C57"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2、因投标人人员工作失误等原因造成采购人损失的，由投标人予以赔偿，具体扣减费用由采购人根据实际情况确定。</w:t>
      </w:r>
    </w:p>
    <w:p w14:paraId="0B214F7C"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3、投标人所交付项目的品类、规格、型号、质量、功能、技术参数等方面不能实质性满足招标文件要求或不符合合同约定的，采购人有权拒绝收货，投标人须向采购人支付合同总金额5%的违约金，同时投标人须在采购人要求的时限内重新供货或完成整改。</w:t>
      </w:r>
    </w:p>
    <w:p w14:paraId="17F2EE7D"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4、投标人逾期交货，或逾期完成安装调试，或逾期通过验收的，投标人须向采购人支付逾期违约金，每逾期一日，须向采购人支付合同总金额5‰的违约金，逾期超过30日的，投标人须向采购人另行支付合同总金额10%的违约金，且采购人有权单方解除合同，投标人须在收到采购人解除合同通知后3日内无条件退回采购人已经支付的全部款项。</w:t>
      </w:r>
    </w:p>
    <w:p w14:paraId="5DB3EBD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5、若投标人履行义务不符合约定，经采购人书面提出后10天内仍没有改正，或整改后仍达不到采购人要求的，采购人有权单方解除合同，并要求投标人承担违约责任。因投标人违约导致采购人提前解除合同的，投标人须退回采购人已经支付的全部款项，且应按本合同总金额10%的比例向采购人支付违约金，并赔偿采购人由此而引起的直接和间接损失。</w:t>
      </w:r>
    </w:p>
    <w:p w14:paraId="5A6BFE1C"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6、投标人保证采购人在使用投标人提供的业务系统软件、硬件、设备或本项目的成果、服务时，不会产生因第三方提出的包括但不限于侵犯其专利权、商标权、工业设计权等知识产权或侵犯其所有权、抵押权等物权或其他权利而引发的纠纷。若有纠纷，投标人应承担全部责任（包括一切经济及法律责任），并赔偿给采购人造成的全部损失。</w:t>
      </w:r>
    </w:p>
    <w:p w14:paraId="7C0051EF"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7、本合同项下的全部项目成果以及采购人提供给投标人的信息、资料等的所有权和知识产权全部归采购人所有。投标人除为本合同履行系统交付以外，未经采购人书面同意不得擅自使用上述资料、信息及项目成果，否则投标人应承担违约责任，并赔偿因此给采购人及第三方造成的全部损失。</w:t>
      </w:r>
    </w:p>
    <w:p w14:paraId="33542EE4"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8、投标人不得以任何理由将其在本合同项下的权利或义务全部或部分转让给任何第三方，不得将本项目转包或者分包，否则采购人有权单方解除本合同，投标人须退还采购人已付的全部款项，并向采购人支付本合同总金额30%的违约金。</w:t>
      </w:r>
    </w:p>
    <w:p w14:paraId="3F97BE6A"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9、 投标人所交付的货物、工程或服务不符合其投标承诺的，或在投标阶段为中标而盲目虚假承诺、低价恶性竞争的，或在履行合同阶段通过偷工减料、以次充好获取利润的，采购人有权没收全部履约保证金，并交有关机关依法依规处理，全部责任由投标人自行承担。</w:t>
      </w:r>
    </w:p>
    <w:p w14:paraId="3B70BD54"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10、本项目成果（包括但不限于软件、系统等）因系统漏洞等原因被国家、省、市、区等各级行政相关部门通报的，投标人须配合采购人整改，并不得收取任何费用，直到达到政府相关部门要求为止；给采购人或第三方造成直接或间接经济损失的，由投标人负责赔偿并承担一切经济及法律责任。</w:t>
      </w:r>
    </w:p>
    <w:p w14:paraId="6F1C0AAB"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kern w:val="0"/>
          <w:szCs w:val="21"/>
        </w:rPr>
      </w:pPr>
      <w:r w:rsidRPr="00C64AB3">
        <w:rPr>
          <w:rFonts w:ascii="宋体" w:eastAsia="宋体" w:hAnsi="宋体" w:cs="宋体" w:hint="eastAsia"/>
          <w:kern w:val="0"/>
          <w:szCs w:val="21"/>
        </w:rPr>
        <w:t>11、本项目货物在采购人使用期间，投标人提供的货物及与该货物有关的技术、</w:t>
      </w:r>
      <w:proofErr w:type="gramStart"/>
      <w:r w:rsidRPr="00C64AB3">
        <w:rPr>
          <w:rFonts w:ascii="宋体" w:eastAsia="宋体" w:hAnsi="宋体" w:cs="宋体" w:hint="eastAsia"/>
          <w:kern w:val="0"/>
          <w:szCs w:val="21"/>
        </w:rPr>
        <w:t>总设备</w:t>
      </w:r>
      <w:proofErr w:type="gramEnd"/>
      <w:r w:rsidRPr="00C64AB3">
        <w:rPr>
          <w:rFonts w:ascii="宋体" w:eastAsia="宋体" w:hAnsi="宋体" w:cs="宋体" w:hint="eastAsia"/>
          <w:kern w:val="0"/>
          <w:szCs w:val="21"/>
        </w:rPr>
        <w:t>等存在瑕疵从而在使用过程中给采购人或任何第三方以及患者造成任何人身、财产、名誉损失、民事纠纷的，投标人须负责全部赔偿并承担一切经济及法律责任(包括但不限于投标人应承担生效的法院判决/仲裁裁决确定的应由投标人承担的责任)。</w:t>
      </w:r>
    </w:p>
    <w:p w14:paraId="21D22315"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color w:val="000000"/>
          <w:kern w:val="0"/>
          <w:szCs w:val="21"/>
        </w:rPr>
      </w:pPr>
      <w:r w:rsidRPr="00C64AB3">
        <w:rPr>
          <w:rFonts w:ascii="宋体" w:eastAsia="宋体" w:hAnsi="宋体" w:cs="宋体" w:hint="eastAsia"/>
          <w:b/>
          <w:bCs/>
          <w:color w:val="000000"/>
          <w:kern w:val="0"/>
          <w:szCs w:val="21"/>
        </w:rPr>
        <w:t>（十四）DeepSeek 功能对接专项条款</w:t>
      </w:r>
    </w:p>
    <w:p w14:paraId="159891E8"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color w:val="000000"/>
          <w:kern w:val="0"/>
          <w:szCs w:val="21"/>
        </w:rPr>
      </w:pPr>
      <w:r w:rsidRPr="00C64AB3">
        <w:rPr>
          <w:rFonts w:ascii="宋体" w:eastAsia="宋体" w:hAnsi="宋体" w:cs="宋体" w:hint="eastAsia"/>
          <w:color w:val="000000"/>
          <w:kern w:val="0"/>
          <w:szCs w:val="21"/>
        </w:rPr>
        <w:t xml:space="preserve">1.采购人负责提供 DeepSeek 模型运行所需的服务器及硬件设备（配置见本文件 “三、技术要求”），供应商需在医院提供硬件后 30 </w:t>
      </w:r>
      <w:proofErr w:type="gramStart"/>
      <w:r w:rsidRPr="00C64AB3">
        <w:rPr>
          <w:rFonts w:ascii="宋体" w:eastAsia="宋体" w:hAnsi="宋体" w:cs="宋体" w:hint="eastAsia"/>
          <w:color w:val="000000"/>
          <w:kern w:val="0"/>
          <w:szCs w:val="21"/>
        </w:rPr>
        <w:t>个</w:t>
      </w:r>
      <w:proofErr w:type="gramEnd"/>
      <w:r w:rsidRPr="00C64AB3">
        <w:rPr>
          <w:rFonts w:ascii="宋体" w:eastAsia="宋体" w:hAnsi="宋体" w:cs="宋体" w:hint="eastAsia"/>
          <w:color w:val="000000"/>
          <w:kern w:val="0"/>
          <w:szCs w:val="21"/>
        </w:rPr>
        <w:t>工作日内完成 DeepSeek 模型的部署、调试及系统对接。</w:t>
      </w:r>
    </w:p>
    <w:p w14:paraId="19222A61"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color w:val="000000"/>
          <w:kern w:val="0"/>
          <w:szCs w:val="21"/>
        </w:rPr>
      </w:pPr>
      <w:r w:rsidRPr="00C64AB3">
        <w:rPr>
          <w:rFonts w:ascii="宋体" w:eastAsia="宋体" w:hAnsi="宋体" w:cs="宋体" w:hint="eastAsia"/>
          <w:color w:val="000000"/>
          <w:kern w:val="0"/>
          <w:szCs w:val="21"/>
        </w:rPr>
        <w:t>2.若医院硬件配置调整，供应商需配合进行适配优化，不得额外收取费用。</w:t>
      </w:r>
    </w:p>
    <w:p w14:paraId="4EC08E73"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hint="eastAsia"/>
          <w:color w:val="FF0000"/>
          <w:kern w:val="0"/>
          <w:szCs w:val="21"/>
          <w:highlight w:val="yellow"/>
        </w:rPr>
      </w:pPr>
      <w:r w:rsidRPr="00C64AB3">
        <w:rPr>
          <w:rFonts w:ascii="宋体" w:eastAsia="宋体" w:hAnsi="宋体" w:cs="宋体" w:hint="eastAsia"/>
          <w:color w:val="000000"/>
          <w:kern w:val="0"/>
          <w:szCs w:val="21"/>
        </w:rPr>
        <w:t>3.本项目总价已包含 DeepSeek 功能对接的全部服务费用，医院不再另行支付任何费用（包括但不限于接口开发费、模型部署费、维护费等）。</w:t>
      </w:r>
    </w:p>
    <w:p w14:paraId="4C25A8FE" w14:textId="77777777" w:rsidR="00C64AB3" w:rsidRPr="00C64AB3" w:rsidRDefault="00C64AB3" w:rsidP="00C64AB3">
      <w:pPr>
        <w:tabs>
          <w:tab w:val="left" w:pos="420"/>
          <w:tab w:val="left" w:pos="540"/>
        </w:tabs>
        <w:adjustRightInd w:val="0"/>
        <w:snapToGrid w:val="0"/>
        <w:ind w:firstLineChars="200" w:firstLine="422"/>
        <w:rPr>
          <w:rFonts w:ascii="宋体" w:eastAsia="宋体" w:hAnsi="宋体" w:cs="宋体" w:hint="eastAsia"/>
          <w:b/>
          <w:bCs/>
          <w:kern w:val="0"/>
          <w:szCs w:val="21"/>
        </w:rPr>
      </w:pPr>
      <w:r w:rsidRPr="00C64AB3">
        <w:rPr>
          <w:rFonts w:ascii="宋体" w:eastAsia="宋体" w:hAnsi="宋体" w:cs="宋体" w:hint="eastAsia"/>
          <w:b/>
          <w:bCs/>
          <w:kern w:val="0"/>
          <w:szCs w:val="21"/>
        </w:rPr>
        <w:t>（十五）其他</w:t>
      </w:r>
    </w:p>
    <w:p w14:paraId="5BD10298" w14:textId="77777777" w:rsidR="00C64AB3" w:rsidRPr="00C64AB3" w:rsidRDefault="00C64AB3" w:rsidP="00C64AB3">
      <w:pPr>
        <w:tabs>
          <w:tab w:val="left" w:pos="420"/>
          <w:tab w:val="left" w:pos="540"/>
        </w:tabs>
        <w:adjustRightInd w:val="0"/>
        <w:snapToGrid w:val="0"/>
        <w:ind w:firstLineChars="200" w:firstLine="420"/>
        <w:rPr>
          <w:rFonts w:ascii="宋体" w:eastAsia="宋体" w:hAnsi="宋体" w:cs="宋体"/>
          <w:kern w:val="0"/>
          <w:szCs w:val="21"/>
        </w:rPr>
      </w:pPr>
      <w:r w:rsidRPr="00C64AB3">
        <w:rPr>
          <w:rFonts w:ascii="宋体" w:eastAsia="宋体" w:hAnsi="宋体" w:cs="宋体" w:hint="eastAsia"/>
          <w:kern w:val="0"/>
          <w:szCs w:val="21"/>
        </w:rPr>
        <w:t>投标人所交付货物、工程或服务不符合其投标承诺的，或在投标阶段为中标而盲目虚假承诺、低价恶性竞争，在履约阶段则通过偷工减料、以次充好而获取利润的，将被没收全部履约保证金，并交主管部门遵照相关规定处理，所有责任由投标人一力承担。</w:t>
      </w:r>
    </w:p>
    <w:p w14:paraId="7C5D77C0" w14:textId="77777777" w:rsidR="00C64AB3" w:rsidRPr="00C64AB3" w:rsidRDefault="00C64AB3" w:rsidP="00C64AB3">
      <w:pPr>
        <w:keepNext/>
        <w:keepLines/>
        <w:adjustRightInd w:val="0"/>
        <w:spacing w:before="260" w:after="260"/>
        <w:jc w:val="left"/>
        <w:textAlignment w:val="baseline"/>
        <w:outlineLvl w:val="1"/>
        <w:rPr>
          <w:rFonts w:ascii="宋体" w:eastAsia="宋体" w:hAnsi="宋体" w:cs="Times New Roman" w:hint="eastAsia"/>
          <w:b/>
          <w:bCs/>
          <w:kern w:val="0"/>
          <w:szCs w:val="16"/>
        </w:rPr>
      </w:pPr>
      <w:bookmarkStart w:id="15" w:name="_Toc199947013"/>
      <w:bookmarkStart w:id="16" w:name="_Toc203384951"/>
      <w:r w:rsidRPr="00C64AB3">
        <w:rPr>
          <w:rFonts w:ascii="宋体" w:eastAsia="宋体" w:hAnsi="宋体" w:cs="Times New Roman" w:hint="eastAsia"/>
          <w:b/>
          <w:bCs/>
          <w:kern w:val="0"/>
          <w:szCs w:val="16"/>
        </w:rPr>
        <w:lastRenderedPageBreak/>
        <w:t>六、系统演示要求</w:t>
      </w:r>
      <w:bookmarkEnd w:id="15"/>
      <w:bookmarkEnd w:id="16"/>
    </w:p>
    <w:p w14:paraId="28C80E97" w14:textId="77777777" w:rsidR="00C64AB3" w:rsidRPr="00C64AB3" w:rsidRDefault="00C64AB3" w:rsidP="00C64AB3">
      <w:pPr>
        <w:widowControl/>
        <w:spacing w:after="60"/>
        <w:ind w:firstLineChars="200" w:firstLine="420"/>
        <w:jc w:val="left"/>
        <w:rPr>
          <w:rFonts w:ascii="宋体" w:eastAsia="宋体" w:hAnsi="宋体" w:cs="Times New Roman"/>
          <w:color w:val="000000"/>
          <w:kern w:val="0"/>
          <w:szCs w:val="18"/>
        </w:rPr>
      </w:pPr>
      <w:r w:rsidRPr="00C64AB3">
        <w:rPr>
          <w:rFonts w:ascii="宋体" w:eastAsia="宋体" w:hAnsi="宋体" w:cs="Times New Roman" w:hint="eastAsia"/>
          <w:color w:val="000000"/>
          <w:kern w:val="0"/>
          <w:szCs w:val="18"/>
        </w:rPr>
        <w:t>1、本项目要求进行平台系统现场演示。演示签到时间及地址：开标当天14：00-14：30（北京时间），深圳市南山区西丽街道旺</w:t>
      </w:r>
      <w:proofErr w:type="gramStart"/>
      <w:r w:rsidRPr="00C64AB3">
        <w:rPr>
          <w:rFonts w:ascii="宋体" w:eastAsia="宋体" w:hAnsi="宋体" w:cs="Times New Roman" w:hint="eastAsia"/>
          <w:color w:val="000000"/>
          <w:kern w:val="0"/>
          <w:szCs w:val="18"/>
        </w:rPr>
        <w:t>棠</w:t>
      </w:r>
      <w:proofErr w:type="gramEnd"/>
      <w:r w:rsidRPr="00C64AB3">
        <w:rPr>
          <w:rFonts w:ascii="宋体" w:eastAsia="宋体" w:hAnsi="宋体" w:cs="Times New Roman" w:hint="eastAsia"/>
          <w:color w:val="000000"/>
          <w:kern w:val="0"/>
          <w:szCs w:val="18"/>
        </w:rPr>
        <w:t>大厦3</w:t>
      </w:r>
      <w:r w:rsidRPr="00C64AB3">
        <w:rPr>
          <w:rFonts w:ascii="宋体" w:eastAsia="宋体" w:hAnsi="宋体" w:cs="Times New Roman"/>
          <w:color w:val="000000"/>
          <w:kern w:val="0"/>
          <w:szCs w:val="18"/>
        </w:rPr>
        <w:t>A05</w:t>
      </w:r>
      <w:r w:rsidRPr="00C64AB3">
        <w:rPr>
          <w:rFonts w:ascii="宋体" w:eastAsia="宋体" w:hAnsi="宋体" w:cs="Times New Roman" w:hint="eastAsia"/>
          <w:color w:val="000000"/>
          <w:kern w:val="0"/>
          <w:szCs w:val="18"/>
        </w:rPr>
        <w:t>，逾期未签到的，视为自动放弃“</w:t>
      </w:r>
      <w:r w:rsidRPr="00C64AB3">
        <w:rPr>
          <w:rFonts w:ascii="Times New Roman" w:eastAsia="宋体" w:hAnsi="Times New Roman" w:cs="Times New Roman" w:hint="eastAsia"/>
          <w:kern w:val="0"/>
          <w:sz w:val="22"/>
        </w:rPr>
        <w:t>系统演示</w:t>
      </w:r>
      <w:r w:rsidRPr="00C64AB3">
        <w:rPr>
          <w:rFonts w:ascii="宋体" w:eastAsia="宋体" w:hAnsi="宋体" w:cs="Times New Roman" w:hint="eastAsia"/>
          <w:color w:val="000000"/>
          <w:kern w:val="0"/>
          <w:szCs w:val="18"/>
        </w:rPr>
        <w:t>”评分项得分；</w:t>
      </w:r>
    </w:p>
    <w:p w14:paraId="1DE48ADA" w14:textId="77777777" w:rsidR="00C64AB3" w:rsidRPr="00C64AB3" w:rsidRDefault="00C64AB3" w:rsidP="00C64AB3">
      <w:pPr>
        <w:widowControl/>
        <w:spacing w:after="60"/>
        <w:ind w:firstLineChars="200" w:firstLine="420"/>
        <w:jc w:val="left"/>
        <w:rPr>
          <w:rFonts w:ascii="宋体" w:eastAsia="宋体" w:hAnsi="宋体" w:cs="Times New Roman"/>
          <w:color w:val="000000"/>
          <w:kern w:val="0"/>
          <w:szCs w:val="18"/>
        </w:rPr>
      </w:pPr>
      <w:r w:rsidRPr="00C64AB3">
        <w:rPr>
          <w:rFonts w:ascii="宋体" w:eastAsia="宋体" w:hAnsi="宋体" w:cs="Times New Roman" w:hint="eastAsia"/>
          <w:color w:val="000000"/>
          <w:kern w:val="0"/>
          <w:szCs w:val="18"/>
        </w:rPr>
        <w:t>2、系统演示时间：不超过15分钟；</w:t>
      </w:r>
    </w:p>
    <w:p w14:paraId="63AF986C" w14:textId="77777777" w:rsidR="00C64AB3" w:rsidRPr="00C64AB3" w:rsidRDefault="00C64AB3" w:rsidP="00C64AB3">
      <w:pPr>
        <w:widowControl/>
        <w:spacing w:after="60"/>
        <w:ind w:firstLineChars="200" w:firstLine="420"/>
        <w:jc w:val="left"/>
        <w:rPr>
          <w:rFonts w:ascii="宋体" w:eastAsia="宋体" w:hAnsi="宋体" w:cs="Times New Roman" w:hint="eastAsia"/>
          <w:color w:val="000000"/>
          <w:kern w:val="0"/>
          <w:szCs w:val="18"/>
        </w:rPr>
      </w:pPr>
      <w:r w:rsidRPr="00C64AB3">
        <w:rPr>
          <w:rFonts w:ascii="宋体" w:eastAsia="宋体" w:hAnsi="宋体" w:cs="Times New Roman" w:hint="eastAsia"/>
          <w:color w:val="000000"/>
          <w:kern w:val="0"/>
          <w:szCs w:val="18"/>
        </w:rPr>
        <w:t>3、现场演示人：演示人须携带“单位授权委托书（盖投标单位公章）、被委托人身份证复印件（核对原件）”进行现场演示，每家投标单位可有2-3人进入演示现场；</w:t>
      </w:r>
    </w:p>
    <w:p w14:paraId="62774F28" w14:textId="77777777" w:rsidR="00C64AB3" w:rsidRPr="00C64AB3" w:rsidRDefault="00C64AB3" w:rsidP="00C64AB3">
      <w:pPr>
        <w:widowControl/>
        <w:spacing w:after="60"/>
        <w:ind w:firstLineChars="200" w:firstLine="420"/>
        <w:jc w:val="left"/>
        <w:rPr>
          <w:rFonts w:ascii="宋体" w:eastAsia="宋体" w:hAnsi="宋体" w:cs="Times New Roman"/>
          <w:color w:val="000000"/>
          <w:kern w:val="0"/>
          <w:szCs w:val="18"/>
        </w:rPr>
      </w:pPr>
      <w:r w:rsidRPr="00C64AB3">
        <w:rPr>
          <w:rFonts w:ascii="宋体" w:eastAsia="宋体" w:hAnsi="宋体" w:cs="Times New Roman" w:hint="eastAsia"/>
          <w:color w:val="000000"/>
          <w:kern w:val="0"/>
          <w:szCs w:val="18"/>
        </w:rPr>
        <w:t>4、投标人需准备</w:t>
      </w:r>
      <w:r w:rsidRPr="00C64AB3">
        <w:rPr>
          <w:rFonts w:ascii="宋体" w:eastAsia="宋体" w:hAnsi="宋体" w:cs="Times New Roman" w:hint="eastAsia"/>
          <w:color w:val="000000"/>
          <w:szCs w:val="21"/>
        </w:rPr>
        <w:t>真实系统演示（不得使用 demo、PPT 或文字图片等方式进行演示）</w:t>
      </w:r>
      <w:r w:rsidRPr="00C64AB3">
        <w:rPr>
          <w:rFonts w:ascii="宋体" w:eastAsia="宋体" w:hAnsi="宋体" w:cs="Times New Roman" w:hint="eastAsia"/>
          <w:color w:val="000000"/>
          <w:kern w:val="0"/>
          <w:szCs w:val="18"/>
        </w:rPr>
        <w:t>及演示可能用到的电脑等工具；</w:t>
      </w:r>
    </w:p>
    <w:p w14:paraId="1624AF44" w14:textId="77777777" w:rsidR="00C64AB3" w:rsidRPr="00C64AB3" w:rsidRDefault="00C64AB3" w:rsidP="00C64AB3">
      <w:pPr>
        <w:ind w:firstLineChars="200" w:firstLine="420"/>
        <w:rPr>
          <w:rFonts w:ascii="宋体" w:eastAsia="宋体" w:hAnsi="宋体" w:cs="宋体" w:hint="eastAsia"/>
          <w:szCs w:val="24"/>
        </w:rPr>
      </w:pPr>
      <w:r w:rsidRPr="00C64AB3">
        <w:rPr>
          <w:rFonts w:ascii="Times New Roman" w:eastAsia="宋体" w:hAnsi="Times New Roman" w:cs="Times New Roman" w:hint="eastAsia"/>
          <w:color w:val="000000"/>
          <w:kern w:val="0"/>
          <w:szCs w:val="21"/>
        </w:rPr>
        <w:t>5</w:t>
      </w:r>
      <w:r w:rsidRPr="00C64AB3">
        <w:rPr>
          <w:rFonts w:ascii="Times New Roman" w:eastAsia="宋体" w:hAnsi="Times New Roman" w:cs="Times New Roman" w:hint="eastAsia"/>
          <w:color w:val="000000"/>
          <w:kern w:val="0"/>
          <w:szCs w:val="21"/>
        </w:rPr>
        <w:t>、</w:t>
      </w:r>
      <w:r w:rsidRPr="00C64AB3">
        <w:rPr>
          <w:rFonts w:ascii="Times New Roman" w:eastAsia="宋体" w:hAnsi="Times New Roman" w:cs="Times New Roman"/>
          <w:color w:val="000000"/>
          <w:kern w:val="0"/>
          <w:szCs w:val="21"/>
        </w:rPr>
        <w:t>演示顺序：</w:t>
      </w:r>
      <w:r w:rsidRPr="00C64AB3">
        <w:rPr>
          <w:rFonts w:ascii="Times New Roman" w:eastAsia="宋体" w:hAnsi="Times New Roman" w:cs="Times New Roman" w:hint="eastAsia"/>
          <w:color w:val="000000"/>
          <w:kern w:val="0"/>
          <w:szCs w:val="21"/>
        </w:rPr>
        <w:t>按</w:t>
      </w:r>
      <w:r w:rsidRPr="00C64AB3">
        <w:rPr>
          <w:rFonts w:ascii="Times New Roman" w:eastAsia="宋体" w:hAnsi="Times New Roman" w:cs="Times New Roman"/>
          <w:color w:val="000000"/>
          <w:kern w:val="0"/>
          <w:szCs w:val="21"/>
        </w:rPr>
        <w:t>现场签到</w:t>
      </w:r>
      <w:r w:rsidRPr="00C64AB3">
        <w:rPr>
          <w:rFonts w:ascii="Times New Roman" w:eastAsia="宋体" w:hAnsi="Times New Roman" w:cs="Times New Roman" w:hint="eastAsia"/>
          <w:color w:val="000000"/>
          <w:kern w:val="0"/>
          <w:szCs w:val="21"/>
        </w:rPr>
        <w:t>的</w:t>
      </w:r>
      <w:r w:rsidRPr="00C64AB3">
        <w:rPr>
          <w:rFonts w:ascii="Times New Roman" w:eastAsia="宋体" w:hAnsi="Times New Roman" w:cs="Times New Roman"/>
          <w:color w:val="000000"/>
          <w:kern w:val="0"/>
          <w:szCs w:val="21"/>
        </w:rPr>
        <w:t>顺序为准</w:t>
      </w:r>
      <w:r w:rsidRPr="00C64AB3">
        <w:rPr>
          <w:rFonts w:ascii="Times New Roman" w:eastAsia="宋体" w:hAnsi="Times New Roman" w:cs="Times New Roman" w:hint="eastAsia"/>
          <w:color w:val="000000"/>
          <w:kern w:val="0"/>
          <w:szCs w:val="21"/>
        </w:rPr>
        <w:t>，依此进行演示</w:t>
      </w:r>
      <w:r w:rsidRPr="00C64AB3">
        <w:rPr>
          <w:rFonts w:ascii="Times New Roman" w:eastAsia="宋体" w:hAnsi="Times New Roman" w:cs="Times New Roman"/>
          <w:color w:val="000000"/>
          <w:kern w:val="0"/>
          <w:szCs w:val="21"/>
        </w:rPr>
        <w:t>。</w:t>
      </w:r>
    </w:p>
    <w:bookmarkEnd w:id="0"/>
    <w:p w14:paraId="4A6CC8D5" w14:textId="5F255E8F" w:rsidR="008E30C1" w:rsidRPr="00C64AB3" w:rsidRDefault="008E30C1" w:rsidP="00C64AB3">
      <w:pPr>
        <w:rPr>
          <w:rFonts w:ascii="宋体" w:eastAsia="宋体" w:hAnsi="宋体" w:cs="Times New Roman" w:hint="eastAsia"/>
          <w:b/>
          <w:szCs w:val="21"/>
        </w:rPr>
      </w:pPr>
    </w:p>
    <w:sectPr w:rsidR="008E30C1" w:rsidRPr="00C6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1BD14"/>
    <w:multiLevelType w:val="singleLevel"/>
    <w:tmpl w:val="8481BD14"/>
    <w:lvl w:ilvl="0">
      <w:start w:val="1"/>
      <w:numFmt w:val="decimal"/>
      <w:lvlText w:val="%1."/>
      <w:lvlJc w:val="left"/>
      <w:pPr>
        <w:tabs>
          <w:tab w:val="num" w:pos="312"/>
        </w:tabs>
      </w:pPr>
    </w:lvl>
  </w:abstractNum>
  <w:num w:numId="1" w16cid:durableId="211474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B3"/>
    <w:rsid w:val="0004390F"/>
    <w:rsid w:val="008E30C1"/>
    <w:rsid w:val="00C64AB3"/>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71E5"/>
  <w15:chartTrackingRefBased/>
  <w15:docId w15:val="{FB2CF925-4F06-450C-BDE1-9AFB63F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4A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4A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4A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4A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4AB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64A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4A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A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4A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A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4A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4A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4AB3"/>
    <w:rPr>
      <w:rFonts w:cstheme="majorBidi"/>
      <w:color w:val="0F4761" w:themeColor="accent1" w:themeShade="BF"/>
      <w:sz w:val="28"/>
      <w:szCs w:val="28"/>
    </w:rPr>
  </w:style>
  <w:style w:type="character" w:customStyle="1" w:styleId="50">
    <w:name w:val="标题 5 字符"/>
    <w:basedOn w:val="a0"/>
    <w:link w:val="5"/>
    <w:uiPriority w:val="9"/>
    <w:semiHidden/>
    <w:rsid w:val="00C64AB3"/>
    <w:rPr>
      <w:rFonts w:cstheme="majorBidi"/>
      <w:color w:val="0F4761" w:themeColor="accent1" w:themeShade="BF"/>
      <w:sz w:val="24"/>
      <w:szCs w:val="24"/>
    </w:rPr>
  </w:style>
  <w:style w:type="character" w:customStyle="1" w:styleId="60">
    <w:name w:val="标题 6 字符"/>
    <w:basedOn w:val="a0"/>
    <w:link w:val="6"/>
    <w:uiPriority w:val="9"/>
    <w:semiHidden/>
    <w:rsid w:val="00C64AB3"/>
    <w:rPr>
      <w:rFonts w:cstheme="majorBidi"/>
      <w:b/>
      <w:bCs/>
      <w:color w:val="0F4761" w:themeColor="accent1" w:themeShade="BF"/>
    </w:rPr>
  </w:style>
  <w:style w:type="character" w:customStyle="1" w:styleId="70">
    <w:name w:val="标题 7 字符"/>
    <w:basedOn w:val="a0"/>
    <w:link w:val="7"/>
    <w:uiPriority w:val="9"/>
    <w:semiHidden/>
    <w:rsid w:val="00C64AB3"/>
    <w:rPr>
      <w:rFonts w:cstheme="majorBidi"/>
      <w:b/>
      <w:bCs/>
      <w:color w:val="595959" w:themeColor="text1" w:themeTint="A6"/>
    </w:rPr>
  </w:style>
  <w:style w:type="character" w:customStyle="1" w:styleId="80">
    <w:name w:val="标题 8 字符"/>
    <w:basedOn w:val="a0"/>
    <w:link w:val="8"/>
    <w:uiPriority w:val="9"/>
    <w:semiHidden/>
    <w:rsid w:val="00C64AB3"/>
    <w:rPr>
      <w:rFonts w:cstheme="majorBidi"/>
      <w:color w:val="595959" w:themeColor="text1" w:themeTint="A6"/>
    </w:rPr>
  </w:style>
  <w:style w:type="character" w:customStyle="1" w:styleId="90">
    <w:name w:val="标题 9 字符"/>
    <w:basedOn w:val="a0"/>
    <w:link w:val="9"/>
    <w:uiPriority w:val="9"/>
    <w:semiHidden/>
    <w:rsid w:val="00C64AB3"/>
    <w:rPr>
      <w:rFonts w:eastAsiaTheme="majorEastAsia" w:cstheme="majorBidi"/>
      <w:color w:val="595959" w:themeColor="text1" w:themeTint="A6"/>
    </w:rPr>
  </w:style>
  <w:style w:type="paragraph" w:styleId="a3">
    <w:name w:val="Title"/>
    <w:basedOn w:val="a"/>
    <w:next w:val="a"/>
    <w:link w:val="a4"/>
    <w:uiPriority w:val="10"/>
    <w:qFormat/>
    <w:rsid w:val="00C64A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A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AB3"/>
    <w:pPr>
      <w:spacing w:before="160" w:after="160"/>
      <w:jc w:val="center"/>
    </w:pPr>
    <w:rPr>
      <w:i/>
      <w:iCs/>
      <w:color w:val="404040" w:themeColor="text1" w:themeTint="BF"/>
    </w:rPr>
  </w:style>
  <w:style w:type="character" w:customStyle="1" w:styleId="a8">
    <w:name w:val="引用 字符"/>
    <w:basedOn w:val="a0"/>
    <w:link w:val="a7"/>
    <w:uiPriority w:val="29"/>
    <w:rsid w:val="00C64AB3"/>
    <w:rPr>
      <w:i/>
      <w:iCs/>
      <w:color w:val="404040" w:themeColor="text1" w:themeTint="BF"/>
    </w:rPr>
  </w:style>
  <w:style w:type="paragraph" w:styleId="a9">
    <w:name w:val="List Paragraph"/>
    <w:basedOn w:val="a"/>
    <w:uiPriority w:val="34"/>
    <w:qFormat/>
    <w:rsid w:val="00C64AB3"/>
    <w:pPr>
      <w:ind w:left="720"/>
      <w:contextualSpacing/>
    </w:pPr>
  </w:style>
  <w:style w:type="character" w:styleId="aa">
    <w:name w:val="Intense Emphasis"/>
    <w:basedOn w:val="a0"/>
    <w:uiPriority w:val="21"/>
    <w:qFormat/>
    <w:rsid w:val="00C64AB3"/>
    <w:rPr>
      <w:i/>
      <w:iCs/>
      <w:color w:val="0F4761" w:themeColor="accent1" w:themeShade="BF"/>
    </w:rPr>
  </w:style>
  <w:style w:type="paragraph" w:styleId="ab">
    <w:name w:val="Intense Quote"/>
    <w:basedOn w:val="a"/>
    <w:next w:val="a"/>
    <w:link w:val="ac"/>
    <w:uiPriority w:val="30"/>
    <w:qFormat/>
    <w:rsid w:val="00C64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4AB3"/>
    <w:rPr>
      <w:i/>
      <w:iCs/>
      <w:color w:val="0F4761" w:themeColor="accent1" w:themeShade="BF"/>
    </w:rPr>
  </w:style>
  <w:style w:type="character" w:styleId="ad">
    <w:name w:val="Intense Reference"/>
    <w:basedOn w:val="a0"/>
    <w:uiPriority w:val="32"/>
    <w:qFormat/>
    <w:rsid w:val="00C64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2025-07-14T08:15:00Z</dcterms:created>
  <dcterms:modified xsi:type="dcterms:W3CDTF">2025-07-14T08:15:00Z</dcterms:modified>
</cp:coreProperties>
</file>