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A69C" w14:textId="77777777" w:rsidR="00C8127B" w:rsidRPr="00C8127B" w:rsidRDefault="00C8127B" w:rsidP="00C8127B">
      <w:pPr>
        <w:spacing w:beforeLines="50" w:before="156" w:afterLines="50" w:after="156" w:line="300" w:lineRule="auto"/>
        <w:jc w:val="center"/>
        <w:outlineLvl w:val="0"/>
        <w:rPr>
          <w:rFonts w:ascii="Arial" w:eastAsia="宋体" w:hAnsi="Arial" w:cs="Times New Roman"/>
          <w:kern w:val="44"/>
          <w:sz w:val="44"/>
          <w:szCs w:val="44"/>
        </w:rPr>
      </w:pPr>
      <w:bookmarkStart w:id="0" w:name="_Toc191374691"/>
      <w:proofErr w:type="gramStart"/>
      <w:r w:rsidRPr="00C8127B">
        <w:rPr>
          <w:rFonts w:ascii="Arial" w:eastAsia="宋体" w:hAnsi="Arial" w:cs="Times New Roman" w:hint="eastAsia"/>
          <w:kern w:val="44"/>
          <w:sz w:val="44"/>
          <w:szCs w:val="44"/>
        </w:rPr>
        <w:t>第六章</w:t>
      </w:r>
      <w:r w:rsidRPr="00C8127B">
        <w:rPr>
          <w:rFonts w:ascii="Arial" w:eastAsia="宋体" w:hAnsi="Arial" w:cs="Times New Roman" w:hint="eastAsia"/>
          <w:kern w:val="44"/>
          <w:sz w:val="44"/>
          <w:szCs w:val="44"/>
        </w:rPr>
        <w:t xml:space="preserve">  </w:t>
      </w:r>
      <w:r w:rsidRPr="00C8127B">
        <w:rPr>
          <w:rFonts w:ascii="Arial" w:eastAsia="宋体" w:hAnsi="Arial" w:cs="Times New Roman" w:hint="eastAsia"/>
          <w:kern w:val="44"/>
          <w:sz w:val="44"/>
          <w:szCs w:val="44"/>
        </w:rPr>
        <w:t>货物和服务需求书</w:t>
      </w:r>
      <w:bookmarkEnd w:id="0"/>
      <w:proofErr w:type="gramEnd"/>
    </w:p>
    <w:p w14:paraId="2230AEBA" w14:textId="77777777" w:rsidR="00C8127B" w:rsidRPr="00C8127B" w:rsidRDefault="00C8127B" w:rsidP="00C8127B">
      <w:pPr>
        <w:spacing w:afterLines="25" w:after="78" w:line="360" w:lineRule="auto"/>
        <w:jc w:val="center"/>
        <w:rPr>
          <w:rFonts w:ascii="Arial" w:eastAsia="宋体" w:hAnsi="Arial" w:cs="Times New Roman"/>
          <w:b/>
          <w:color w:val="FF0000"/>
          <w:sz w:val="28"/>
          <w:szCs w:val="28"/>
        </w:rPr>
      </w:pPr>
      <w:r w:rsidRPr="00C8127B">
        <w:rPr>
          <w:rFonts w:ascii="Arial" w:eastAsia="宋体" w:hAnsi="Arial" w:cs="Times New Roman" w:hint="eastAsia"/>
          <w:b/>
          <w:color w:val="FF0000"/>
          <w:sz w:val="28"/>
          <w:szCs w:val="28"/>
        </w:rPr>
        <w:t>（商务要求部分）</w:t>
      </w:r>
    </w:p>
    <w:p w14:paraId="40ABD961" w14:textId="77777777" w:rsidR="00C8127B" w:rsidRPr="00C8127B" w:rsidRDefault="00C8127B" w:rsidP="00C8127B">
      <w:pPr>
        <w:spacing w:afterLines="25" w:after="78" w:line="360" w:lineRule="auto"/>
        <w:ind w:firstLineChars="200" w:firstLine="420"/>
        <w:jc w:val="left"/>
        <w:rPr>
          <w:rFonts w:ascii="宋体" w:eastAsia="宋体" w:hAnsi="宋体" w:cs="Times New Roman" w:hint="eastAsia"/>
          <w:szCs w:val="21"/>
        </w:rPr>
      </w:pPr>
      <w:r w:rsidRPr="00C8127B">
        <w:rPr>
          <w:rFonts w:ascii="宋体" w:eastAsia="宋体" w:hAnsi="宋体" w:cs="Times New Roman" w:hint="eastAsia"/>
          <w:szCs w:val="21"/>
        </w:rPr>
        <w:t>（一）</w:t>
      </w:r>
      <w:r w:rsidRPr="00C8127B">
        <w:rPr>
          <w:rFonts w:ascii="宋体" w:eastAsia="宋体" w:hAnsi="宋体" w:cs="Times New Roman" w:hint="eastAsia"/>
          <w:b/>
          <w:bCs/>
          <w:szCs w:val="21"/>
        </w:rPr>
        <w:t>采购项目基本信息</w:t>
      </w:r>
      <w:r w:rsidRPr="00C8127B">
        <w:rPr>
          <w:rFonts w:ascii="宋体" w:eastAsia="宋体" w:hAnsi="宋体" w:cs="Times New Roman" w:hint="eastAsia"/>
          <w:szCs w:val="21"/>
        </w:rPr>
        <w:t>：</w:t>
      </w:r>
    </w:p>
    <w:p w14:paraId="1BBF46D7" w14:textId="77777777" w:rsidR="00C8127B" w:rsidRPr="00C8127B" w:rsidRDefault="00C8127B" w:rsidP="00C8127B">
      <w:pPr>
        <w:spacing w:afterLines="25" w:after="78" w:line="360" w:lineRule="auto"/>
        <w:ind w:firstLineChars="135" w:firstLine="285"/>
        <w:jc w:val="left"/>
        <w:rPr>
          <w:rFonts w:ascii="宋体" w:eastAsia="宋体" w:hAnsi="宋体" w:cs="华文仿宋" w:hint="eastAsia"/>
          <w:bCs/>
          <w:szCs w:val="21"/>
        </w:rPr>
      </w:pPr>
      <w:r w:rsidRPr="00C8127B">
        <w:rPr>
          <w:rFonts w:ascii="宋体" w:eastAsia="宋体" w:hAnsi="宋体" w:cs="华文仿宋" w:hint="eastAsia"/>
          <w:b/>
          <w:szCs w:val="21"/>
        </w:rPr>
        <w:t>1.项目名称：</w:t>
      </w:r>
      <w:r w:rsidRPr="00C8127B">
        <w:rPr>
          <w:rFonts w:ascii="宋体" w:eastAsia="宋体" w:hAnsi="宋体" w:cs="华文仿宋" w:hint="eastAsia"/>
          <w:bCs/>
          <w:szCs w:val="21"/>
        </w:rPr>
        <w:t>福永街道采购电表箱微型灭火装置一批。</w:t>
      </w:r>
    </w:p>
    <w:p w14:paraId="140D6F77" w14:textId="77777777" w:rsidR="00C8127B" w:rsidRPr="00C8127B" w:rsidRDefault="00C8127B" w:rsidP="00C8127B">
      <w:pPr>
        <w:spacing w:afterLines="25" w:after="78" w:line="360" w:lineRule="auto"/>
        <w:ind w:firstLineChars="135" w:firstLine="285"/>
        <w:jc w:val="left"/>
        <w:rPr>
          <w:rFonts w:ascii="宋体" w:eastAsia="宋体" w:hAnsi="宋体" w:cs="华文仿宋" w:hint="eastAsia"/>
          <w:bCs/>
          <w:szCs w:val="21"/>
        </w:rPr>
      </w:pPr>
      <w:r w:rsidRPr="00C8127B">
        <w:rPr>
          <w:rFonts w:ascii="宋体" w:eastAsia="宋体" w:hAnsi="宋体" w:cs="华文仿宋" w:hint="eastAsia"/>
          <w:b/>
          <w:szCs w:val="21"/>
        </w:rPr>
        <w:t>2.采购数量：</w:t>
      </w:r>
      <w:r w:rsidRPr="00C8127B">
        <w:rPr>
          <w:rFonts w:ascii="宋体" w:eastAsia="宋体" w:hAnsi="宋体" w:cs="华文仿宋" w:hint="eastAsia"/>
          <w:bCs/>
          <w:szCs w:val="21"/>
        </w:rPr>
        <w:t>1600个微型灭火装置</w:t>
      </w:r>
    </w:p>
    <w:p w14:paraId="6279D509" w14:textId="77777777" w:rsidR="00C8127B" w:rsidRPr="00C8127B" w:rsidRDefault="00C8127B" w:rsidP="00C8127B">
      <w:pPr>
        <w:spacing w:afterLines="25" w:after="78" w:line="360" w:lineRule="auto"/>
        <w:ind w:firstLineChars="135" w:firstLine="285"/>
        <w:jc w:val="left"/>
        <w:rPr>
          <w:rFonts w:ascii="宋体" w:eastAsia="宋体" w:hAnsi="宋体" w:cs="华文仿宋" w:hint="eastAsia"/>
          <w:bCs/>
          <w:szCs w:val="21"/>
        </w:rPr>
      </w:pPr>
      <w:r w:rsidRPr="00C8127B">
        <w:rPr>
          <w:rFonts w:ascii="宋体" w:eastAsia="宋体" w:hAnsi="宋体" w:cs="华文仿宋" w:hint="eastAsia"/>
          <w:b/>
          <w:szCs w:val="21"/>
        </w:rPr>
        <w:t>3.项目控制金额：</w:t>
      </w:r>
      <w:r w:rsidRPr="00C8127B">
        <w:rPr>
          <w:rFonts w:ascii="宋体" w:eastAsia="宋体" w:hAnsi="宋体" w:cs="华文仿宋" w:hint="eastAsia"/>
          <w:bCs/>
          <w:szCs w:val="21"/>
        </w:rPr>
        <w:t>40万。本项目总金额采用包干价，包含但不限于项目的国家要求的税费、设备、人员、住宿、交通和保险费用等本项目涉及的一切费用。</w:t>
      </w:r>
    </w:p>
    <w:p w14:paraId="76EEABEF" w14:textId="77777777" w:rsidR="00C8127B" w:rsidRPr="00C8127B" w:rsidRDefault="00C8127B" w:rsidP="00C8127B">
      <w:pPr>
        <w:spacing w:afterLines="25" w:after="78" w:line="360" w:lineRule="auto"/>
        <w:ind w:firstLineChars="135" w:firstLine="285"/>
        <w:jc w:val="left"/>
        <w:rPr>
          <w:rFonts w:ascii="宋体" w:eastAsia="宋体" w:hAnsi="宋体" w:cs="华文仿宋" w:hint="eastAsia"/>
          <w:bCs/>
          <w:szCs w:val="21"/>
        </w:rPr>
      </w:pPr>
      <w:r w:rsidRPr="00C8127B">
        <w:rPr>
          <w:rFonts w:ascii="宋体" w:eastAsia="宋体" w:hAnsi="宋体" w:cs="华文仿宋" w:hint="eastAsia"/>
          <w:b/>
          <w:szCs w:val="21"/>
        </w:rPr>
        <w:t>4.交货地点：</w:t>
      </w:r>
      <w:r w:rsidRPr="00C8127B">
        <w:rPr>
          <w:rFonts w:ascii="宋体" w:eastAsia="宋体" w:hAnsi="宋体" w:cs="华文仿宋" w:hint="eastAsia"/>
          <w:bCs/>
          <w:szCs w:val="21"/>
        </w:rPr>
        <w:t>福永街道辖区内，具体地点由采购单位通知。</w:t>
      </w:r>
    </w:p>
    <w:p w14:paraId="3D46DEB8" w14:textId="77777777" w:rsidR="00C8127B" w:rsidRPr="00C8127B" w:rsidRDefault="00C8127B" w:rsidP="00C8127B">
      <w:pPr>
        <w:spacing w:afterLines="25" w:after="78" w:line="360" w:lineRule="auto"/>
        <w:ind w:firstLineChars="135" w:firstLine="285"/>
        <w:jc w:val="left"/>
        <w:rPr>
          <w:rFonts w:ascii="宋体" w:eastAsia="宋体" w:hAnsi="宋体" w:cs="华文仿宋" w:hint="eastAsia"/>
          <w:bCs/>
          <w:szCs w:val="21"/>
        </w:rPr>
      </w:pPr>
      <w:r w:rsidRPr="00C8127B">
        <w:rPr>
          <w:rFonts w:ascii="宋体" w:eastAsia="宋体" w:hAnsi="宋体" w:cs="华文仿宋" w:hint="eastAsia"/>
          <w:b/>
          <w:szCs w:val="21"/>
        </w:rPr>
        <w:t>5.交货及安装时间：</w:t>
      </w:r>
      <w:r w:rsidRPr="00C8127B">
        <w:rPr>
          <w:rFonts w:ascii="宋体" w:eastAsia="宋体" w:hAnsi="宋体" w:cs="华文仿宋" w:hint="eastAsia"/>
          <w:bCs/>
          <w:szCs w:val="21"/>
        </w:rPr>
        <w:t>合同签订之日起90个日历天内。</w:t>
      </w:r>
    </w:p>
    <w:p w14:paraId="62DB0C16" w14:textId="77777777" w:rsidR="00C8127B" w:rsidRPr="00C8127B" w:rsidRDefault="00C8127B" w:rsidP="00C8127B">
      <w:pPr>
        <w:spacing w:afterLines="25" w:after="78" w:line="360" w:lineRule="auto"/>
        <w:ind w:firstLineChars="135" w:firstLine="285"/>
        <w:jc w:val="left"/>
        <w:rPr>
          <w:rFonts w:ascii="宋体" w:eastAsia="宋体" w:hAnsi="宋体" w:cs="华文仿宋" w:hint="eastAsia"/>
          <w:bCs/>
          <w:szCs w:val="21"/>
        </w:rPr>
      </w:pPr>
      <w:r w:rsidRPr="00C8127B">
        <w:rPr>
          <w:rFonts w:ascii="宋体" w:eastAsia="宋体" w:hAnsi="宋体" w:cs="华文仿宋" w:hint="eastAsia"/>
          <w:b/>
          <w:szCs w:val="21"/>
        </w:rPr>
        <w:t>6.验收方式：</w:t>
      </w:r>
      <w:r w:rsidRPr="00C8127B">
        <w:rPr>
          <w:rFonts w:ascii="宋体" w:eastAsia="宋体" w:hAnsi="宋体" w:cs="华文仿宋" w:hint="eastAsia"/>
          <w:bCs/>
          <w:szCs w:val="21"/>
        </w:rPr>
        <w:t>采购单位自行组织人员，抽取5%电表箱微型灭火装置进行验收。</w:t>
      </w:r>
    </w:p>
    <w:p w14:paraId="086BA0A1" w14:textId="77777777" w:rsidR="00C8127B" w:rsidRPr="00C8127B" w:rsidRDefault="00C8127B" w:rsidP="00C8127B">
      <w:pPr>
        <w:spacing w:afterLines="25" w:after="78" w:line="360" w:lineRule="auto"/>
        <w:ind w:firstLineChars="135" w:firstLine="285"/>
        <w:jc w:val="left"/>
        <w:rPr>
          <w:rFonts w:ascii="宋体" w:eastAsia="宋体" w:hAnsi="宋体" w:cs="华文仿宋" w:hint="eastAsia"/>
          <w:bCs/>
          <w:szCs w:val="21"/>
        </w:rPr>
      </w:pPr>
      <w:r w:rsidRPr="00C8127B">
        <w:rPr>
          <w:rFonts w:ascii="宋体" w:eastAsia="宋体" w:hAnsi="宋体" w:cs="华文仿宋" w:hint="eastAsia"/>
          <w:b/>
          <w:szCs w:val="21"/>
        </w:rPr>
        <w:t>7.付款方式：</w:t>
      </w:r>
      <w:r w:rsidRPr="00C8127B">
        <w:rPr>
          <w:rFonts w:ascii="宋体" w:eastAsia="宋体" w:hAnsi="宋体" w:cs="华文仿宋" w:hint="eastAsia"/>
          <w:bCs/>
          <w:szCs w:val="21"/>
        </w:rPr>
        <w:t>签订合同后按进度分期付款。</w:t>
      </w:r>
    </w:p>
    <w:p w14:paraId="23FE04E6" w14:textId="77777777" w:rsidR="00C8127B" w:rsidRPr="00C8127B" w:rsidRDefault="00C8127B" w:rsidP="00C8127B">
      <w:pPr>
        <w:spacing w:afterLines="25" w:after="78" w:line="360" w:lineRule="auto"/>
        <w:ind w:firstLineChars="135" w:firstLine="285"/>
        <w:jc w:val="left"/>
        <w:rPr>
          <w:rFonts w:ascii="宋体" w:eastAsia="宋体" w:hAnsi="宋体" w:cs="华文仿宋" w:hint="eastAsia"/>
          <w:bCs/>
          <w:szCs w:val="21"/>
        </w:rPr>
      </w:pPr>
      <w:r w:rsidRPr="00C8127B">
        <w:rPr>
          <w:rFonts w:ascii="宋体" w:eastAsia="宋体" w:hAnsi="宋体" w:cs="华文仿宋" w:hint="eastAsia"/>
          <w:b/>
          <w:szCs w:val="21"/>
        </w:rPr>
        <w:t>8.售后服务要求：</w:t>
      </w:r>
      <w:bookmarkStart w:id="1" w:name="_Toc44334897"/>
      <w:r w:rsidRPr="00C8127B">
        <w:rPr>
          <w:rFonts w:ascii="宋体" w:eastAsia="宋体" w:hAnsi="宋体" w:cs="华文仿宋" w:hint="eastAsia"/>
          <w:bCs/>
          <w:szCs w:val="21"/>
        </w:rPr>
        <w:t>提供详细的售后服务方案，安装、调试及人员培训，以保证采购方工作人员掌握设备各种使用操作</w:t>
      </w:r>
      <w:bookmarkEnd w:id="1"/>
      <w:r w:rsidRPr="00C8127B">
        <w:rPr>
          <w:rFonts w:ascii="宋体" w:eastAsia="宋体" w:hAnsi="宋体" w:cs="华文仿宋" w:hint="eastAsia"/>
          <w:bCs/>
          <w:szCs w:val="21"/>
        </w:rPr>
        <w:t>。</w:t>
      </w:r>
    </w:p>
    <w:p w14:paraId="630EBF2C" w14:textId="77777777" w:rsidR="00C8127B" w:rsidRPr="00C8127B" w:rsidRDefault="00C8127B" w:rsidP="00C8127B">
      <w:pPr>
        <w:spacing w:afterLines="25" w:after="78" w:line="360" w:lineRule="auto"/>
        <w:ind w:firstLineChars="135" w:firstLine="285"/>
        <w:jc w:val="left"/>
        <w:rPr>
          <w:rFonts w:ascii="宋体" w:eastAsia="宋体" w:hAnsi="宋体" w:cs="华文仿宋" w:hint="eastAsia"/>
          <w:b/>
          <w:szCs w:val="21"/>
        </w:rPr>
      </w:pPr>
      <w:r w:rsidRPr="00C8127B">
        <w:rPr>
          <w:rFonts w:ascii="宋体" w:eastAsia="宋体" w:hAnsi="宋体" w:cs="华文仿宋" w:hint="eastAsia"/>
          <w:b/>
          <w:szCs w:val="21"/>
        </w:rPr>
        <w:t>9.其它要求：</w:t>
      </w:r>
    </w:p>
    <w:p w14:paraId="47C8F019" w14:textId="77777777" w:rsidR="00C8127B" w:rsidRPr="00C8127B" w:rsidRDefault="00C8127B" w:rsidP="00C8127B">
      <w:pPr>
        <w:spacing w:afterLines="25" w:after="78" w:line="360" w:lineRule="auto"/>
        <w:ind w:firstLineChars="135" w:firstLine="283"/>
        <w:jc w:val="left"/>
        <w:rPr>
          <w:rFonts w:ascii="宋体" w:eastAsia="宋体" w:hAnsi="宋体" w:cs="华文仿宋" w:hint="eastAsia"/>
          <w:bCs/>
          <w:szCs w:val="21"/>
        </w:rPr>
      </w:pPr>
      <w:r w:rsidRPr="00C8127B">
        <w:rPr>
          <w:rFonts w:ascii="宋体" w:eastAsia="宋体" w:hAnsi="宋体" w:cs="华文仿宋" w:hint="eastAsia"/>
          <w:bCs/>
          <w:szCs w:val="21"/>
        </w:rPr>
        <w:t>（1）免费质保期：所投设备（含所有易损易耗件）免费质保期不少于3年，在质保期内，设备零配件及其维修、人工等有关费用全免；</w:t>
      </w:r>
    </w:p>
    <w:p w14:paraId="02AFC541" w14:textId="77777777" w:rsidR="00C8127B" w:rsidRPr="00C8127B" w:rsidRDefault="00C8127B" w:rsidP="00C8127B">
      <w:pPr>
        <w:spacing w:afterLines="25" w:after="78" w:line="360" w:lineRule="auto"/>
        <w:ind w:firstLineChars="135" w:firstLine="283"/>
        <w:jc w:val="left"/>
        <w:rPr>
          <w:rFonts w:ascii="宋体" w:eastAsia="宋体" w:hAnsi="宋体" w:cs="华文仿宋" w:hint="eastAsia"/>
          <w:bCs/>
          <w:szCs w:val="21"/>
        </w:rPr>
      </w:pPr>
      <w:r w:rsidRPr="00C8127B">
        <w:rPr>
          <w:rFonts w:ascii="宋体" w:eastAsia="宋体" w:hAnsi="宋体" w:cs="华文仿宋" w:hint="eastAsia"/>
          <w:bCs/>
          <w:szCs w:val="21"/>
        </w:rPr>
        <w:t>（2）</w:t>
      </w:r>
      <w:bookmarkStart w:id="2" w:name="_Toc44334899"/>
      <w:r w:rsidRPr="00C8127B">
        <w:rPr>
          <w:rFonts w:ascii="宋体" w:eastAsia="宋体" w:hAnsi="宋体" w:cs="华文仿宋" w:hint="eastAsia"/>
          <w:bCs/>
          <w:szCs w:val="21"/>
        </w:rPr>
        <w:t>电话响应：24小时电话响应；</w:t>
      </w:r>
      <w:bookmarkEnd w:id="2"/>
    </w:p>
    <w:p w14:paraId="2C2EFDBF" w14:textId="77777777" w:rsidR="00C8127B" w:rsidRPr="00C8127B" w:rsidRDefault="00C8127B" w:rsidP="00C8127B">
      <w:pPr>
        <w:spacing w:afterLines="25" w:after="78" w:line="360" w:lineRule="auto"/>
        <w:ind w:firstLineChars="135" w:firstLine="283"/>
        <w:jc w:val="left"/>
        <w:rPr>
          <w:rFonts w:ascii="宋体" w:eastAsia="宋体" w:hAnsi="宋体" w:cs="华文仿宋" w:hint="eastAsia"/>
          <w:bCs/>
          <w:szCs w:val="21"/>
        </w:rPr>
      </w:pPr>
      <w:bookmarkStart w:id="3" w:name="_Toc44334900"/>
      <w:r w:rsidRPr="00C8127B">
        <w:rPr>
          <w:rFonts w:ascii="宋体" w:eastAsia="宋体" w:hAnsi="宋体" w:cs="华文仿宋" w:hint="eastAsia"/>
          <w:bCs/>
          <w:szCs w:val="21"/>
        </w:rPr>
        <w:t>（3）响应时间：服务响应时间为2小时，紧急情况下赶到现场不应超过1小时；</w:t>
      </w:r>
      <w:bookmarkEnd w:id="3"/>
    </w:p>
    <w:p w14:paraId="21C94588" w14:textId="77777777" w:rsidR="00C8127B" w:rsidRPr="00C8127B" w:rsidRDefault="00C8127B" w:rsidP="00C8127B">
      <w:pPr>
        <w:spacing w:afterLines="25" w:after="78" w:line="360" w:lineRule="auto"/>
        <w:ind w:firstLineChars="135" w:firstLine="283"/>
        <w:jc w:val="left"/>
        <w:rPr>
          <w:rFonts w:ascii="宋体" w:eastAsia="宋体" w:hAnsi="宋体" w:cs="华文仿宋" w:hint="eastAsia"/>
          <w:bCs/>
          <w:szCs w:val="21"/>
        </w:rPr>
      </w:pPr>
      <w:bookmarkStart w:id="4" w:name="_Toc44334901"/>
      <w:r w:rsidRPr="00C8127B">
        <w:rPr>
          <w:rFonts w:ascii="宋体" w:eastAsia="宋体" w:hAnsi="宋体" w:cs="华文仿宋" w:hint="eastAsia"/>
          <w:bCs/>
          <w:szCs w:val="21"/>
        </w:rPr>
        <w:t>（4）培训要求：中标人在现场对采购人提供上门服务，保证设备正常运作，以及小故障的判断与解决。采购单位或上级部门需要后期技术咨询的，中标单位应提供咨询服务。</w:t>
      </w:r>
      <w:bookmarkEnd w:id="4"/>
    </w:p>
    <w:p w14:paraId="417D4547" w14:textId="77777777" w:rsidR="00C8127B" w:rsidRPr="00C8127B" w:rsidRDefault="00C8127B" w:rsidP="00C8127B">
      <w:pPr>
        <w:widowControl/>
        <w:spacing w:after="25" w:line="360" w:lineRule="auto"/>
        <w:ind w:left="426"/>
        <w:jc w:val="left"/>
        <w:rPr>
          <w:rFonts w:ascii="宋体" w:eastAsia="宋体" w:hAnsi="宋体" w:cs="Times New Roman" w:hint="eastAsia"/>
          <w:color w:val="000000"/>
          <w:szCs w:val="21"/>
        </w:rPr>
      </w:pPr>
    </w:p>
    <w:p w14:paraId="7DD78A95" w14:textId="77777777" w:rsidR="00C8127B" w:rsidRPr="00C8127B" w:rsidRDefault="00C8127B" w:rsidP="00C8127B">
      <w:pPr>
        <w:widowControl/>
        <w:spacing w:after="25" w:line="360" w:lineRule="auto"/>
        <w:ind w:left="426"/>
        <w:jc w:val="left"/>
        <w:rPr>
          <w:rFonts w:ascii="宋体" w:eastAsia="宋体" w:hAnsi="宋体" w:cs="Times New Roman" w:hint="eastAsia"/>
          <w:color w:val="000000"/>
          <w:szCs w:val="21"/>
        </w:rPr>
      </w:pPr>
    </w:p>
    <w:p w14:paraId="50EC7582" w14:textId="77777777" w:rsidR="00C8127B" w:rsidRPr="00C8127B" w:rsidRDefault="00C8127B" w:rsidP="00C8127B">
      <w:pPr>
        <w:widowControl/>
        <w:spacing w:after="25" w:line="360" w:lineRule="auto"/>
        <w:ind w:left="426"/>
        <w:jc w:val="left"/>
        <w:rPr>
          <w:rFonts w:ascii="宋体" w:eastAsia="宋体" w:hAnsi="宋体" w:cs="Times New Roman" w:hint="eastAsia"/>
          <w:color w:val="000000"/>
          <w:szCs w:val="21"/>
        </w:rPr>
      </w:pPr>
    </w:p>
    <w:p w14:paraId="1A64CDFA" w14:textId="77777777" w:rsidR="00C8127B" w:rsidRPr="00C8127B" w:rsidRDefault="00C8127B" w:rsidP="00C8127B">
      <w:pPr>
        <w:widowControl/>
        <w:spacing w:after="25" w:line="360" w:lineRule="auto"/>
        <w:ind w:left="426"/>
        <w:jc w:val="left"/>
        <w:rPr>
          <w:rFonts w:ascii="宋体" w:eastAsia="宋体" w:hAnsi="宋体" w:cs="Times New Roman" w:hint="eastAsia"/>
          <w:color w:val="000000"/>
          <w:szCs w:val="21"/>
        </w:rPr>
      </w:pPr>
    </w:p>
    <w:p w14:paraId="283EA9D1" w14:textId="77777777" w:rsidR="00C8127B" w:rsidRPr="00C8127B" w:rsidRDefault="00C8127B" w:rsidP="00C8127B">
      <w:pPr>
        <w:widowControl/>
        <w:spacing w:after="25" w:line="360" w:lineRule="auto"/>
        <w:ind w:left="426"/>
        <w:jc w:val="left"/>
        <w:rPr>
          <w:rFonts w:ascii="宋体" w:eastAsia="宋体" w:hAnsi="宋体" w:cs="Times New Roman"/>
          <w:color w:val="000000"/>
          <w:szCs w:val="21"/>
        </w:rPr>
      </w:pPr>
    </w:p>
    <w:p w14:paraId="07058109" w14:textId="77777777" w:rsidR="00C8127B" w:rsidRPr="00C8127B" w:rsidRDefault="00C8127B" w:rsidP="00C8127B">
      <w:pPr>
        <w:widowControl/>
        <w:spacing w:after="25" w:line="360" w:lineRule="auto"/>
        <w:ind w:left="426"/>
        <w:jc w:val="left"/>
        <w:rPr>
          <w:rFonts w:ascii="宋体" w:eastAsia="宋体" w:hAnsi="宋体" w:cs="Times New Roman"/>
          <w:color w:val="000000"/>
          <w:szCs w:val="21"/>
        </w:rPr>
      </w:pPr>
    </w:p>
    <w:p w14:paraId="7933DC08" w14:textId="77777777" w:rsidR="00C8127B" w:rsidRPr="00C8127B" w:rsidRDefault="00C8127B" w:rsidP="00C8127B">
      <w:pPr>
        <w:widowControl/>
        <w:spacing w:after="25" w:line="360" w:lineRule="auto"/>
        <w:ind w:left="426"/>
        <w:jc w:val="left"/>
        <w:rPr>
          <w:rFonts w:ascii="宋体" w:eastAsia="宋体" w:hAnsi="宋体" w:cs="Times New Roman"/>
          <w:color w:val="000000"/>
          <w:szCs w:val="21"/>
        </w:rPr>
      </w:pPr>
    </w:p>
    <w:p w14:paraId="558D0DB9" w14:textId="77777777" w:rsidR="00C8127B" w:rsidRPr="00C8127B" w:rsidRDefault="00C8127B" w:rsidP="00C8127B">
      <w:pPr>
        <w:widowControl/>
        <w:spacing w:after="25" w:line="360" w:lineRule="auto"/>
        <w:ind w:left="426"/>
        <w:jc w:val="left"/>
        <w:rPr>
          <w:rFonts w:ascii="宋体" w:eastAsia="宋体" w:hAnsi="宋体" w:cs="Times New Roman" w:hint="eastAsia"/>
          <w:color w:val="000000"/>
          <w:szCs w:val="21"/>
        </w:rPr>
      </w:pPr>
    </w:p>
    <w:p w14:paraId="1F5464ED" w14:textId="77777777" w:rsidR="00C8127B" w:rsidRPr="00C8127B" w:rsidRDefault="00C8127B" w:rsidP="00C8127B">
      <w:pPr>
        <w:widowControl/>
        <w:spacing w:after="25" w:line="360" w:lineRule="auto"/>
        <w:ind w:left="426"/>
        <w:jc w:val="left"/>
        <w:rPr>
          <w:rFonts w:ascii="宋体" w:eastAsia="宋体" w:hAnsi="宋体" w:cs="Times New Roman" w:hint="eastAsia"/>
          <w:color w:val="000000"/>
          <w:szCs w:val="21"/>
        </w:rPr>
      </w:pPr>
    </w:p>
    <w:p w14:paraId="03B08F19" w14:textId="77777777" w:rsidR="00C8127B" w:rsidRPr="00C8127B" w:rsidRDefault="00C8127B" w:rsidP="00C8127B">
      <w:pPr>
        <w:widowControl/>
        <w:spacing w:after="25" w:line="360" w:lineRule="auto"/>
        <w:ind w:left="426"/>
        <w:jc w:val="left"/>
        <w:rPr>
          <w:rFonts w:ascii="宋体" w:eastAsia="宋体" w:hAnsi="宋体" w:cs="Times New Roman" w:hint="eastAsia"/>
          <w:color w:val="000000"/>
          <w:szCs w:val="21"/>
        </w:rPr>
      </w:pPr>
    </w:p>
    <w:p w14:paraId="276E71FF" w14:textId="77777777" w:rsidR="00C8127B" w:rsidRPr="00C8127B" w:rsidRDefault="00C8127B" w:rsidP="00C8127B">
      <w:pPr>
        <w:spacing w:afterLines="25" w:after="78" w:line="360" w:lineRule="auto"/>
        <w:jc w:val="center"/>
        <w:rPr>
          <w:rFonts w:ascii="Arial" w:eastAsia="宋体" w:hAnsi="Arial" w:cs="Times New Roman"/>
          <w:b/>
          <w:color w:val="FF0000"/>
          <w:sz w:val="28"/>
          <w:szCs w:val="28"/>
        </w:rPr>
      </w:pPr>
      <w:r w:rsidRPr="00C8127B">
        <w:rPr>
          <w:rFonts w:ascii="Arial" w:eastAsia="宋体" w:hAnsi="Arial" w:cs="Times New Roman" w:hint="eastAsia"/>
          <w:b/>
          <w:color w:val="FF0000"/>
          <w:sz w:val="28"/>
          <w:szCs w:val="28"/>
        </w:rPr>
        <w:t>（技术要求部分）</w:t>
      </w:r>
    </w:p>
    <w:p w14:paraId="53181B27" w14:textId="77777777" w:rsidR="00C8127B" w:rsidRPr="00C8127B" w:rsidRDefault="00C8127B" w:rsidP="00C8127B">
      <w:pPr>
        <w:numPr>
          <w:ilvl w:val="0"/>
          <w:numId w:val="2"/>
        </w:numPr>
        <w:autoSpaceDE w:val="0"/>
        <w:autoSpaceDN w:val="0"/>
        <w:adjustRightInd w:val="0"/>
        <w:spacing w:afterLines="25" w:after="78" w:line="360" w:lineRule="auto"/>
        <w:jc w:val="left"/>
        <w:rPr>
          <w:rFonts w:ascii="宋体" w:eastAsia="宋体" w:hAnsi="Calibri" w:cs="宋体"/>
          <w:b/>
          <w:color w:val="000000"/>
          <w:kern w:val="0"/>
          <w:szCs w:val="21"/>
        </w:rPr>
      </w:pPr>
      <w:r w:rsidRPr="00C8127B">
        <w:rPr>
          <w:rFonts w:ascii="宋体" w:eastAsia="宋体" w:hAnsi="Calibri" w:cs="宋体" w:hint="eastAsia"/>
          <w:b/>
          <w:color w:val="000000"/>
          <w:kern w:val="0"/>
          <w:szCs w:val="21"/>
        </w:rPr>
        <w:t>配置清单</w:t>
      </w:r>
    </w:p>
    <w:p w14:paraId="5ED68700" w14:textId="77777777" w:rsidR="00C8127B" w:rsidRPr="00C8127B" w:rsidRDefault="00C8127B" w:rsidP="00C8127B">
      <w:pPr>
        <w:spacing w:line="360" w:lineRule="auto"/>
        <w:rPr>
          <w:rFonts w:ascii="宋体" w:eastAsia="宋体" w:hAnsi="宋体" w:cs="宋体" w:hint="eastAsia"/>
          <w:color w:val="000000"/>
          <w:kern w:val="0"/>
          <w:szCs w:val="21"/>
        </w:rPr>
      </w:pPr>
      <w:r w:rsidRPr="00C8127B">
        <w:rPr>
          <w:rFonts w:ascii="宋体" w:eastAsia="宋体" w:hAnsi="宋体" w:cs="宋体" w:hint="eastAsia"/>
          <w:color w:val="000000"/>
          <w:kern w:val="0"/>
          <w:szCs w:val="21"/>
        </w:rPr>
        <w:t>配置清单：微型灭火装置共计1600个，并免费提供安装服务。</w:t>
      </w:r>
    </w:p>
    <w:p w14:paraId="6705F10D" w14:textId="77777777" w:rsidR="00C8127B" w:rsidRPr="00C8127B" w:rsidRDefault="00C8127B" w:rsidP="00C8127B">
      <w:pPr>
        <w:autoSpaceDE w:val="0"/>
        <w:autoSpaceDN w:val="0"/>
        <w:adjustRightInd w:val="0"/>
        <w:spacing w:afterLines="25" w:after="78" w:line="360" w:lineRule="auto"/>
        <w:ind w:firstLineChars="250" w:firstLine="527"/>
        <w:jc w:val="left"/>
        <w:rPr>
          <w:rFonts w:ascii="宋体" w:eastAsia="宋体" w:hAnsi="Calibri" w:cs="宋体"/>
          <w:b/>
          <w:color w:val="000000"/>
          <w:kern w:val="0"/>
          <w:szCs w:val="21"/>
        </w:rPr>
      </w:pPr>
      <w:r w:rsidRPr="00C8127B">
        <w:rPr>
          <w:rFonts w:ascii="宋体" w:eastAsia="宋体" w:hAnsi="Calibri" w:cs="宋体" w:hint="eastAsia"/>
          <w:b/>
          <w:color w:val="000000"/>
          <w:kern w:val="0"/>
          <w:szCs w:val="21"/>
        </w:rPr>
        <w:t>注意事项：</w:t>
      </w:r>
    </w:p>
    <w:p w14:paraId="69FD68B2" w14:textId="77777777" w:rsidR="00C8127B" w:rsidRPr="00C8127B" w:rsidRDefault="00C8127B" w:rsidP="00C8127B">
      <w:pPr>
        <w:numPr>
          <w:ilvl w:val="0"/>
          <w:numId w:val="1"/>
        </w:numPr>
        <w:autoSpaceDE w:val="0"/>
        <w:autoSpaceDN w:val="0"/>
        <w:adjustRightInd w:val="0"/>
        <w:spacing w:afterLines="25" w:after="78" w:line="360" w:lineRule="auto"/>
        <w:ind w:firstLine="426"/>
        <w:jc w:val="left"/>
        <w:rPr>
          <w:rFonts w:ascii="宋体" w:eastAsia="宋体" w:hAnsi="宋体" w:cs="宋体" w:hint="eastAsia"/>
          <w:color w:val="000000"/>
          <w:kern w:val="0"/>
          <w:szCs w:val="21"/>
        </w:rPr>
      </w:pPr>
      <w:r w:rsidRPr="00C8127B">
        <w:rPr>
          <w:rFonts w:ascii="宋体" w:eastAsia="宋体" w:hAnsi="宋体" w:cs="宋体" w:hint="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39A660DC" w14:textId="77777777" w:rsidR="00C8127B" w:rsidRPr="00C8127B" w:rsidRDefault="00C8127B" w:rsidP="00C8127B">
      <w:pPr>
        <w:numPr>
          <w:ilvl w:val="0"/>
          <w:numId w:val="1"/>
        </w:numPr>
        <w:autoSpaceDE w:val="0"/>
        <w:autoSpaceDN w:val="0"/>
        <w:adjustRightInd w:val="0"/>
        <w:spacing w:afterLines="25" w:after="78" w:line="360" w:lineRule="auto"/>
        <w:ind w:firstLine="426"/>
        <w:jc w:val="left"/>
        <w:rPr>
          <w:rFonts w:ascii="宋体" w:eastAsia="宋体" w:hAnsi="宋体" w:cs="宋体" w:hint="eastAsia"/>
          <w:color w:val="000000"/>
          <w:kern w:val="0"/>
          <w:szCs w:val="21"/>
        </w:rPr>
      </w:pPr>
      <w:r w:rsidRPr="00C8127B">
        <w:rPr>
          <w:rFonts w:ascii="宋体" w:eastAsia="宋体" w:hAnsi="宋体" w:cs="宋体" w:hint="eastAsia"/>
          <w:color w:val="000000"/>
          <w:kern w:val="0"/>
          <w:szCs w:val="21"/>
        </w:rPr>
        <w:t>提供相同品牌产品且通过资格审查、符合性审查的不同投标人参加同一合同项下投标的，按一家投标人计算，评审后得分最高的同品牌投标人获得中标人推荐</w:t>
      </w:r>
      <w:proofErr w:type="gramStart"/>
      <w:r w:rsidRPr="00C8127B">
        <w:rPr>
          <w:rFonts w:ascii="宋体" w:eastAsia="宋体" w:hAnsi="宋体" w:cs="宋体" w:hint="eastAsia"/>
          <w:color w:val="000000"/>
          <w:kern w:val="0"/>
          <w:szCs w:val="21"/>
        </w:rPr>
        <w:t>资格;</w:t>
      </w:r>
      <w:proofErr w:type="gramEnd"/>
      <w:r w:rsidRPr="00C8127B">
        <w:rPr>
          <w:rFonts w:ascii="宋体" w:eastAsia="宋体" w:hAnsi="宋体" w:cs="宋体" w:hint="eastAsia"/>
          <w:color w:val="000000"/>
          <w:kern w:val="0"/>
          <w:szCs w:val="21"/>
        </w:rPr>
        <w:t>评审得分相同的，以投标报价最低的获得中标人推荐资格。</w:t>
      </w:r>
    </w:p>
    <w:p w14:paraId="3EDEBCDA" w14:textId="77777777" w:rsidR="00C8127B" w:rsidRPr="00C8127B" w:rsidRDefault="00C8127B" w:rsidP="00C8127B">
      <w:pPr>
        <w:numPr>
          <w:ilvl w:val="0"/>
          <w:numId w:val="1"/>
        </w:numPr>
        <w:autoSpaceDE w:val="0"/>
        <w:autoSpaceDN w:val="0"/>
        <w:adjustRightInd w:val="0"/>
        <w:spacing w:afterLines="25" w:after="78" w:line="360" w:lineRule="auto"/>
        <w:ind w:firstLine="426"/>
        <w:jc w:val="left"/>
        <w:rPr>
          <w:rFonts w:ascii="宋体" w:eastAsia="宋体" w:hAnsi="宋体" w:cs="宋体" w:hint="eastAsia"/>
          <w:color w:val="000000"/>
          <w:kern w:val="0"/>
          <w:szCs w:val="21"/>
        </w:rPr>
      </w:pPr>
      <w:r w:rsidRPr="00C8127B">
        <w:rPr>
          <w:rFonts w:ascii="宋体" w:eastAsia="宋体" w:hAnsi="宋体" w:cs="宋体" w:hint="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01FFC460" w14:textId="77777777" w:rsidR="00C8127B" w:rsidRPr="00C8127B" w:rsidRDefault="00C8127B" w:rsidP="00C8127B">
      <w:pPr>
        <w:numPr>
          <w:ilvl w:val="0"/>
          <w:numId w:val="1"/>
        </w:numPr>
        <w:autoSpaceDE w:val="0"/>
        <w:autoSpaceDN w:val="0"/>
        <w:adjustRightInd w:val="0"/>
        <w:spacing w:afterLines="25" w:after="78" w:line="360" w:lineRule="auto"/>
        <w:ind w:firstLine="426"/>
        <w:jc w:val="left"/>
        <w:rPr>
          <w:rFonts w:ascii="宋体" w:eastAsia="宋体" w:hAnsi="宋体" w:cs="宋体" w:hint="eastAsia"/>
          <w:color w:val="000000"/>
          <w:kern w:val="0"/>
          <w:szCs w:val="21"/>
        </w:rPr>
      </w:pPr>
      <w:r w:rsidRPr="00C8127B">
        <w:rPr>
          <w:rFonts w:ascii="宋体" w:eastAsia="宋体" w:hAnsi="宋体" w:cs="宋体" w:hint="eastAsia"/>
          <w:color w:val="000000"/>
          <w:kern w:val="0"/>
          <w:szCs w:val="21"/>
        </w:rPr>
        <w:t xml:space="preserve"> 标注 ★ 号的条款为重要技术要求，投标文件中对标注 ★ 号的条款不响应或任何的不满足（负偏离），将导致废标。</w:t>
      </w:r>
    </w:p>
    <w:p w14:paraId="4C1D4DCC" w14:textId="77777777" w:rsidR="00C8127B" w:rsidRPr="00C8127B" w:rsidRDefault="00C8127B" w:rsidP="00C8127B">
      <w:pPr>
        <w:numPr>
          <w:ilvl w:val="0"/>
          <w:numId w:val="1"/>
        </w:numPr>
        <w:autoSpaceDE w:val="0"/>
        <w:autoSpaceDN w:val="0"/>
        <w:adjustRightInd w:val="0"/>
        <w:spacing w:afterLines="25" w:after="78" w:line="360" w:lineRule="auto"/>
        <w:ind w:firstLine="426"/>
        <w:jc w:val="left"/>
        <w:rPr>
          <w:rFonts w:ascii="Calibri" w:eastAsia="宋体" w:hAnsi="Calibri" w:cs="Times New Roman"/>
        </w:rPr>
      </w:pPr>
      <w:r w:rsidRPr="00C8127B">
        <w:rPr>
          <w:rFonts w:ascii="宋体" w:eastAsia="宋体" w:hAnsi="宋体" w:cs="宋体" w:hint="eastAsia"/>
          <w:color w:val="000000"/>
          <w:kern w:val="0"/>
          <w:szCs w:val="21"/>
        </w:rPr>
        <w:t xml:space="preserve"> 以下内容若有标注“▲”的条款均为非不可偏离条款，仅作为综合评分时的重要依据。 </w:t>
      </w:r>
    </w:p>
    <w:p w14:paraId="1B3E6A6C" w14:textId="77777777" w:rsidR="00C8127B" w:rsidRPr="00C8127B" w:rsidRDefault="00C8127B" w:rsidP="00C8127B">
      <w:pPr>
        <w:spacing w:after="60" w:line="360" w:lineRule="auto"/>
        <w:ind w:left="420"/>
        <w:rPr>
          <w:rFonts w:ascii="宋体" w:eastAsia="宋体" w:hAnsi="宋体" w:cs="Times New Roman" w:hint="eastAsia"/>
          <w:b/>
          <w:bCs/>
          <w:color w:val="000000"/>
          <w:sz w:val="24"/>
          <w:szCs w:val="32"/>
        </w:rPr>
      </w:pPr>
    </w:p>
    <w:p w14:paraId="44857D83" w14:textId="77777777" w:rsidR="00C8127B" w:rsidRPr="00C8127B" w:rsidRDefault="00C8127B" w:rsidP="00C8127B">
      <w:pPr>
        <w:spacing w:line="360" w:lineRule="auto"/>
        <w:rPr>
          <w:rFonts w:ascii="宋体" w:eastAsia="宋体" w:hAnsi="Calibri" w:cs="宋体"/>
          <w:b/>
          <w:bCs/>
          <w:color w:val="000000"/>
          <w:kern w:val="0"/>
          <w:szCs w:val="21"/>
        </w:rPr>
      </w:pPr>
      <w:r w:rsidRPr="00C8127B">
        <w:rPr>
          <w:rFonts w:ascii="宋体" w:eastAsia="宋体" w:hAnsi="Calibri" w:cs="宋体" w:hint="eastAsia"/>
          <w:b/>
          <w:bCs/>
          <w:color w:val="000000"/>
          <w:kern w:val="0"/>
          <w:szCs w:val="21"/>
        </w:rPr>
        <w:t>（二）设备清单及参数要求：</w:t>
      </w:r>
    </w:p>
    <w:tbl>
      <w:tblPr>
        <w:tblpPr w:leftFromText="180" w:rightFromText="180" w:vertAnchor="text" w:horzAnchor="margin" w:tblpY="628"/>
        <w:tblOverlap w:val="never"/>
        <w:tblW w:w="96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32"/>
        <w:gridCol w:w="1141"/>
        <w:gridCol w:w="7840"/>
      </w:tblGrid>
      <w:tr w:rsidR="00C8127B" w:rsidRPr="00C8127B" w14:paraId="5077386C" w14:textId="77777777" w:rsidTr="00815534">
        <w:trPr>
          <w:trHeight w:val="539"/>
        </w:trPr>
        <w:tc>
          <w:tcPr>
            <w:tcW w:w="632" w:type="dxa"/>
            <w:vAlign w:val="center"/>
          </w:tcPr>
          <w:p w14:paraId="502CE0FB" w14:textId="77777777" w:rsidR="00C8127B" w:rsidRPr="00C8127B" w:rsidRDefault="00C8127B" w:rsidP="00C8127B">
            <w:pPr>
              <w:spacing w:after="160" w:line="360" w:lineRule="auto"/>
              <w:jc w:val="left"/>
              <w:rPr>
                <w:rFonts w:ascii="宋体" w:eastAsia="宋体" w:hAnsi="宋体" w:cs="华文仿宋" w:hint="eastAsia"/>
                <w:bCs/>
                <w:szCs w:val="21"/>
              </w:rPr>
            </w:pPr>
            <w:r w:rsidRPr="00C8127B">
              <w:rPr>
                <w:rFonts w:ascii="宋体" w:eastAsia="宋体" w:hAnsi="宋体" w:cs="华文仿宋" w:hint="eastAsia"/>
                <w:bCs/>
                <w:szCs w:val="21"/>
              </w:rPr>
              <w:t>序号</w:t>
            </w:r>
          </w:p>
        </w:tc>
        <w:tc>
          <w:tcPr>
            <w:tcW w:w="1141" w:type="dxa"/>
            <w:vAlign w:val="center"/>
          </w:tcPr>
          <w:p w14:paraId="64BFE794" w14:textId="77777777" w:rsidR="00C8127B" w:rsidRPr="00C8127B" w:rsidRDefault="00C8127B" w:rsidP="00C8127B">
            <w:pPr>
              <w:spacing w:after="160" w:line="360" w:lineRule="auto"/>
              <w:jc w:val="left"/>
              <w:rPr>
                <w:rFonts w:ascii="宋体" w:eastAsia="宋体" w:hAnsi="宋体" w:cs="华文仿宋" w:hint="eastAsia"/>
                <w:bCs/>
                <w:szCs w:val="21"/>
              </w:rPr>
            </w:pPr>
            <w:r w:rsidRPr="00C8127B">
              <w:rPr>
                <w:rFonts w:ascii="宋体" w:eastAsia="宋体" w:hAnsi="宋体" w:cs="华文仿宋" w:hint="eastAsia"/>
                <w:bCs/>
                <w:szCs w:val="21"/>
              </w:rPr>
              <w:t>产品名称</w:t>
            </w:r>
          </w:p>
        </w:tc>
        <w:tc>
          <w:tcPr>
            <w:tcW w:w="7840" w:type="dxa"/>
            <w:vAlign w:val="center"/>
          </w:tcPr>
          <w:p w14:paraId="31241646" w14:textId="77777777" w:rsidR="00C8127B" w:rsidRPr="00C8127B" w:rsidRDefault="00C8127B" w:rsidP="00C8127B">
            <w:pPr>
              <w:spacing w:after="160" w:line="360" w:lineRule="auto"/>
              <w:ind w:firstLineChars="900" w:firstLine="1890"/>
              <w:jc w:val="left"/>
              <w:rPr>
                <w:rFonts w:ascii="宋体" w:eastAsia="宋体" w:hAnsi="宋体" w:cs="华文仿宋" w:hint="eastAsia"/>
                <w:bCs/>
                <w:szCs w:val="21"/>
              </w:rPr>
            </w:pPr>
            <w:r w:rsidRPr="00C8127B">
              <w:rPr>
                <w:rFonts w:ascii="宋体" w:eastAsia="宋体" w:hAnsi="宋体" w:cs="华文仿宋" w:hint="eastAsia"/>
                <w:bCs/>
                <w:szCs w:val="21"/>
              </w:rPr>
              <w:t>技术参数及功能要求</w:t>
            </w:r>
          </w:p>
        </w:tc>
      </w:tr>
      <w:tr w:rsidR="00C8127B" w:rsidRPr="00C8127B" w14:paraId="3791222C" w14:textId="77777777" w:rsidTr="00815534">
        <w:trPr>
          <w:trHeight w:val="550"/>
        </w:trPr>
        <w:tc>
          <w:tcPr>
            <w:tcW w:w="632" w:type="dxa"/>
            <w:tcBorders>
              <w:bottom w:val="single" w:sz="4" w:space="0" w:color="auto"/>
            </w:tcBorders>
            <w:vAlign w:val="center"/>
          </w:tcPr>
          <w:p w14:paraId="08BC5B88" w14:textId="77777777" w:rsidR="00C8127B" w:rsidRPr="00C8127B" w:rsidRDefault="00C8127B" w:rsidP="00C8127B">
            <w:pPr>
              <w:spacing w:after="160" w:line="360" w:lineRule="auto"/>
              <w:jc w:val="left"/>
              <w:rPr>
                <w:rFonts w:ascii="宋体" w:eastAsia="宋体" w:hAnsi="宋体" w:cs="华文仿宋" w:hint="eastAsia"/>
                <w:bCs/>
                <w:szCs w:val="21"/>
              </w:rPr>
            </w:pPr>
            <w:r w:rsidRPr="00C8127B">
              <w:rPr>
                <w:rFonts w:ascii="宋体" w:eastAsia="宋体" w:hAnsi="宋体" w:cs="华文仿宋" w:hint="eastAsia"/>
                <w:bCs/>
                <w:szCs w:val="21"/>
              </w:rPr>
              <w:lastRenderedPageBreak/>
              <w:t>1</w:t>
            </w:r>
          </w:p>
        </w:tc>
        <w:tc>
          <w:tcPr>
            <w:tcW w:w="1141" w:type="dxa"/>
            <w:tcBorders>
              <w:bottom w:val="single" w:sz="4" w:space="0" w:color="auto"/>
            </w:tcBorders>
            <w:vAlign w:val="center"/>
          </w:tcPr>
          <w:p w14:paraId="3D103125" w14:textId="77777777" w:rsidR="00C8127B" w:rsidRPr="00C8127B" w:rsidRDefault="00C8127B" w:rsidP="00C8127B">
            <w:pPr>
              <w:spacing w:after="160" w:line="360" w:lineRule="auto"/>
              <w:jc w:val="left"/>
              <w:rPr>
                <w:rFonts w:ascii="宋体" w:eastAsia="宋体" w:hAnsi="宋体" w:cs="华文仿宋" w:hint="eastAsia"/>
                <w:bCs/>
                <w:szCs w:val="21"/>
              </w:rPr>
            </w:pPr>
            <w:r w:rsidRPr="00C8127B">
              <w:rPr>
                <w:rFonts w:ascii="宋体" w:eastAsia="宋体" w:hAnsi="宋体" w:cs="华文仿宋" w:hint="eastAsia"/>
                <w:bCs/>
                <w:szCs w:val="21"/>
              </w:rPr>
              <w:t>微型灭火装置（电箱速效灭火器）</w:t>
            </w:r>
          </w:p>
        </w:tc>
        <w:tc>
          <w:tcPr>
            <w:tcW w:w="7840" w:type="dxa"/>
            <w:tcBorders>
              <w:bottom w:val="single" w:sz="4" w:space="0" w:color="auto"/>
            </w:tcBorders>
            <w:vAlign w:val="center"/>
          </w:tcPr>
          <w:p w14:paraId="313A2FE2" w14:textId="77777777" w:rsidR="00C8127B" w:rsidRPr="00C8127B" w:rsidRDefault="00C8127B" w:rsidP="00C8127B">
            <w:pPr>
              <w:spacing w:after="160" w:line="360" w:lineRule="auto"/>
              <w:jc w:val="left"/>
              <w:rPr>
                <w:rFonts w:ascii="宋体" w:eastAsia="宋体" w:hAnsi="宋体" w:cs="宋体" w:hint="eastAsia"/>
                <w:szCs w:val="21"/>
              </w:rPr>
            </w:pPr>
            <w:r w:rsidRPr="00C8127B">
              <w:rPr>
                <w:rFonts w:ascii="宋体" w:eastAsia="宋体" w:hAnsi="宋体" w:cs="宋体" w:hint="eastAsia"/>
                <w:bCs/>
                <w:szCs w:val="21"/>
              </w:rPr>
              <w:t>（1）微型灭火装置</w:t>
            </w:r>
            <w:r w:rsidRPr="00C8127B">
              <w:rPr>
                <w:rFonts w:ascii="宋体" w:eastAsia="宋体" w:hAnsi="宋体" w:cs="宋体" w:hint="eastAsia"/>
                <w:szCs w:val="21"/>
              </w:rPr>
              <w:t>响应时间：≤15s</w:t>
            </w:r>
          </w:p>
          <w:p w14:paraId="204BC9F8" w14:textId="77777777" w:rsidR="00C8127B" w:rsidRPr="00C8127B" w:rsidRDefault="00C8127B" w:rsidP="00C8127B">
            <w:pPr>
              <w:spacing w:after="160" w:line="360" w:lineRule="auto"/>
              <w:jc w:val="left"/>
              <w:rPr>
                <w:rFonts w:ascii="宋体" w:eastAsia="宋体" w:hAnsi="宋体" w:cs="宋体" w:hint="eastAsia"/>
                <w:szCs w:val="21"/>
              </w:rPr>
            </w:pPr>
            <w:r w:rsidRPr="00C8127B">
              <w:rPr>
                <w:rFonts w:ascii="宋体" w:eastAsia="宋体" w:hAnsi="宋体" w:cs="宋体" w:hint="eastAsia"/>
                <w:bCs/>
                <w:szCs w:val="21"/>
              </w:rPr>
              <w:t>▲</w:t>
            </w:r>
            <w:r w:rsidRPr="00C8127B">
              <w:rPr>
                <w:rFonts w:ascii="宋体" w:eastAsia="宋体" w:hAnsi="宋体" w:cs="宋体" w:hint="eastAsia"/>
                <w:szCs w:val="21"/>
              </w:rPr>
              <w:t>（2）</w:t>
            </w:r>
            <w:r w:rsidRPr="00C8127B">
              <w:rPr>
                <w:rFonts w:ascii="宋体" w:eastAsia="宋体" w:hAnsi="宋体" w:cs="宋体" w:hint="eastAsia"/>
                <w:bCs/>
                <w:szCs w:val="21"/>
              </w:rPr>
              <w:t>微型灭火装置具有</w:t>
            </w:r>
            <w:r w:rsidRPr="00C8127B">
              <w:rPr>
                <w:rFonts w:ascii="宋体" w:eastAsia="宋体" w:hAnsi="宋体" w:cs="宋体" w:hint="eastAsia"/>
                <w:szCs w:val="21"/>
              </w:rPr>
              <w:t>绝缘性能</w:t>
            </w:r>
            <w:proofErr w:type="gramStart"/>
            <w:r w:rsidRPr="00C8127B">
              <w:rPr>
                <w:rFonts w:ascii="宋体" w:eastAsia="宋体" w:hAnsi="宋体" w:cs="宋体" w:hint="eastAsia"/>
                <w:szCs w:val="21"/>
              </w:rPr>
              <w:t xml:space="preserve"> ；</w:t>
            </w:r>
            <w:proofErr w:type="gramEnd"/>
          </w:p>
          <w:p w14:paraId="168FF2E8" w14:textId="77777777" w:rsidR="00C8127B" w:rsidRPr="00C8127B" w:rsidRDefault="00C8127B" w:rsidP="00C8127B">
            <w:pPr>
              <w:spacing w:after="160" w:line="360" w:lineRule="auto"/>
              <w:jc w:val="left"/>
              <w:rPr>
                <w:rFonts w:ascii="宋体" w:eastAsia="宋体" w:hAnsi="宋体" w:cs="宋体" w:hint="eastAsia"/>
                <w:szCs w:val="21"/>
              </w:rPr>
            </w:pPr>
            <w:r w:rsidRPr="00C8127B">
              <w:rPr>
                <w:rFonts w:ascii="宋体" w:eastAsia="宋体" w:hAnsi="宋体" w:cs="宋体" w:hint="eastAsia"/>
                <w:bCs/>
                <w:szCs w:val="21"/>
              </w:rPr>
              <w:t>▲</w:t>
            </w:r>
            <w:r w:rsidRPr="00C8127B">
              <w:rPr>
                <w:rFonts w:ascii="宋体" w:eastAsia="宋体" w:hAnsi="宋体" w:cs="宋体" w:hint="eastAsia"/>
                <w:szCs w:val="21"/>
              </w:rPr>
              <w:t>（3）</w:t>
            </w:r>
            <w:r w:rsidRPr="00C8127B">
              <w:rPr>
                <w:rFonts w:ascii="宋体" w:eastAsia="宋体" w:hAnsi="宋体" w:cs="宋体" w:hint="eastAsia"/>
                <w:bCs/>
                <w:szCs w:val="21"/>
              </w:rPr>
              <w:t>微型灭火装置灭火</w:t>
            </w:r>
            <w:r w:rsidRPr="00C8127B">
              <w:rPr>
                <w:rFonts w:ascii="宋体" w:eastAsia="宋体" w:hAnsi="宋体" w:cs="宋体" w:hint="eastAsia"/>
                <w:szCs w:val="21"/>
              </w:rPr>
              <w:t>气体成分检测报告；</w:t>
            </w:r>
          </w:p>
          <w:p w14:paraId="2B667085" w14:textId="77777777" w:rsidR="00C8127B" w:rsidRPr="00C8127B" w:rsidRDefault="00C8127B" w:rsidP="00C8127B">
            <w:pPr>
              <w:spacing w:after="160" w:line="360" w:lineRule="auto"/>
              <w:jc w:val="left"/>
              <w:rPr>
                <w:rFonts w:ascii="宋体" w:eastAsia="宋体" w:hAnsi="宋体" w:cs="宋体" w:hint="eastAsia"/>
                <w:szCs w:val="21"/>
              </w:rPr>
            </w:pPr>
            <w:r w:rsidRPr="00C8127B">
              <w:rPr>
                <w:rFonts w:ascii="宋体" w:eastAsia="宋体" w:hAnsi="宋体" w:cs="宋体" w:hint="eastAsia"/>
                <w:bCs/>
                <w:szCs w:val="21"/>
              </w:rPr>
              <w:t>▲</w:t>
            </w:r>
            <w:r w:rsidRPr="00C8127B">
              <w:rPr>
                <w:rFonts w:ascii="宋体" w:eastAsia="宋体" w:hAnsi="宋体" w:cs="宋体" w:hint="eastAsia"/>
                <w:szCs w:val="21"/>
              </w:rPr>
              <w:t>（4）</w:t>
            </w:r>
            <w:r w:rsidRPr="00C8127B">
              <w:rPr>
                <w:rFonts w:ascii="宋体" w:eastAsia="宋体" w:hAnsi="宋体" w:cs="宋体" w:hint="eastAsia"/>
                <w:bCs/>
                <w:szCs w:val="21"/>
              </w:rPr>
              <w:t>微型灭火装置</w:t>
            </w:r>
            <w:r w:rsidRPr="00C8127B">
              <w:rPr>
                <w:rFonts w:ascii="宋体" w:eastAsia="宋体" w:hAnsi="宋体" w:cs="宋体" w:hint="eastAsia"/>
                <w:szCs w:val="21"/>
              </w:rPr>
              <w:t>性能测试认证；</w:t>
            </w:r>
          </w:p>
          <w:p w14:paraId="13F767AD" w14:textId="77777777" w:rsidR="00C8127B" w:rsidRPr="00C8127B" w:rsidRDefault="00C8127B" w:rsidP="00C8127B">
            <w:pPr>
              <w:spacing w:after="120" w:line="360" w:lineRule="auto"/>
              <w:rPr>
                <w:rFonts w:ascii="宋体" w:eastAsia="宋体" w:hAnsi="宋体" w:cs="宋体" w:hint="eastAsia"/>
                <w:bCs/>
                <w:kern w:val="0"/>
                <w:szCs w:val="21"/>
              </w:rPr>
            </w:pPr>
            <w:r w:rsidRPr="00C8127B">
              <w:rPr>
                <w:rFonts w:ascii="宋体" w:eastAsia="宋体" w:hAnsi="宋体" w:cs="宋体" w:hint="eastAsia"/>
                <w:bCs/>
                <w:kern w:val="0"/>
                <w:szCs w:val="21"/>
              </w:rPr>
              <w:t>▲</w:t>
            </w:r>
            <w:r w:rsidRPr="00C8127B">
              <w:rPr>
                <w:rFonts w:ascii="宋体" w:eastAsia="宋体" w:hAnsi="宋体" w:cs="宋体" w:hint="eastAsia"/>
                <w:kern w:val="0"/>
                <w:szCs w:val="21"/>
              </w:rPr>
              <w:t>（5）微型灭火装置适应工作环境温度：最低﹣30~﹢70℃（最高）；正负2℃偏差；</w:t>
            </w:r>
          </w:p>
          <w:p w14:paraId="155104A8" w14:textId="77777777" w:rsidR="00C8127B" w:rsidRPr="00C8127B" w:rsidRDefault="00C8127B" w:rsidP="00C8127B">
            <w:pPr>
              <w:spacing w:after="160" w:line="278" w:lineRule="auto"/>
              <w:rPr>
                <w:rFonts w:ascii="宋体" w:eastAsia="宋体" w:hAnsi="宋体" w:cs="宋体" w:hint="eastAsia"/>
                <w:szCs w:val="21"/>
              </w:rPr>
            </w:pPr>
            <w:r w:rsidRPr="00C8127B">
              <w:rPr>
                <w:rFonts w:ascii="宋体" w:eastAsia="宋体" w:hAnsi="宋体" w:cs="宋体" w:hint="eastAsia"/>
                <w:bCs/>
                <w:szCs w:val="21"/>
              </w:rPr>
              <w:t>▲（6）微型灭火装置释放气体成分无毒无害检测；</w:t>
            </w:r>
          </w:p>
          <w:p w14:paraId="602C6C55" w14:textId="77777777" w:rsidR="00C8127B" w:rsidRPr="00C8127B" w:rsidRDefault="00C8127B" w:rsidP="00C8127B">
            <w:pPr>
              <w:spacing w:after="120" w:line="278" w:lineRule="auto"/>
              <w:rPr>
                <w:rFonts w:ascii="宋体" w:eastAsia="宋体" w:hAnsi="宋体" w:cs="宋体" w:hint="eastAsia"/>
                <w:kern w:val="0"/>
                <w:szCs w:val="21"/>
              </w:rPr>
            </w:pPr>
            <w:r w:rsidRPr="00C8127B">
              <w:rPr>
                <w:rFonts w:ascii="宋体" w:eastAsia="宋体" w:hAnsi="宋体" w:cs="宋体" w:hint="eastAsia"/>
                <w:bCs/>
                <w:kern w:val="0"/>
                <w:szCs w:val="21"/>
              </w:rPr>
              <w:t>▲（7）</w:t>
            </w:r>
            <w:r w:rsidRPr="00C8127B">
              <w:rPr>
                <w:rFonts w:ascii="宋体" w:eastAsia="宋体" w:hAnsi="宋体" w:cs="宋体" w:hint="eastAsia"/>
                <w:kern w:val="0"/>
                <w:szCs w:val="21"/>
              </w:rPr>
              <w:t>微型灭火装置不对电气设备造成二次污染及无腐蚀性；</w:t>
            </w:r>
          </w:p>
          <w:p w14:paraId="2344E7C6" w14:textId="77777777" w:rsidR="00C8127B" w:rsidRPr="00C8127B" w:rsidRDefault="00C8127B" w:rsidP="00C8127B">
            <w:pPr>
              <w:spacing w:after="160" w:line="278" w:lineRule="auto"/>
              <w:rPr>
                <w:rFonts w:ascii="宋体" w:eastAsia="宋体" w:hAnsi="宋体" w:cs="宋体" w:hint="eastAsia"/>
                <w:bCs/>
                <w:szCs w:val="21"/>
              </w:rPr>
            </w:pPr>
            <w:r w:rsidRPr="00C8127B">
              <w:rPr>
                <w:rFonts w:ascii="宋体" w:eastAsia="宋体" w:hAnsi="宋体" w:cs="宋体" w:hint="eastAsia"/>
                <w:szCs w:val="21"/>
              </w:rPr>
              <w:t>（8）微型灭火装置在湿度90%-95%的环境时仍能保持稳定工作；</w:t>
            </w:r>
          </w:p>
          <w:p w14:paraId="257C6A2D" w14:textId="77777777" w:rsidR="00C8127B" w:rsidRPr="00C8127B" w:rsidRDefault="00C8127B" w:rsidP="00C8127B">
            <w:pPr>
              <w:spacing w:after="120" w:line="278" w:lineRule="auto"/>
              <w:rPr>
                <w:rFonts w:ascii="宋体" w:eastAsia="宋体" w:hAnsi="宋体" w:cs="宋体" w:hint="eastAsia"/>
                <w:kern w:val="0"/>
                <w:szCs w:val="21"/>
              </w:rPr>
            </w:pPr>
            <w:r w:rsidRPr="00C8127B">
              <w:rPr>
                <w:rFonts w:ascii="宋体" w:eastAsia="宋体" w:hAnsi="宋体" w:cs="宋体" w:hint="eastAsia"/>
                <w:kern w:val="0"/>
                <w:szCs w:val="21"/>
              </w:rPr>
              <w:t>（9）微型灭火装置启动方式：环境温度≥170℃时自动启动</w:t>
            </w:r>
          </w:p>
          <w:p w14:paraId="3102129F" w14:textId="77777777" w:rsidR="00C8127B" w:rsidRPr="00C8127B" w:rsidRDefault="00C8127B" w:rsidP="00C8127B">
            <w:pPr>
              <w:spacing w:after="120" w:line="360" w:lineRule="auto"/>
              <w:rPr>
                <w:rFonts w:ascii="宋体" w:eastAsia="宋体" w:hAnsi="宋体" w:cs="华文仿宋" w:hint="eastAsia"/>
                <w:bCs/>
                <w:kern w:val="0"/>
                <w:szCs w:val="21"/>
              </w:rPr>
            </w:pPr>
            <w:r w:rsidRPr="00C8127B">
              <w:rPr>
                <w:rFonts w:ascii="宋体" w:eastAsia="宋体" w:hAnsi="宋体" w:cs="宋体" w:hint="eastAsia"/>
                <w:szCs w:val="21"/>
              </w:rPr>
              <w:t>注：以上带“</w:t>
            </w:r>
            <w:r w:rsidRPr="00C8127B">
              <w:rPr>
                <w:rFonts w:ascii="宋体" w:eastAsia="宋体" w:hAnsi="宋体" w:cs="宋体" w:hint="eastAsia"/>
                <w:bCs/>
                <w:kern w:val="0"/>
                <w:szCs w:val="21"/>
              </w:rPr>
              <w:t>▲</w:t>
            </w:r>
            <w:r w:rsidRPr="00C8127B">
              <w:rPr>
                <w:rFonts w:ascii="宋体" w:eastAsia="宋体" w:hAnsi="宋体" w:cs="宋体" w:hint="eastAsia"/>
                <w:szCs w:val="21"/>
              </w:rPr>
              <w:t>”参数需提供国家认可的第三方检测机构的检测报告，相应的参数需在检测报告中标注，不带“</w:t>
            </w:r>
            <w:r w:rsidRPr="00C8127B">
              <w:rPr>
                <w:rFonts w:ascii="宋体" w:eastAsia="宋体" w:hAnsi="宋体" w:cs="宋体" w:hint="eastAsia"/>
                <w:bCs/>
                <w:kern w:val="0"/>
                <w:szCs w:val="21"/>
              </w:rPr>
              <w:t>▲</w:t>
            </w:r>
            <w:r w:rsidRPr="00C8127B">
              <w:rPr>
                <w:rFonts w:ascii="宋体" w:eastAsia="宋体" w:hAnsi="宋体" w:cs="宋体" w:hint="eastAsia"/>
                <w:szCs w:val="21"/>
              </w:rPr>
              <w:t>”的参数可在检测报告或产品彩页中标注。</w:t>
            </w:r>
          </w:p>
        </w:tc>
      </w:tr>
    </w:tbl>
    <w:p w14:paraId="6E3D4931" w14:textId="77777777" w:rsidR="00C23187" w:rsidRPr="00C8127B" w:rsidRDefault="00C23187">
      <w:pPr>
        <w:spacing w:after="78"/>
        <w:rPr>
          <w:rFonts w:hint="eastAsia"/>
        </w:rPr>
      </w:pPr>
    </w:p>
    <w:sectPr w:rsidR="00C23187" w:rsidRPr="00C81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4CEDE" w14:textId="77777777" w:rsidR="00AF4C4D" w:rsidRDefault="00AF4C4D" w:rsidP="00C8127B">
      <w:pPr>
        <w:rPr>
          <w:rFonts w:hint="eastAsia"/>
        </w:rPr>
      </w:pPr>
      <w:r>
        <w:separator/>
      </w:r>
    </w:p>
  </w:endnote>
  <w:endnote w:type="continuationSeparator" w:id="0">
    <w:p w14:paraId="372AB1A8" w14:textId="77777777" w:rsidR="00AF4C4D" w:rsidRDefault="00AF4C4D" w:rsidP="00C812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C576" w14:textId="77777777" w:rsidR="00AF4C4D" w:rsidRDefault="00AF4C4D" w:rsidP="00C8127B">
      <w:pPr>
        <w:rPr>
          <w:rFonts w:hint="eastAsia"/>
        </w:rPr>
      </w:pPr>
      <w:r>
        <w:separator/>
      </w:r>
    </w:p>
  </w:footnote>
  <w:footnote w:type="continuationSeparator" w:id="0">
    <w:p w14:paraId="73236501" w14:textId="77777777" w:rsidR="00AF4C4D" w:rsidRDefault="00AF4C4D" w:rsidP="00C8127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00898"/>
    <w:multiLevelType w:val="hybridMultilevel"/>
    <w:tmpl w:val="1354FEC2"/>
    <w:lvl w:ilvl="0" w:tplc="3EA466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7249FA"/>
    <w:multiLevelType w:val="hybridMultilevel"/>
    <w:tmpl w:val="5FC09D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955973">
    <w:abstractNumId w:val="1"/>
  </w:num>
  <w:num w:numId="2" w16cid:durableId="49414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D7"/>
    <w:rsid w:val="000B7BA1"/>
    <w:rsid w:val="002D37D7"/>
    <w:rsid w:val="00610BC6"/>
    <w:rsid w:val="00AF4C4D"/>
    <w:rsid w:val="00C23187"/>
    <w:rsid w:val="00C8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DFAC13-1FCF-4540-BEB0-BCC8D0BC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37D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D37D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D37D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D37D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D37D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D37D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D37D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7D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D37D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7D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D37D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D37D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D37D7"/>
    <w:rPr>
      <w:rFonts w:cstheme="majorBidi"/>
      <w:color w:val="0F4761" w:themeColor="accent1" w:themeShade="BF"/>
      <w:sz w:val="28"/>
      <w:szCs w:val="28"/>
    </w:rPr>
  </w:style>
  <w:style w:type="character" w:customStyle="1" w:styleId="50">
    <w:name w:val="标题 5 字符"/>
    <w:basedOn w:val="a0"/>
    <w:link w:val="5"/>
    <w:uiPriority w:val="9"/>
    <w:semiHidden/>
    <w:rsid w:val="002D37D7"/>
    <w:rPr>
      <w:rFonts w:cstheme="majorBidi"/>
      <w:color w:val="0F4761" w:themeColor="accent1" w:themeShade="BF"/>
      <w:sz w:val="24"/>
      <w:szCs w:val="24"/>
    </w:rPr>
  </w:style>
  <w:style w:type="character" w:customStyle="1" w:styleId="60">
    <w:name w:val="标题 6 字符"/>
    <w:basedOn w:val="a0"/>
    <w:link w:val="6"/>
    <w:uiPriority w:val="9"/>
    <w:semiHidden/>
    <w:rsid w:val="002D37D7"/>
    <w:rPr>
      <w:rFonts w:cstheme="majorBidi"/>
      <w:b/>
      <w:bCs/>
      <w:color w:val="0F4761" w:themeColor="accent1" w:themeShade="BF"/>
    </w:rPr>
  </w:style>
  <w:style w:type="character" w:customStyle="1" w:styleId="70">
    <w:name w:val="标题 7 字符"/>
    <w:basedOn w:val="a0"/>
    <w:link w:val="7"/>
    <w:uiPriority w:val="9"/>
    <w:semiHidden/>
    <w:rsid w:val="002D37D7"/>
    <w:rPr>
      <w:rFonts w:cstheme="majorBidi"/>
      <w:b/>
      <w:bCs/>
      <w:color w:val="595959" w:themeColor="text1" w:themeTint="A6"/>
    </w:rPr>
  </w:style>
  <w:style w:type="character" w:customStyle="1" w:styleId="80">
    <w:name w:val="标题 8 字符"/>
    <w:basedOn w:val="a0"/>
    <w:link w:val="8"/>
    <w:uiPriority w:val="9"/>
    <w:semiHidden/>
    <w:rsid w:val="002D37D7"/>
    <w:rPr>
      <w:rFonts w:cstheme="majorBidi"/>
      <w:color w:val="595959" w:themeColor="text1" w:themeTint="A6"/>
    </w:rPr>
  </w:style>
  <w:style w:type="character" w:customStyle="1" w:styleId="90">
    <w:name w:val="标题 9 字符"/>
    <w:basedOn w:val="a0"/>
    <w:link w:val="9"/>
    <w:uiPriority w:val="9"/>
    <w:semiHidden/>
    <w:rsid w:val="002D37D7"/>
    <w:rPr>
      <w:rFonts w:eastAsiaTheme="majorEastAsia" w:cstheme="majorBidi"/>
      <w:color w:val="595959" w:themeColor="text1" w:themeTint="A6"/>
    </w:rPr>
  </w:style>
  <w:style w:type="paragraph" w:styleId="a3">
    <w:name w:val="Title"/>
    <w:basedOn w:val="a"/>
    <w:next w:val="a"/>
    <w:link w:val="a4"/>
    <w:uiPriority w:val="10"/>
    <w:qFormat/>
    <w:rsid w:val="002D37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7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7D7"/>
    <w:pPr>
      <w:spacing w:before="160" w:after="160"/>
      <w:jc w:val="center"/>
    </w:pPr>
    <w:rPr>
      <w:i/>
      <w:iCs/>
      <w:color w:val="404040" w:themeColor="text1" w:themeTint="BF"/>
    </w:rPr>
  </w:style>
  <w:style w:type="character" w:customStyle="1" w:styleId="a8">
    <w:name w:val="引用 字符"/>
    <w:basedOn w:val="a0"/>
    <w:link w:val="a7"/>
    <w:uiPriority w:val="29"/>
    <w:rsid w:val="002D37D7"/>
    <w:rPr>
      <w:i/>
      <w:iCs/>
      <w:color w:val="404040" w:themeColor="text1" w:themeTint="BF"/>
    </w:rPr>
  </w:style>
  <w:style w:type="paragraph" w:styleId="a9">
    <w:name w:val="List Paragraph"/>
    <w:basedOn w:val="a"/>
    <w:uiPriority w:val="34"/>
    <w:qFormat/>
    <w:rsid w:val="002D37D7"/>
    <w:pPr>
      <w:ind w:left="720"/>
      <w:contextualSpacing/>
    </w:pPr>
  </w:style>
  <w:style w:type="character" w:styleId="aa">
    <w:name w:val="Intense Emphasis"/>
    <w:basedOn w:val="a0"/>
    <w:uiPriority w:val="21"/>
    <w:qFormat/>
    <w:rsid w:val="002D37D7"/>
    <w:rPr>
      <w:i/>
      <w:iCs/>
      <w:color w:val="0F4761" w:themeColor="accent1" w:themeShade="BF"/>
    </w:rPr>
  </w:style>
  <w:style w:type="paragraph" w:styleId="ab">
    <w:name w:val="Intense Quote"/>
    <w:basedOn w:val="a"/>
    <w:next w:val="a"/>
    <w:link w:val="ac"/>
    <w:uiPriority w:val="30"/>
    <w:qFormat/>
    <w:rsid w:val="002D3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D37D7"/>
    <w:rPr>
      <w:i/>
      <w:iCs/>
      <w:color w:val="0F4761" w:themeColor="accent1" w:themeShade="BF"/>
    </w:rPr>
  </w:style>
  <w:style w:type="character" w:styleId="ad">
    <w:name w:val="Intense Reference"/>
    <w:basedOn w:val="a0"/>
    <w:uiPriority w:val="32"/>
    <w:qFormat/>
    <w:rsid w:val="002D37D7"/>
    <w:rPr>
      <w:b/>
      <w:bCs/>
      <w:smallCaps/>
      <w:color w:val="0F4761" w:themeColor="accent1" w:themeShade="BF"/>
      <w:spacing w:val="5"/>
    </w:rPr>
  </w:style>
  <w:style w:type="paragraph" w:styleId="ae">
    <w:name w:val="header"/>
    <w:basedOn w:val="a"/>
    <w:link w:val="af"/>
    <w:uiPriority w:val="99"/>
    <w:unhideWhenUsed/>
    <w:rsid w:val="00C8127B"/>
    <w:pPr>
      <w:tabs>
        <w:tab w:val="center" w:pos="4153"/>
        <w:tab w:val="right" w:pos="8306"/>
      </w:tabs>
      <w:snapToGrid w:val="0"/>
      <w:jc w:val="center"/>
    </w:pPr>
    <w:rPr>
      <w:sz w:val="18"/>
      <w:szCs w:val="18"/>
    </w:rPr>
  </w:style>
  <w:style w:type="character" w:customStyle="1" w:styleId="af">
    <w:name w:val="页眉 字符"/>
    <w:basedOn w:val="a0"/>
    <w:link w:val="ae"/>
    <w:uiPriority w:val="99"/>
    <w:rsid w:val="00C8127B"/>
    <w:rPr>
      <w:sz w:val="18"/>
      <w:szCs w:val="18"/>
    </w:rPr>
  </w:style>
  <w:style w:type="paragraph" w:styleId="af0">
    <w:name w:val="footer"/>
    <w:basedOn w:val="a"/>
    <w:link w:val="af1"/>
    <w:uiPriority w:val="99"/>
    <w:unhideWhenUsed/>
    <w:rsid w:val="00C8127B"/>
    <w:pPr>
      <w:tabs>
        <w:tab w:val="center" w:pos="4153"/>
        <w:tab w:val="right" w:pos="8306"/>
      </w:tabs>
      <w:snapToGrid w:val="0"/>
      <w:jc w:val="left"/>
    </w:pPr>
    <w:rPr>
      <w:sz w:val="18"/>
      <w:szCs w:val="18"/>
    </w:rPr>
  </w:style>
  <w:style w:type="character" w:customStyle="1" w:styleId="af1">
    <w:name w:val="页脚 字符"/>
    <w:basedOn w:val="a0"/>
    <w:link w:val="af0"/>
    <w:uiPriority w:val="99"/>
    <w:rsid w:val="00C812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建忠 郑</dc:creator>
  <cp:keywords/>
  <dc:description/>
  <cp:lastModifiedBy>建忠 郑</cp:lastModifiedBy>
  <cp:revision>2</cp:revision>
  <dcterms:created xsi:type="dcterms:W3CDTF">2025-09-02T07:01:00Z</dcterms:created>
  <dcterms:modified xsi:type="dcterms:W3CDTF">2025-09-02T07:01:00Z</dcterms:modified>
</cp:coreProperties>
</file>