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7E1C" w14:textId="77777777" w:rsidR="00FB2E7F" w:rsidRPr="00FB2E7F" w:rsidRDefault="00FB2E7F" w:rsidP="00FB2E7F">
      <w:pPr>
        <w:spacing w:beforeLines="50" w:before="156" w:afterLines="50" w:after="156" w:line="300" w:lineRule="auto"/>
        <w:jc w:val="center"/>
        <w:outlineLvl w:val="0"/>
        <w:rPr>
          <w:rFonts w:ascii="Arial" w:eastAsia="宋体" w:hAnsi="Arial" w:cs="Times New Roman"/>
          <w:kern w:val="44"/>
          <w:sz w:val="44"/>
          <w:szCs w:val="44"/>
        </w:rPr>
      </w:pPr>
      <w:bookmarkStart w:id="0" w:name="_Toc206169925"/>
      <w:proofErr w:type="gramStart"/>
      <w:r w:rsidRPr="00FB2E7F">
        <w:rPr>
          <w:rFonts w:ascii="Arial" w:eastAsia="宋体" w:hAnsi="Arial" w:cs="Times New Roman" w:hint="eastAsia"/>
          <w:kern w:val="44"/>
          <w:sz w:val="44"/>
          <w:szCs w:val="44"/>
        </w:rPr>
        <w:t>第六章</w:t>
      </w:r>
      <w:r w:rsidRPr="00FB2E7F">
        <w:rPr>
          <w:rFonts w:ascii="Arial" w:eastAsia="宋体" w:hAnsi="Arial" w:cs="Times New Roman" w:hint="eastAsia"/>
          <w:kern w:val="44"/>
          <w:sz w:val="44"/>
          <w:szCs w:val="44"/>
        </w:rPr>
        <w:t xml:space="preserve">  </w:t>
      </w:r>
      <w:r w:rsidRPr="00FB2E7F">
        <w:rPr>
          <w:rFonts w:ascii="Arial" w:eastAsia="宋体" w:hAnsi="Arial" w:cs="Times New Roman" w:hint="eastAsia"/>
          <w:kern w:val="44"/>
          <w:sz w:val="44"/>
          <w:szCs w:val="44"/>
        </w:rPr>
        <w:t>服务需求书</w:t>
      </w:r>
      <w:bookmarkEnd w:id="0"/>
      <w:proofErr w:type="gramEnd"/>
    </w:p>
    <w:p w14:paraId="3F390064" w14:textId="77777777" w:rsidR="00FB2E7F" w:rsidRPr="00FB2E7F" w:rsidRDefault="00FB2E7F" w:rsidP="00FB2E7F">
      <w:pPr>
        <w:spacing w:afterLines="25" w:after="78" w:line="360" w:lineRule="auto"/>
        <w:ind w:rightChars="-30" w:right="-63" w:firstLine="426"/>
        <w:rPr>
          <w:rFonts w:ascii="宋体" w:eastAsia="宋体" w:hAnsi="宋体" w:cs="Times New Roman" w:hint="eastAsia"/>
          <w:b/>
          <w:color w:val="FF0000"/>
          <w:szCs w:val="24"/>
        </w:rPr>
      </w:pPr>
      <w:r w:rsidRPr="00FB2E7F">
        <w:rPr>
          <w:rFonts w:ascii="宋体" w:eastAsia="宋体" w:hAnsi="宋体" w:cs="Times New Roman" w:hint="eastAsia"/>
          <w:b/>
          <w:color w:val="FF0000"/>
          <w:szCs w:val="24"/>
        </w:rPr>
        <w:t>1. 带“★”项为不可负偏离项，有一项负偏离即导致投标无效。是否响应第六章服务需求书，以《服务条款偏离表》“投标文件响应”栏填写为准。</w:t>
      </w:r>
    </w:p>
    <w:p w14:paraId="08D0DEDD" w14:textId="77777777" w:rsidR="00FB2E7F" w:rsidRPr="00FB2E7F" w:rsidRDefault="00FB2E7F" w:rsidP="00FB2E7F">
      <w:pPr>
        <w:spacing w:afterLines="25" w:after="78" w:line="360" w:lineRule="auto"/>
        <w:ind w:rightChars="-30" w:right="-63" w:firstLine="426"/>
        <w:rPr>
          <w:rFonts w:ascii="宋体" w:eastAsia="宋体" w:hAnsi="宋体" w:cs="Times New Roman" w:hint="eastAsia"/>
          <w:b/>
          <w:color w:val="FF0000"/>
          <w:szCs w:val="24"/>
        </w:rPr>
      </w:pPr>
      <w:r w:rsidRPr="00FB2E7F">
        <w:rPr>
          <w:rFonts w:ascii="宋体" w:eastAsia="宋体" w:hAnsi="宋体" w:cs="Times New Roman" w:hint="eastAsia"/>
          <w:b/>
          <w:color w:val="FF0000"/>
          <w:szCs w:val="24"/>
        </w:rPr>
        <w:t>2.如投标人中标后被发现不能满足本章带★号条款要求的，采购单位有权拒绝签订合同，一切后果由投标人承担。</w:t>
      </w:r>
    </w:p>
    <w:p w14:paraId="5002724A" w14:textId="77777777" w:rsidR="00FB2E7F" w:rsidRPr="00FB2E7F" w:rsidRDefault="00FB2E7F" w:rsidP="00FB2E7F">
      <w:pPr>
        <w:spacing w:line="360" w:lineRule="auto"/>
        <w:rPr>
          <w:rFonts w:ascii="Arial" w:eastAsia="宋体" w:hAnsi="Arial" w:cs="Arial"/>
          <w:bCs/>
          <w:szCs w:val="24"/>
        </w:rPr>
      </w:pPr>
    </w:p>
    <w:p w14:paraId="08E76EF5" w14:textId="77777777" w:rsidR="00FB2E7F" w:rsidRPr="00FB2E7F" w:rsidRDefault="00FB2E7F" w:rsidP="00FB2E7F">
      <w:pPr>
        <w:spacing w:afterLines="25" w:after="78" w:line="360" w:lineRule="auto"/>
        <w:jc w:val="left"/>
        <w:rPr>
          <w:rFonts w:ascii="宋体" w:eastAsia="宋体" w:hAnsi="宋体" w:cs="Times New Roman" w:hint="eastAsia"/>
          <w:szCs w:val="21"/>
        </w:rPr>
      </w:pPr>
      <w:r w:rsidRPr="00FB2E7F">
        <w:rPr>
          <w:rFonts w:ascii="宋体" w:eastAsia="宋体" w:hAnsi="宋体" w:cs="Times New Roman" w:hint="eastAsia"/>
          <w:b/>
          <w:szCs w:val="21"/>
        </w:rPr>
        <w:t>（一）</w:t>
      </w:r>
      <w:r w:rsidRPr="00FB2E7F">
        <w:rPr>
          <w:rFonts w:ascii="宋体" w:eastAsia="宋体" w:hAnsi="宋体" w:cs="Times New Roman" w:hint="eastAsia"/>
          <w:b/>
          <w:bCs/>
          <w:szCs w:val="21"/>
        </w:rPr>
        <w:t>采购项目概况</w:t>
      </w:r>
      <w:r w:rsidRPr="00FB2E7F">
        <w:rPr>
          <w:rFonts w:ascii="宋体" w:eastAsia="宋体" w:hAnsi="宋体" w:cs="Times New Roman" w:hint="eastAsia"/>
          <w:szCs w:val="21"/>
        </w:rPr>
        <w:t>：</w:t>
      </w:r>
    </w:p>
    <w:p w14:paraId="319859F6" w14:textId="0616E610" w:rsidR="00FB2E7F" w:rsidRPr="00FB2E7F" w:rsidRDefault="00FB2E7F" w:rsidP="00FB2E7F">
      <w:pPr>
        <w:numPr>
          <w:ilvl w:val="0"/>
          <w:numId w:val="1"/>
        </w:num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FB2E7F">
        <w:rPr>
          <w:rFonts w:ascii="宋体" w:eastAsia="宋体" w:hAnsi="宋体" w:cs="Times New Roman" w:hint="eastAsia"/>
          <w:szCs w:val="21"/>
        </w:rPr>
        <w:t>项目名称；</w:t>
      </w:r>
      <w:r w:rsidR="008803B5" w:rsidRPr="008803B5">
        <w:rPr>
          <w:rFonts w:ascii="宋体" w:eastAsia="宋体" w:hAnsi="宋体" w:cs="Times New Roman" w:hint="eastAsia"/>
          <w:szCs w:val="21"/>
        </w:rPr>
        <w:t>宝安区城市更新和土地整备局档案服务项目</w:t>
      </w:r>
    </w:p>
    <w:p w14:paraId="3CC00B9B" w14:textId="77777777" w:rsidR="00FB2E7F" w:rsidRPr="00FB2E7F" w:rsidRDefault="00FB2E7F" w:rsidP="00FB2E7F">
      <w:pPr>
        <w:numPr>
          <w:ilvl w:val="0"/>
          <w:numId w:val="1"/>
        </w:numPr>
        <w:spacing w:afterLines="25" w:after="78" w:line="360" w:lineRule="auto"/>
        <w:ind w:firstLineChars="200" w:firstLine="420"/>
        <w:jc w:val="left"/>
        <w:rPr>
          <w:rFonts w:ascii="宋体" w:eastAsia="宋体" w:hAnsi="宋体" w:cs="Times New Roman" w:hint="eastAsia"/>
          <w:szCs w:val="21"/>
        </w:rPr>
      </w:pPr>
      <w:r w:rsidRPr="00FB2E7F">
        <w:rPr>
          <w:rFonts w:ascii="宋体" w:eastAsia="宋体" w:hAnsi="宋体" w:cs="Times New Roman" w:hint="eastAsia"/>
          <w:szCs w:val="21"/>
        </w:rPr>
        <w:t>项目预算金额或预算金额之下的最高限额；</w:t>
      </w:r>
      <w:r w:rsidRPr="00FB2E7F">
        <w:rPr>
          <w:rFonts w:ascii="宋体" w:eastAsia="宋体" w:hAnsi="宋体" w:cs="宋体" w:hint="eastAsia"/>
          <w:kern w:val="0"/>
          <w:szCs w:val="21"/>
        </w:rPr>
        <w:t>392,000.00元。最终合同结算价以单价*实际开展的项目数量进行结算，结算总价不得超过合同总价。</w:t>
      </w:r>
    </w:p>
    <w:p w14:paraId="2E8A1FF6" w14:textId="77777777" w:rsidR="00FB2E7F" w:rsidRPr="00FB2E7F" w:rsidRDefault="00FB2E7F" w:rsidP="00FB2E7F">
      <w:pPr>
        <w:spacing w:afterLines="25" w:after="78" w:line="360" w:lineRule="auto"/>
        <w:jc w:val="left"/>
        <w:rPr>
          <w:rFonts w:ascii="宋体" w:eastAsia="宋体" w:hAnsi="宋体" w:cs="Times New Roman" w:hint="eastAsia"/>
          <w:szCs w:val="21"/>
        </w:rPr>
      </w:pPr>
      <w:r w:rsidRPr="00FB2E7F">
        <w:rPr>
          <w:rFonts w:ascii="宋体" w:eastAsia="宋体" w:hAnsi="宋体" w:cs="Times New Roman" w:hint="eastAsia"/>
          <w:b/>
          <w:bCs/>
          <w:szCs w:val="21"/>
        </w:rPr>
        <w:t>（二）项目管理和服务要求</w:t>
      </w:r>
      <w:r w:rsidRPr="00FB2E7F">
        <w:rPr>
          <w:rFonts w:ascii="宋体" w:eastAsia="宋体" w:hAnsi="宋体" w:cs="Times New Roman" w:hint="eastAsia"/>
          <w:szCs w:val="21"/>
        </w:rPr>
        <w:t>：</w:t>
      </w:r>
    </w:p>
    <w:p w14:paraId="03F8F45E" w14:textId="77777777" w:rsidR="00FB2E7F" w:rsidRPr="00FB2E7F" w:rsidRDefault="00FB2E7F" w:rsidP="00FB2E7F">
      <w:pPr>
        <w:spacing w:after="25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bCs/>
          <w:szCs w:val="21"/>
        </w:rPr>
      </w:pPr>
      <w:r w:rsidRPr="00FB2E7F">
        <w:rPr>
          <w:rFonts w:ascii="宋体" w:eastAsia="宋体" w:hAnsi="宋体" w:cs="仿宋_GB2312" w:hint="eastAsia"/>
          <w:b/>
          <w:bCs/>
          <w:szCs w:val="21"/>
        </w:rPr>
        <w:t>1.服务期限：</w:t>
      </w:r>
      <w:r w:rsidRPr="00FB2E7F">
        <w:rPr>
          <w:rFonts w:ascii="宋体" w:eastAsia="宋体" w:hAnsi="宋体" w:cs="仿宋_GB2312" w:hint="eastAsia"/>
          <w:bCs/>
          <w:color w:val="000000"/>
          <w:szCs w:val="21"/>
        </w:rPr>
        <w:t>自合同签订之日起至2026年6月30日。遇有特殊情况，经甲乙双方协商后服务期限可适当延长。</w:t>
      </w:r>
    </w:p>
    <w:p w14:paraId="00C35F04" w14:textId="77777777" w:rsidR="00FB2E7F" w:rsidRPr="00FB2E7F" w:rsidRDefault="00FB2E7F" w:rsidP="00FB2E7F">
      <w:pPr>
        <w:spacing w:after="25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bCs/>
          <w:szCs w:val="21"/>
        </w:rPr>
      </w:pPr>
      <w:r w:rsidRPr="00FB2E7F">
        <w:rPr>
          <w:rFonts w:ascii="宋体" w:eastAsia="宋体" w:hAnsi="宋体" w:cs="仿宋_GB2312" w:hint="eastAsia"/>
          <w:b/>
          <w:bCs/>
          <w:szCs w:val="21"/>
        </w:rPr>
        <w:t>2.服务内容、技术标准、工作质量要求</w:t>
      </w:r>
    </w:p>
    <w:p w14:paraId="6220DE03" w14:textId="77777777" w:rsidR="00FB2E7F" w:rsidRPr="00FB2E7F" w:rsidRDefault="00FB2E7F" w:rsidP="00FB2E7F">
      <w:pPr>
        <w:widowControl/>
        <w:shd w:val="clear" w:color="auto" w:fill="FFFFFF"/>
        <w:spacing w:after="120" w:line="360" w:lineRule="auto"/>
        <w:ind w:firstLineChars="200" w:firstLine="420"/>
        <w:jc w:val="left"/>
        <w:rPr>
          <w:rFonts w:ascii="宋体" w:eastAsia="宋体" w:hAnsi="宋体" w:cs="仿宋_GB2312" w:hint="eastAsia"/>
          <w:szCs w:val="21"/>
          <w:lang w:val="zh-CN"/>
        </w:rPr>
      </w:pPr>
      <w:r w:rsidRPr="00FB2E7F">
        <w:rPr>
          <w:rFonts w:ascii="宋体" w:eastAsia="宋体" w:hAnsi="宋体" w:cs="仿宋_GB2312" w:hint="eastAsia"/>
          <w:szCs w:val="21"/>
          <w:lang w:val="zh-CN"/>
        </w:rPr>
        <w:t>（一）服务内容：2024年度档案整理数字化工作及2010-2019年文书档案上传至智慧档案系统工作</w:t>
      </w:r>
    </w:p>
    <w:p w14:paraId="21F216D3" w14:textId="77777777" w:rsidR="00FB2E7F" w:rsidRPr="00FB2E7F" w:rsidRDefault="00FB2E7F" w:rsidP="00FB2E7F">
      <w:pPr>
        <w:widowControl/>
        <w:shd w:val="clear" w:color="auto" w:fill="FFFFFF"/>
        <w:spacing w:after="120" w:line="360" w:lineRule="auto"/>
        <w:ind w:firstLineChars="200" w:firstLine="420"/>
        <w:jc w:val="left"/>
        <w:rPr>
          <w:rFonts w:ascii="宋体" w:eastAsia="宋体" w:hAnsi="宋体" w:cs="仿宋_GB2312" w:hint="eastAsia"/>
          <w:szCs w:val="21"/>
          <w:lang w:val="zh-CN"/>
        </w:rPr>
      </w:pPr>
      <w:r w:rsidRPr="00FB2E7F">
        <w:rPr>
          <w:rFonts w:ascii="宋体" w:eastAsia="宋体" w:hAnsi="宋体" w:cs="仿宋_GB2312" w:hint="eastAsia"/>
          <w:szCs w:val="21"/>
          <w:lang w:val="zh-CN"/>
        </w:rPr>
        <w:t>（</w:t>
      </w:r>
      <w:r w:rsidRPr="00FB2E7F">
        <w:rPr>
          <w:rFonts w:ascii="宋体" w:eastAsia="宋体" w:hAnsi="宋体" w:cs="仿宋_GB2312" w:hint="eastAsia"/>
          <w:szCs w:val="21"/>
        </w:rPr>
        <w:t>二</w:t>
      </w:r>
      <w:r w:rsidRPr="00FB2E7F">
        <w:rPr>
          <w:rFonts w:ascii="宋体" w:eastAsia="宋体" w:hAnsi="宋体" w:cs="仿宋_GB2312" w:hint="eastAsia"/>
          <w:szCs w:val="21"/>
          <w:lang w:val="zh-CN"/>
        </w:rPr>
        <w:t>）采购项目及完成时间：</w:t>
      </w:r>
    </w:p>
    <w:p w14:paraId="5F6253A6" w14:textId="77777777" w:rsidR="00FB2E7F" w:rsidRPr="00FB2E7F" w:rsidRDefault="00FB2E7F" w:rsidP="00FB2E7F">
      <w:pPr>
        <w:widowControl/>
        <w:shd w:val="clear" w:color="auto" w:fill="FFFFFF"/>
        <w:spacing w:after="120" w:line="360" w:lineRule="auto"/>
        <w:ind w:firstLineChars="200" w:firstLine="420"/>
        <w:jc w:val="left"/>
        <w:rPr>
          <w:rFonts w:ascii="宋体" w:eastAsia="宋体" w:hAnsi="宋体" w:cs="仿宋_GB2312" w:hint="eastAsia"/>
          <w:szCs w:val="21"/>
          <w:lang w:val="zh-CN"/>
        </w:rPr>
      </w:pPr>
      <w:r w:rsidRPr="00FB2E7F">
        <w:rPr>
          <w:rFonts w:ascii="宋体" w:eastAsia="宋体" w:hAnsi="宋体" w:cs="仿宋_GB2312" w:hint="eastAsia"/>
          <w:szCs w:val="21"/>
          <w:lang w:val="zh-CN"/>
        </w:rPr>
        <w:t>①2024年文书档案服务：整理、扫描、录入；完成时限：2025年11月30日前。</w:t>
      </w:r>
    </w:p>
    <w:p w14:paraId="5A2FED95" w14:textId="77777777" w:rsidR="00FB2E7F" w:rsidRPr="00FB2E7F" w:rsidRDefault="00FB2E7F" w:rsidP="00FB2E7F">
      <w:pPr>
        <w:widowControl/>
        <w:shd w:val="clear" w:color="auto" w:fill="FFFFFF"/>
        <w:spacing w:after="120" w:line="360" w:lineRule="auto"/>
        <w:ind w:firstLineChars="200" w:firstLine="420"/>
        <w:jc w:val="left"/>
        <w:rPr>
          <w:rFonts w:ascii="宋体" w:eastAsia="宋体" w:hAnsi="宋体" w:cs="仿宋_GB2312" w:hint="eastAsia"/>
          <w:szCs w:val="21"/>
          <w:lang w:val="zh-CN"/>
        </w:rPr>
      </w:pPr>
      <w:r w:rsidRPr="00FB2E7F">
        <w:rPr>
          <w:rFonts w:ascii="宋体" w:eastAsia="宋体" w:hAnsi="宋体" w:cs="仿宋_GB2312" w:hint="eastAsia"/>
          <w:szCs w:val="21"/>
          <w:lang w:val="zh-CN"/>
        </w:rPr>
        <w:t>②2024年会计档案服务：整理、扫描、录入；完成时限：2025年11月30日前。</w:t>
      </w:r>
    </w:p>
    <w:p w14:paraId="7BBA44A4" w14:textId="77777777" w:rsidR="00FB2E7F" w:rsidRPr="00FB2E7F" w:rsidRDefault="00FB2E7F" w:rsidP="00FB2E7F">
      <w:pPr>
        <w:widowControl/>
        <w:shd w:val="clear" w:color="auto" w:fill="FFFFFF"/>
        <w:spacing w:after="120" w:line="360" w:lineRule="auto"/>
        <w:ind w:firstLineChars="200" w:firstLine="420"/>
        <w:jc w:val="left"/>
        <w:rPr>
          <w:rFonts w:ascii="宋体" w:eastAsia="宋体" w:hAnsi="宋体" w:cs="仿宋_GB2312" w:hint="eastAsia"/>
          <w:szCs w:val="21"/>
          <w:lang w:val="zh-CN"/>
        </w:rPr>
      </w:pPr>
      <w:r w:rsidRPr="00FB2E7F">
        <w:rPr>
          <w:rFonts w:ascii="宋体" w:eastAsia="宋体" w:hAnsi="宋体" w:cs="仿宋_GB2312" w:hint="eastAsia"/>
          <w:szCs w:val="21"/>
          <w:lang w:val="zh-CN"/>
        </w:rPr>
        <w:t>③2024年8-12月业务档案服务：整理、扫描、录入；完成时限：2025年12月31月前。</w:t>
      </w:r>
    </w:p>
    <w:p w14:paraId="33E84DC7" w14:textId="77777777" w:rsidR="00FB2E7F" w:rsidRPr="00FB2E7F" w:rsidRDefault="00FB2E7F" w:rsidP="00FB2E7F">
      <w:pPr>
        <w:widowControl/>
        <w:shd w:val="clear" w:color="auto" w:fill="FFFFFF"/>
        <w:spacing w:after="120" w:line="360" w:lineRule="auto"/>
        <w:ind w:firstLineChars="200" w:firstLine="420"/>
        <w:jc w:val="left"/>
        <w:rPr>
          <w:rFonts w:ascii="宋体" w:eastAsia="宋体" w:hAnsi="宋体" w:cs="仿宋_GB2312" w:hint="eastAsia"/>
          <w:szCs w:val="21"/>
          <w:lang w:val="zh-CN"/>
        </w:rPr>
      </w:pPr>
      <w:r w:rsidRPr="00FB2E7F">
        <w:rPr>
          <w:rFonts w:ascii="宋体" w:eastAsia="宋体" w:hAnsi="宋体" w:cs="仿宋_GB2312" w:hint="eastAsia"/>
          <w:szCs w:val="21"/>
          <w:lang w:val="zh-CN"/>
        </w:rPr>
        <w:t>④按照区档案馆的最新信息化标准，整理存储及完善</w:t>
      </w:r>
      <w:r w:rsidRPr="00FB2E7F">
        <w:rPr>
          <w:rFonts w:ascii="宋体" w:eastAsia="宋体" w:hAnsi="宋体" w:cs="仿宋_GB2312" w:hint="eastAsia"/>
          <w:szCs w:val="21"/>
        </w:rPr>
        <w:t>2010-2019年文书档案整理及数字化加工服务</w:t>
      </w:r>
      <w:r w:rsidRPr="00FB2E7F">
        <w:rPr>
          <w:rFonts w:ascii="宋体" w:eastAsia="宋体" w:hAnsi="宋体" w:cs="仿宋_GB2312" w:hint="eastAsia"/>
          <w:szCs w:val="21"/>
          <w:lang w:val="zh-CN"/>
        </w:rPr>
        <w:t>；完成时限：2026年6月30日前。</w:t>
      </w:r>
    </w:p>
    <w:p w14:paraId="71FC8B0E" w14:textId="77777777" w:rsidR="00FB2E7F" w:rsidRPr="00FB2E7F" w:rsidRDefault="00FB2E7F" w:rsidP="00FB2E7F">
      <w:pPr>
        <w:widowControl/>
        <w:shd w:val="clear" w:color="auto" w:fill="FFFFFF"/>
        <w:spacing w:after="120" w:line="360" w:lineRule="auto"/>
        <w:ind w:firstLineChars="200" w:firstLine="420"/>
        <w:jc w:val="left"/>
        <w:rPr>
          <w:rFonts w:ascii="宋体" w:eastAsia="宋体" w:hAnsi="宋体" w:cs="仿宋_GB2312" w:hint="eastAsia"/>
          <w:szCs w:val="21"/>
          <w:lang w:val="zh-CN"/>
        </w:rPr>
      </w:pPr>
      <w:r w:rsidRPr="00FB2E7F">
        <w:rPr>
          <w:rFonts w:ascii="宋体" w:eastAsia="宋体" w:hAnsi="宋体" w:cs="仿宋_GB2312" w:hint="eastAsia"/>
          <w:szCs w:val="21"/>
          <w:lang w:val="zh-CN"/>
        </w:rPr>
        <w:t>（</w:t>
      </w:r>
      <w:r w:rsidRPr="00FB2E7F">
        <w:rPr>
          <w:rFonts w:ascii="宋体" w:eastAsia="宋体" w:hAnsi="宋体" w:cs="仿宋_GB2312" w:hint="eastAsia"/>
          <w:szCs w:val="21"/>
        </w:rPr>
        <w:t>三</w:t>
      </w:r>
      <w:r w:rsidRPr="00FB2E7F">
        <w:rPr>
          <w:rFonts w:ascii="宋体" w:eastAsia="宋体" w:hAnsi="宋体" w:cs="仿宋_GB2312" w:hint="eastAsia"/>
          <w:szCs w:val="21"/>
          <w:lang w:val="zh-CN"/>
        </w:rPr>
        <w:t>）</w:t>
      </w:r>
      <w:r w:rsidRPr="00FB2E7F">
        <w:rPr>
          <w:rFonts w:ascii="宋体" w:eastAsia="宋体" w:hAnsi="宋体" w:cs="仿宋_GB2312"/>
          <w:szCs w:val="21"/>
          <w:lang w:val="zh-CN"/>
        </w:rPr>
        <w:t>具体服务项目如下：</w:t>
      </w:r>
    </w:p>
    <w:tbl>
      <w:tblPr>
        <w:tblW w:w="8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51"/>
        <w:gridCol w:w="1360"/>
        <w:gridCol w:w="885"/>
        <w:gridCol w:w="1230"/>
        <w:gridCol w:w="2910"/>
      </w:tblGrid>
      <w:tr w:rsidR="00FB2E7F" w:rsidRPr="00FB2E7F" w14:paraId="1B768AD4" w14:textId="77777777" w:rsidTr="003A7025">
        <w:trPr>
          <w:trHeight w:val="887"/>
        </w:trPr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006F8808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服务项目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51C25CC4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年均整理数量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286DBE72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152FE84B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单价限价（元）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69EF46A8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服务内容</w:t>
            </w:r>
          </w:p>
        </w:tc>
      </w:tr>
      <w:tr w:rsidR="00FB2E7F" w:rsidRPr="00FB2E7F" w14:paraId="63F48F47" w14:textId="77777777" w:rsidTr="003A7025">
        <w:trPr>
          <w:trHeight w:val="1737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B89ACB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2024年文书档案整理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1724EE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F0875D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5F0DF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9元/件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67F0B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文件整理、</w:t>
            </w: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解压、</w:t>
            </w: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密级检查、拆钉、排序、盖页码章、文件著录</w:t>
            </w:r>
            <w:proofErr w:type="gramStart"/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(题名</w:t>
            </w:r>
            <w:proofErr w:type="gramEnd"/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、责任者、文件编号、文件形成时间、公开</w:t>
            </w:r>
            <w:proofErr w:type="gramStart"/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方式)</w:t>
            </w:r>
            <w:proofErr w:type="gramEnd"/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、文件分类（保管期限：永久、30年、10年）、盖档号章、装订、制作档案盒背脊、装盒、上架。</w:t>
            </w:r>
          </w:p>
        </w:tc>
      </w:tr>
      <w:tr w:rsidR="00FB2E7F" w:rsidRPr="00FB2E7F" w14:paraId="580AE6D4" w14:textId="77777777" w:rsidTr="003A7025">
        <w:trPr>
          <w:trHeight w:val="755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297F2B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2024年文书档案扫描上传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006F70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BFD4DC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5C61A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0.4</w:t>
            </w: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/页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DA68B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文件扫描：对拟归档纸质文件进行扫描，存储格式为tiff，压缩格式为jpeg                                                     图像处理：对扫描完的图像进行除污、除黑边、折角、图像偏斜度、清晰度等图像处理。                                  图像质检：检查档案扫描是否漏页，扫描是否清晰，不符合要求，重新扫描 ，并对处理完的图片进行上传智慧档案系统。</w:t>
            </w:r>
          </w:p>
        </w:tc>
      </w:tr>
      <w:tr w:rsidR="00FB2E7F" w:rsidRPr="00FB2E7F" w14:paraId="56562050" w14:textId="77777777" w:rsidTr="003A7025">
        <w:trPr>
          <w:trHeight w:val="1005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464608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2024年8-12月业务档案整理录入（包含图纸整理）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F973C6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DB6F15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17802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90/卷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5B67A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务档案整理（预归档及正式归档）预归档：按移交的项目阶段性形成的资料进行排序，著录检索文件目录，打印条码、装盒。正式归档：排序（筛查重复件，对结算的项目资料重新按形成时间排序）、分卷、盖页码章、文件著录（录入案卷题名、案卷级档号、案卷起止时间、总件数、总页数、文件题名、文件编号、责任者、文件形成时间、页数、页号、备注、档号、保管期限等）、智慧档案系统上传著录数据、导出卷内文件目录并打印、打印牛皮纸封面及卷内备考表、装订（三孔一线）、制作档案盒背脊、装盒、上架。</w:t>
            </w:r>
          </w:p>
        </w:tc>
      </w:tr>
      <w:tr w:rsidR="00FB2E7F" w:rsidRPr="00FB2E7F" w14:paraId="5A3A9A9B" w14:textId="77777777" w:rsidTr="003A7025">
        <w:trPr>
          <w:trHeight w:val="1005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228D88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2024年8-12月业务档案扫描上传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9C6688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165E3A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9A359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0.4</w:t>
            </w: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/页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C63B9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扫描流程：对已装订三孔一线的档案进行拆钉，核对检查，排序逐页进行扫描，存储格式为tiff，压缩格式为</w:t>
            </w:r>
            <w:proofErr w:type="gramStart"/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jpeg  ，</w:t>
            </w:r>
            <w:proofErr w:type="gramEnd"/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扫描完成再进行检查排序，重新装卷，装盒，上架。                                                   图像处理：对扫描完的图像进行除污、除黑边、折角、图像偏斜度、清晰度等图像处理。      </w:t>
            </w:r>
          </w:p>
        </w:tc>
      </w:tr>
      <w:tr w:rsidR="00FB2E7F" w:rsidRPr="00FB2E7F" w14:paraId="14DA25A1" w14:textId="77777777" w:rsidTr="003A7025">
        <w:trPr>
          <w:trHeight w:val="1105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4A0374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2024年业务图纸扫描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733622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F08AA6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3C30A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5/张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E5470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图像质检：检查档案扫描是否漏页，扫描是否清晰，不符合要求，重新扫描，并对处理完</w:t>
            </w: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A3</w:t>
            </w: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A4</w:t>
            </w: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的图片进行上传智慧档案系统。</w:t>
            </w:r>
          </w:p>
        </w:tc>
      </w:tr>
      <w:tr w:rsidR="00FB2E7F" w:rsidRPr="00FB2E7F" w14:paraId="47987993" w14:textId="77777777" w:rsidTr="003A7025">
        <w:trPr>
          <w:trHeight w:val="1005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E25C45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-20</w:t>
            </w: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9年文书档案扫描上传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FA812E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3AB1CE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3FB7C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0.4</w:t>
            </w: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/页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3A11B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文件扫描：对拟归档纸质文件进行扫描，存储格式为tiff，压缩格式为jpeg                                                     图像处理：对扫描完的图像进行除污、除黑边、折角、图像偏斜度、清晰度等图像处理。                                  图像质检：检查档案扫描是否漏页，扫描是否清晰，不符合要求，重新扫描 ，并对处理完的图片进行上传智慧档案系统。</w:t>
            </w:r>
          </w:p>
        </w:tc>
      </w:tr>
      <w:tr w:rsidR="00FB2E7F" w:rsidRPr="00FB2E7F" w14:paraId="694D7CA0" w14:textId="77777777" w:rsidTr="003A7025">
        <w:trPr>
          <w:trHeight w:val="1005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7CE47A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校对完善20</w:t>
            </w: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-20</w:t>
            </w: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9年文书档案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5601A0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36</w:t>
            </w: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8920C8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B6157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2/件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2016C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校队完善2010-2019年文书档案，含检查、盖章、补录、装盒、入库等</w:t>
            </w:r>
          </w:p>
        </w:tc>
      </w:tr>
      <w:tr w:rsidR="00FB2E7F" w:rsidRPr="00FB2E7F" w14:paraId="3A965E98" w14:textId="77777777" w:rsidTr="003A7025">
        <w:trPr>
          <w:trHeight w:val="645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B2F1A5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档案盒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ED39E1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D25F01" w14:textId="77777777" w:rsidR="00FB2E7F" w:rsidRPr="00FB2E7F" w:rsidRDefault="00FB2E7F" w:rsidP="00FB2E7F">
            <w:pPr>
              <w:widowControl/>
              <w:spacing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38348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/>
                <w:color w:val="000000"/>
                <w:kern w:val="0"/>
                <w:szCs w:val="21"/>
              </w:rPr>
              <w:t>6/个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01370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符合档案馆要求</w:t>
            </w:r>
          </w:p>
        </w:tc>
      </w:tr>
      <w:tr w:rsidR="00FB2E7F" w:rsidRPr="00FB2E7F" w14:paraId="3DF50DED" w14:textId="77777777" w:rsidTr="003A7025">
        <w:trPr>
          <w:trHeight w:val="111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B7BBD2" w14:textId="77777777" w:rsidR="00FB2E7F" w:rsidRPr="00FB2E7F" w:rsidRDefault="00FB2E7F" w:rsidP="00FB2E7F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kern w:val="0"/>
                <w:szCs w:val="21"/>
              </w:rPr>
              <w:t>会计档案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AD2F85" w14:textId="77777777" w:rsidR="00FB2E7F" w:rsidRPr="00FB2E7F" w:rsidRDefault="00FB2E7F" w:rsidP="00FB2E7F">
            <w:pPr>
              <w:spacing w:line="5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FB2E7F">
              <w:rPr>
                <w:rFonts w:ascii="宋体" w:eastAsia="宋体" w:hAnsi="宋体" w:cs="宋体" w:hint="eastAsia"/>
                <w:szCs w:val="21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04DF0D" w14:textId="77777777" w:rsidR="00FB2E7F" w:rsidRPr="00FB2E7F" w:rsidRDefault="00FB2E7F" w:rsidP="00FB2E7F">
            <w:pPr>
              <w:spacing w:line="5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FB2E7F">
              <w:rPr>
                <w:rFonts w:ascii="宋体" w:eastAsia="宋体" w:hAnsi="宋体" w:cs="宋体" w:hint="eastAsia"/>
                <w:szCs w:val="21"/>
              </w:rPr>
              <w:t>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DD87A" w14:textId="77777777" w:rsidR="00FB2E7F" w:rsidRPr="00FB2E7F" w:rsidRDefault="00FB2E7F" w:rsidP="00FB2E7F">
            <w:pPr>
              <w:spacing w:line="560" w:lineRule="exact"/>
              <w:rPr>
                <w:rFonts w:ascii="宋体" w:eastAsia="宋体" w:hAnsi="宋体" w:cs="宋体" w:hint="eastAsia"/>
                <w:szCs w:val="21"/>
              </w:rPr>
            </w:pPr>
            <w:r w:rsidRPr="00FB2E7F">
              <w:rPr>
                <w:rFonts w:ascii="宋体" w:eastAsia="宋体" w:hAnsi="宋体" w:cs="宋体" w:hint="eastAsia"/>
                <w:szCs w:val="21"/>
              </w:rPr>
              <w:t>15/册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6A998" w14:textId="77777777" w:rsidR="00FB2E7F" w:rsidRPr="00FB2E7F" w:rsidRDefault="00FB2E7F" w:rsidP="00FB2E7F">
            <w:pPr>
              <w:spacing w:line="560" w:lineRule="exact"/>
              <w:rPr>
                <w:rFonts w:ascii="宋体" w:eastAsia="宋体" w:hAnsi="宋体" w:cs="宋体" w:hint="eastAsia"/>
                <w:szCs w:val="21"/>
              </w:rPr>
            </w:pPr>
            <w:r w:rsidRPr="00FB2E7F">
              <w:rPr>
                <w:rFonts w:ascii="宋体" w:eastAsia="宋体" w:hAnsi="宋体" w:cs="宋体" w:hint="eastAsia"/>
                <w:szCs w:val="21"/>
              </w:rPr>
              <w:t>会计档案整理：著录（题名、会计年度、类别名称、档号、保管期限、责任者、文件开始时间、文件结束时间、凭证起止号）、加盖档号章、制作档案盒背脊及填写明细、装盒、上架。</w:t>
            </w:r>
          </w:p>
        </w:tc>
      </w:tr>
      <w:tr w:rsidR="00FB2E7F" w:rsidRPr="00FB2E7F" w14:paraId="055BF756" w14:textId="77777777" w:rsidTr="003A7025">
        <w:trPr>
          <w:trHeight w:val="525"/>
        </w:trPr>
        <w:tc>
          <w:tcPr>
            <w:tcW w:w="85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7D24118A" w14:textId="77777777" w:rsidR="00FB2E7F" w:rsidRPr="00FB2E7F" w:rsidRDefault="00FB2E7F" w:rsidP="00FB2E7F">
            <w:pPr>
              <w:widowControl/>
              <w:spacing w:line="56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说明：需要每季度进行一次</w:t>
            </w:r>
            <w:r w:rsidRPr="00FB2E7F">
              <w:rPr>
                <w:rFonts w:ascii="宋体" w:eastAsia="宋体" w:hAnsi="宋体" w:cs="宋体" w:hint="eastAsia"/>
                <w:kern w:val="0"/>
                <w:szCs w:val="21"/>
              </w:rPr>
              <w:t>拟归档文件合规性查补（</w:t>
            </w:r>
            <w:r w:rsidRPr="00FB2E7F">
              <w:rPr>
                <w:rFonts w:ascii="宋体" w:eastAsia="宋体" w:hAnsi="宋体" w:cs="宋体" w:hint="eastAsia"/>
                <w:szCs w:val="21"/>
              </w:rPr>
              <w:t>核查文件质量、补文件缺漏项</w:t>
            </w:r>
            <w:r w:rsidRPr="00FB2E7F">
              <w:rPr>
                <w:rFonts w:ascii="宋体" w:eastAsia="宋体" w:hAnsi="宋体" w:cs="宋体" w:hint="eastAsia"/>
                <w:kern w:val="0"/>
                <w:szCs w:val="21"/>
              </w:rPr>
              <w:t>）、档案收集服务（</w:t>
            </w:r>
            <w:r w:rsidRPr="00FB2E7F">
              <w:rPr>
                <w:rFonts w:ascii="宋体" w:eastAsia="宋体" w:hAnsi="宋体" w:cs="宋体" w:hint="eastAsia"/>
                <w:szCs w:val="21"/>
              </w:rPr>
              <w:t>按时限要求及时归档业务类档案</w:t>
            </w:r>
            <w:r w:rsidRPr="00FB2E7F">
              <w:rPr>
                <w:rFonts w:ascii="宋体" w:eastAsia="宋体" w:hAnsi="宋体" w:cs="宋体" w:hint="eastAsia"/>
                <w:kern w:val="0"/>
                <w:szCs w:val="21"/>
              </w:rPr>
              <w:t>）、档案日常维护（</w:t>
            </w:r>
            <w:r w:rsidRPr="00FB2E7F">
              <w:rPr>
                <w:rFonts w:ascii="宋体" w:eastAsia="宋体" w:hAnsi="宋体" w:cs="宋体" w:hint="eastAsia"/>
                <w:szCs w:val="21"/>
              </w:rPr>
              <w:t>库房温湿度调节等安全保管巡查、档案数据备份维护等</w:t>
            </w:r>
            <w:r w:rsidRPr="00FB2E7F">
              <w:rPr>
                <w:rFonts w:ascii="宋体" w:eastAsia="宋体" w:hAnsi="宋体" w:cs="宋体" w:hint="eastAsia"/>
                <w:kern w:val="0"/>
                <w:szCs w:val="21"/>
              </w:rPr>
              <w:t>），包括档案查档和全年档案业务咨询指导。档案扫描仪等设备由档案公司提供。</w:t>
            </w:r>
          </w:p>
          <w:p w14:paraId="6BC1D02B" w14:textId="77777777" w:rsidR="00FB2E7F" w:rsidRPr="00FB2E7F" w:rsidRDefault="00FB2E7F" w:rsidP="00FB2E7F">
            <w:pPr>
              <w:widowControl/>
              <w:spacing w:line="560" w:lineRule="exac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B2E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总价包干，以上整理数量为预估数量，结算以实际完成数量为准（档案盒预算6000元，预估用到1000个档案盒），若实际使用数量超出预估量，由中标供应商承担超出部分所产生的费用，采购人不再追加费用。</w:t>
            </w:r>
          </w:p>
        </w:tc>
      </w:tr>
    </w:tbl>
    <w:p w14:paraId="342C5F81" w14:textId="77777777" w:rsidR="00FB2E7F" w:rsidRPr="00FB2E7F" w:rsidRDefault="00FB2E7F" w:rsidP="00FB2E7F">
      <w:pPr>
        <w:spacing w:line="360" w:lineRule="auto"/>
        <w:rPr>
          <w:rFonts w:ascii="Arial" w:eastAsia="宋体" w:hAnsi="Arial" w:cs="Arial"/>
          <w:bCs/>
          <w:szCs w:val="24"/>
        </w:rPr>
      </w:pPr>
    </w:p>
    <w:p w14:paraId="2558B9B9" w14:textId="77777777" w:rsidR="00FB2E7F" w:rsidRPr="00FB2E7F" w:rsidRDefault="00FB2E7F" w:rsidP="00FB2E7F">
      <w:pPr>
        <w:spacing w:after="25" w:line="360" w:lineRule="auto"/>
        <w:ind w:firstLineChars="200" w:firstLine="422"/>
        <w:jc w:val="left"/>
        <w:rPr>
          <w:rFonts w:ascii="宋体" w:eastAsia="宋体" w:hAnsi="宋体" w:cs="仿宋_GB2312" w:hint="eastAsia"/>
          <w:szCs w:val="21"/>
        </w:rPr>
      </w:pPr>
      <w:r w:rsidRPr="00FB2E7F">
        <w:rPr>
          <w:rFonts w:ascii="宋体" w:eastAsia="宋体" w:hAnsi="宋体" w:cs="仿宋_GB2312" w:hint="eastAsia"/>
          <w:b/>
          <w:szCs w:val="21"/>
        </w:rPr>
        <w:t>3.人员配置：</w:t>
      </w:r>
      <w:r w:rsidRPr="00FB2E7F">
        <w:rPr>
          <w:rFonts w:ascii="宋体" w:eastAsia="宋体" w:hAnsi="宋体" w:cs="仿宋_GB2312" w:hint="eastAsia"/>
          <w:szCs w:val="21"/>
        </w:rPr>
        <w:t xml:space="preserve"> 中标单位需安排3人以上在现场整理档案，其中1人派驻我局负责档案的收集、整理及日常管理工作，服务期限至2026年6月30日。委派的工作人员必须具备本项目招标文件中档案整理2-3年工作经验。未经甲方书面同意，项目完成前乙方不得擅自更换项目负责人和工作人员，保证服务质量。</w:t>
      </w:r>
    </w:p>
    <w:p w14:paraId="57D9AA39" w14:textId="77777777" w:rsidR="00FB2E7F" w:rsidRPr="00FB2E7F" w:rsidRDefault="00FB2E7F" w:rsidP="00FB2E7F">
      <w:pPr>
        <w:spacing w:line="360" w:lineRule="auto"/>
        <w:ind w:firstLineChars="200" w:firstLine="422"/>
        <w:rPr>
          <w:rFonts w:ascii="Arial" w:eastAsia="宋体" w:hAnsi="Arial" w:cs="Arial"/>
          <w:bCs/>
          <w:szCs w:val="24"/>
        </w:rPr>
      </w:pPr>
      <w:r w:rsidRPr="00FB2E7F">
        <w:rPr>
          <w:rFonts w:ascii="宋体" w:eastAsia="宋体" w:hAnsi="宋体" w:cs="仿宋_GB2312" w:hint="eastAsia"/>
          <w:b/>
          <w:szCs w:val="21"/>
        </w:rPr>
        <w:t>4.其它</w:t>
      </w:r>
      <w:r w:rsidRPr="00FB2E7F">
        <w:rPr>
          <w:rFonts w:ascii="宋体" w:eastAsia="宋体" w:hAnsi="宋体" w:cs="仿宋_GB2312" w:hint="eastAsia"/>
          <w:b/>
          <w:szCs w:val="21"/>
          <w:lang w:val="zh-CN"/>
        </w:rPr>
        <w:t>要求：</w:t>
      </w:r>
      <w:r w:rsidRPr="00FB2E7F">
        <w:rPr>
          <w:rFonts w:ascii="宋体" w:eastAsia="宋体" w:hAnsi="宋体" w:cs="仿宋_GB2312" w:hint="eastAsia"/>
          <w:bCs/>
          <w:szCs w:val="21"/>
          <w:lang w:val="zh-CN"/>
        </w:rPr>
        <w:t>投</w:t>
      </w:r>
      <w:r w:rsidRPr="00FB2E7F">
        <w:rPr>
          <w:rFonts w:ascii="宋体" w:eastAsia="宋体" w:hAnsi="宋体" w:cs="仿宋_GB2312" w:hint="eastAsia"/>
          <w:szCs w:val="21"/>
          <w:lang w:val="zh-CN"/>
        </w:rPr>
        <w:t>标人</w:t>
      </w:r>
      <w:r w:rsidRPr="00FB2E7F">
        <w:rPr>
          <w:rFonts w:ascii="宋体" w:eastAsia="宋体" w:hAnsi="宋体" w:cs="仿宋_GB2312" w:hint="eastAsia"/>
          <w:szCs w:val="21"/>
        </w:rPr>
        <w:t>需在</w:t>
      </w:r>
      <w:r w:rsidRPr="00FB2E7F">
        <w:rPr>
          <w:rFonts w:ascii="宋体" w:eastAsia="宋体" w:hAnsi="宋体" w:cs="仿宋_GB2312" w:hint="eastAsia"/>
          <w:szCs w:val="21"/>
          <w:lang w:val="zh-CN"/>
        </w:rPr>
        <w:t>深圳市档案政府主管部门</w:t>
      </w:r>
      <w:r w:rsidRPr="00FB2E7F">
        <w:rPr>
          <w:rFonts w:ascii="宋体" w:eastAsia="宋体" w:hAnsi="宋体" w:cs="仿宋_GB2312" w:hint="eastAsia"/>
          <w:szCs w:val="21"/>
        </w:rPr>
        <w:t>办理</w:t>
      </w:r>
      <w:r w:rsidRPr="00FB2E7F">
        <w:rPr>
          <w:rFonts w:ascii="宋体" w:eastAsia="宋体" w:hAnsi="宋体" w:cs="仿宋_GB2312" w:hint="eastAsia"/>
          <w:szCs w:val="21"/>
          <w:lang w:val="zh-CN"/>
        </w:rPr>
        <w:t>有效期内的档案中介服务机构备案证明。</w:t>
      </w:r>
    </w:p>
    <w:p w14:paraId="54643981" w14:textId="77777777" w:rsidR="00FB2E7F" w:rsidRPr="00FB2E7F" w:rsidRDefault="00FB2E7F" w:rsidP="00FB2E7F">
      <w:pPr>
        <w:spacing w:after="25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szCs w:val="21"/>
        </w:rPr>
      </w:pPr>
      <w:r w:rsidRPr="00FB2E7F">
        <w:rPr>
          <w:rFonts w:ascii="宋体" w:eastAsia="宋体" w:hAnsi="宋体" w:cs="仿宋_GB2312" w:hint="eastAsia"/>
          <w:b/>
          <w:szCs w:val="21"/>
        </w:rPr>
        <w:t>5.报价要求：</w:t>
      </w:r>
      <w:r w:rsidRPr="00FB2E7F">
        <w:rPr>
          <w:rFonts w:ascii="宋体" w:eastAsia="宋体" w:hAnsi="宋体" w:cs="Times New Roman" w:hint="eastAsia"/>
          <w:kern w:val="0"/>
          <w:szCs w:val="21"/>
        </w:rPr>
        <w:t>人民币报价，投标总价包括投标人完成本招标项目的所有工作量、人工</w:t>
      </w:r>
      <w:r w:rsidRPr="00FB2E7F">
        <w:rPr>
          <w:rFonts w:ascii="宋体" w:eastAsia="宋体" w:hAnsi="宋体" w:cs="Times New Roman" w:hint="eastAsia"/>
          <w:kern w:val="0"/>
          <w:szCs w:val="21"/>
        </w:rPr>
        <w:lastRenderedPageBreak/>
        <w:t>成本、材料费、税费等全部费用和一切明示和暗示的风险、义务、责任等本项目需求涉及的一切费用。</w:t>
      </w:r>
    </w:p>
    <w:p w14:paraId="23FED9D0" w14:textId="77777777" w:rsidR="00FB2E7F" w:rsidRPr="00FB2E7F" w:rsidRDefault="00FB2E7F" w:rsidP="00FB2E7F">
      <w:pPr>
        <w:spacing w:after="25" w:line="360" w:lineRule="auto"/>
        <w:ind w:firstLineChars="200" w:firstLine="422"/>
        <w:jc w:val="left"/>
        <w:rPr>
          <w:rFonts w:ascii="宋体" w:eastAsia="宋体" w:hAnsi="宋体" w:cs="仿宋_GB2312" w:hint="eastAsia"/>
          <w:b/>
          <w:szCs w:val="21"/>
        </w:rPr>
      </w:pPr>
      <w:r w:rsidRPr="00FB2E7F">
        <w:rPr>
          <w:rFonts w:ascii="宋体" w:eastAsia="宋体" w:hAnsi="宋体" w:cs="仿宋_GB2312" w:hint="eastAsia"/>
          <w:b/>
          <w:szCs w:val="21"/>
        </w:rPr>
        <w:t>6.付款方式：</w:t>
      </w:r>
    </w:p>
    <w:p w14:paraId="02F6D323" w14:textId="77777777" w:rsidR="00FB2E7F" w:rsidRPr="00FB2E7F" w:rsidRDefault="00FB2E7F" w:rsidP="00FB2E7F">
      <w:pPr>
        <w:spacing w:line="360" w:lineRule="auto"/>
        <w:ind w:firstLineChars="200" w:firstLine="420"/>
        <w:rPr>
          <w:rFonts w:ascii="Arial" w:eastAsia="宋体" w:hAnsi="Arial" w:cs="Arial"/>
          <w:bCs/>
          <w:szCs w:val="24"/>
        </w:rPr>
      </w:pPr>
      <w:r w:rsidRPr="00FB2E7F">
        <w:rPr>
          <w:rFonts w:ascii="Arial" w:eastAsia="宋体" w:hAnsi="Arial" w:cs="Arial" w:hint="eastAsia"/>
          <w:bCs/>
          <w:szCs w:val="24"/>
        </w:rPr>
        <w:t>总价款拟分两期支付。</w:t>
      </w:r>
    </w:p>
    <w:p w14:paraId="520E9FA2" w14:textId="77777777" w:rsidR="00FB2E7F" w:rsidRPr="00FB2E7F" w:rsidRDefault="00FB2E7F" w:rsidP="00FB2E7F">
      <w:pPr>
        <w:numPr>
          <w:ilvl w:val="0"/>
          <w:numId w:val="2"/>
        </w:numPr>
        <w:spacing w:afterLines="25" w:after="78" w:line="360" w:lineRule="auto"/>
        <w:rPr>
          <w:rFonts w:ascii="Arial" w:eastAsia="宋体" w:hAnsi="Arial" w:cs="Arial"/>
          <w:bCs/>
          <w:szCs w:val="24"/>
        </w:rPr>
      </w:pPr>
      <w:r w:rsidRPr="00FB2E7F">
        <w:rPr>
          <w:rFonts w:ascii="Arial" w:eastAsia="宋体" w:hAnsi="Arial" w:cs="Arial" w:hint="eastAsia"/>
          <w:bCs/>
          <w:szCs w:val="24"/>
        </w:rPr>
        <w:t>首期款：合同签订后一个月内，支付合同总价款的</w:t>
      </w:r>
      <w:r w:rsidRPr="00FB2E7F">
        <w:rPr>
          <w:rFonts w:ascii="Arial" w:eastAsia="宋体" w:hAnsi="Arial" w:cs="Arial" w:hint="eastAsia"/>
          <w:bCs/>
          <w:szCs w:val="24"/>
        </w:rPr>
        <w:t>50%</w:t>
      </w:r>
      <w:r w:rsidRPr="00FB2E7F">
        <w:rPr>
          <w:rFonts w:ascii="Arial" w:eastAsia="宋体" w:hAnsi="Arial" w:cs="Arial" w:hint="eastAsia"/>
          <w:bCs/>
          <w:szCs w:val="24"/>
        </w:rPr>
        <w:t>。</w:t>
      </w:r>
    </w:p>
    <w:p w14:paraId="160EF35B" w14:textId="77777777" w:rsidR="00FB2E7F" w:rsidRPr="00FB2E7F" w:rsidRDefault="00FB2E7F" w:rsidP="00FB2E7F">
      <w:pPr>
        <w:numPr>
          <w:ilvl w:val="0"/>
          <w:numId w:val="2"/>
        </w:numPr>
        <w:spacing w:afterLines="25" w:after="78" w:line="360" w:lineRule="auto"/>
        <w:rPr>
          <w:rFonts w:ascii="Arial" w:eastAsia="宋体" w:hAnsi="Arial" w:cs="Arial"/>
          <w:bCs/>
          <w:szCs w:val="24"/>
        </w:rPr>
      </w:pPr>
      <w:r w:rsidRPr="00FB2E7F">
        <w:rPr>
          <w:rFonts w:ascii="Arial" w:eastAsia="宋体" w:hAnsi="Arial" w:cs="Arial" w:hint="eastAsia"/>
          <w:bCs/>
          <w:szCs w:val="24"/>
        </w:rPr>
        <w:t>尾款：经甲方书面确认档案验收合格后两周内结算服务费尾款。</w:t>
      </w:r>
    </w:p>
    <w:p w14:paraId="4E848A19" w14:textId="77777777" w:rsidR="00C23187" w:rsidRPr="00FB2E7F" w:rsidRDefault="00C23187">
      <w:pPr>
        <w:spacing w:after="78"/>
        <w:rPr>
          <w:rFonts w:hint="eastAsia"/>
        </w:rPr>
      </w:pPr>
    </w:p>
    <w:sectPr w:rsidR="00C23187" w:rsidRPr="00FB2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9CB47" w14:textId="77777777" w:rsidR="00D50E36" w:rsidRDefault="00D50E36" w:rsidP="00FB2E7F">
      <w:pPr>
        <w:rPr>
          <w:rFonts w:hint="eastAsia"/>
        </w:rPr>
      </w:pPr>
      <w:r>
        <w:separator/>
      </w:r>
    </w:p>
  </w:endnote>
  <w:endnote w:type="continuationSeparator" w:id="0">
    <w:p w14:paraId="1FCB5AE7" w14:textId="77777777" w:rsidR="00D50E36" w:rsidRDefault="00D50E36" w:rsidP="00FB2E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4F6E2" w14:textId="77777777" w:rsidR="00D50E36" w:rsidRDefault="00D50E36" w:rsidP="00FB2E7F">
      <w:pPr>
        <w:rPr>
          <w:rFonts w:hint="eastAsia"/>
        </w:rPr>
      </w:pPr>
      <w:r>
        <w:separator/>
      </w:r>
    </w:p>
  </w:footnote>
  <w:footnote w:type="continuationSeparator" w:id="0">
    <w:p w14:paraId="51699574" w14:textId="77777777" w:rsidR="00D50E36" w:rsidRDefault="00D50E36" w:rsidP="00FB2E7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230CC"/>
    <w:multiLevelType w:val="singleLevel"/>
    <w:tmpl w:val="2F2230C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3DFA2C91"/>
    <w:multiLevelType w:val="singleLevel"/>
    <w:tmpl w:val="3DFA2C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69064740">
    <w:abstractNumId w:val="1"/>
  </w:num>
  <w:num w:numId="2" w16cid:durableId="200011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09"/>
    <w:rsid w:val="000C5796"/>
    <w:rsid w:val="004C64EF"/>
    <w:rsid w:val="00610BC6"/>
    <w:rsid w:val="008803B5"/>
    <w:rsid w:val="008D482E"/>
    <w:rsid w:val="00B25B09"/>
    <w:rsid w:val="00C23187"/>
    <w:rsid w:val="00D50E36"/>
    <w:rsid w:val="00F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2CB808-C7EE-4A8B-A3E4-4122E665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0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0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0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B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B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B0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25B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B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B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B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B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5B0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B2E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B2E7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B2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B2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建忠 郑</dc:creator>
  <cp:keywords/>
  <dc:description/>
  <cp:lastModifiedBy>建忠 郑</cp:lastModifiedBy>
  <cp:revision>3</cp:revision>
  <dcterms:created xsi:type="dcterms:W3CDTF">2025-09-02T07:15:00Z</dcterms:created>
  <dcterms:modified xsi:type="dcterms:W3CDTF">2025-09-02T07:23:00Z</dcterms:modified>
</cp:coreProperties>
</file>