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C7AE" w14:textId="77777777" w:rsidR="00560379" w:rsidRPr="00560379" w:rsidRDefault="00560379" w:rsidP="00560379">
      <w:pPr>
        <w:spacing w:beforeLines="50" w:before="156" w:afterLines="50" w:after="156"/>
        <w:jc w:val="center"/>
        <w:outlineLvl w:val="0"/>
        <w:rPr>
          <w:kern w:val="44"/>
          <w:sz w:val="44"/>
          <w:szCs w:val="44"/>
        </w:rPr>
      </w:pPr>
      <w:bookmarkStart w:id="0" w:name="_Toc208398539"/>
      <w:bookmarkStart w:id="1" w:name="_Toc17598"/>
      <w:r w:rsidRPr="00560379">
        <w:rPr>
          <w:rFonts w:hint="eastAsia"/>
          <w:kern w:val="44"/>
          <w:sz w:val="44"/>
          <w:szCs w:val="44"/>
        </w:rPr>
        <w:t>第六章</w:t>
      </w:r>
      <w:r w:rsidRPr="00560379">
        <w:rPr>
          <w:rFonts w:hint="eastAsia"/>
          <w:kern w:val="44"/>
          <w:sz w:val="44"/>
          <w:szCs w:val="44"/>
        </w:rPr>
        <w:t xml:space="preserve">  </w:t>
      </w:r>
      <w:r w:rsidRPr="00560379">
        <w:rPr>
          <w:rFonts w:hint="eastAsia"/>
          <w:kern w:val="44"/>
          <w:sz w:val="44"/>
          <w:szCs w:val="44"/>
        </w:rPr>
        <w:t>服务需求书</w:t>
      </w:r>
      <w:bookmarkEnd w:id="0"/>
      <w:bookmarkEnd w:id="1"/>
    </w:p>
    <w:p w14:paraId="0C063D4C" w14:textId="77777777" w:rsidR="00560379" w:rsidRPr="00560379" w:rsidRDefault="00560379" w:rsidP="00560379">
      <w:pPr>
        <w:spacing w:after="78" w:line="360" w:lineRule="auto"/>
        <w:ind w:rightChars="-30" w:right="-63" w:firstLine="426"/>
        <w:rPr>
          <w:rFonts w:ascii="宋体" w:hAnsi="宋体" w:hint="eastAsia"/>
          <w:b/>
          <w:color w:val="FF0000"/>
        </w:rPr>
      </w:pPr>
      <w:r w:rsidRPr="00560379">
        <w:rPr>
          <w:rFonts w:ascii="宋体" w:hAnsi="宋体" w:hint="eastAsia"/>
          <w:b/>
          <w:color w:val="FF0000"/>
        </w:rPr>
        <w:t>1. 带“★”项为不可负偏离项，有一项负偏离即导致投标无效。是否响应第六章服务需求书，以《服务条款偏离表》“投标文件响应”栏填写为准。</w:t>
      </w:r>
    </w:p>
    <w:p w14:paraId="666A5357" w14:textId="77777777" w:rsidR="00560379" w:rsidRPr="00560379" w:rsidRDefault="00560379" w:rsidP="00560379">
      <w:pPr>
        <w:spacing w:after="78" w:line="360" w:lineRule="auto"/>
        <w:ind w:rightChars="-30" w:right="-63" w:firstLine="426"/>
        <w:rPr>
          <w:rFonts w:ascii="宋体" w:hAnsi="宋体" w:hint="eastAsia"/>
          <w:b/>
          <w:color w:val="FF0000"/>
        </w:rPr>
      </w:pPr>
      <w:r w:rsidRPr="00560379">
        <w:rPr>
          <w:rFonts w:ascii="宋体" w:hAnsi="宋体" w:hint="eastAsia"/>
          <w:b/>
          <w:color w:val="FF0000"/>
        </w:rPr>
        <w:t>2.如投标人中标后被发现不能满足</w:t>
      </w:r>
      <w:proofErr w:type="gramStart"/>
      <w:r w:rsidRPr="00560379">
        <w:rPr>
          <w:rFonts w:ascii="宋体" w:hAnsi="宋体" w:hint="eastAsia"/>
          <w:b/>
          <w:color w:val="FF0000"/>
        </w:rPr>
        <w:t>本章带</w:t>
      </w:r>
      <w:proofErr w:type="gramEnd"/>
      <w:r w:rsidRPr="00560379">
        <w:rPr>
          <w:rFonts w:ascii="宋体" w:hAnsi="宋体" w:hint="eastAsia"/>
          <w:b/>
          <w:color w:val="FF0000"/>
        </w:rPr>
        <w:t>★号条款要求的，采购单位有权拒绝签订合同，一切后果由投标人承担。</w:t>
      </w:r>
    </w:p>
    <w:p w14:paraId="180C1C6E" w14:textId="77777777" w:rsidR="00560379" w:rsidRPr="00560379" w:rsidRDefault="00560379" w:rsidP="00560379">
      <w:pPr>
        <w:spacing w:afterLines="0" w:line="360" w:lineRule="auto"/>
        <w:rPr>
          <w:rFonts w:cs="Arial"/>
          <w:bCs/>
        </w:rPr>
      </w:pPr>
    </w:p>
    <w:p w14:paraId="23AB6A0D"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一、项目基本信息</w:t>
      </w:r>
    </w:p>
    <w:p w14:paraId="02103025"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深圳市宝安区青少年宫（以下简称“宝安青少年宫”）于2018年正式启用，占地面积2.29万平米，建筑面积3.5万平米。为充分发挥中心场馆效能，提升服务专业化、市场化运营水平，激发空间活力，现计划将宝安青少年</w:t>
      </w:r>
      <w:proofErr w:type="gramStart"/>
      <w:r w:rsidRPr="00560379">
        <w:rPr>
          <w:rFonts w:ascii="宋体" w:hAnsi="宋体" w:cs="宋体" w:hint="eastAsia"/>
          <w:szCs w:val="21"/>
        </w:rPr>
        <w:t>宫部分</w:t>
      </w:r>
      <w:proofErr w:type="gramEnd"/>
      <w:r w:rsidRPr="00560379">
        <w:rPr>
          <w:rFonts w:ascii="宋体" w:hAnsi="宋体" w:cs="宋体" w:hint="eastAsia"/>
          <w:szCs w:val="21"/>
        </w:rPr>
        <w:t>空间引进专业机构进行合作运营。本次参与招投标的空间为负一楼004室、005室、三楼318室，区域建筑总面积为3833.35平方米；运营内容分别为VR体验空间、科技运动馆及未来探索者科技馆项目。本项目采取公开招标的方式遴选出符合宝安青少年</w:t>
      </w:r>
      <w:proofErr w:type="gramStart"/>
      <w:r w:rsidRPr="00560379">
        <w:rPr>
          <w:rFonts w:ascii="宋体" w:hAnsi="宋体" w:cs="宋体" w:hint="eastAsia"/>
          <w:szCs w:val="21"/>
        </w:rPr>
        <w:t>宫发展</w:t>
      </w:r>
      <w:proofErr w:type="gramEnd"/>
      <w:r w:rsidRPr="00560379">
        <w:rPr>
          <w:rFonts w:ascii="宋体" w:hAnsi="宋体" w:cs="宋体" w:hint="eastAsia"/>
          <w:szCs w:val="21"/>
        </w:rPr>
        <w:t>方向的运营机构，引进优质运营团队及合作项目，提供创新性强、科技含量高、互动体验佳的特色内容与服务，满足青少年多元化成长需求，着力建设宝安区青少年科技体验与创新实践示范基地。</w:t>
      </w:r>
    </w:p>
    <w:p w14:paraId="4213B07E"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二、项目定位</w:t>
      </w:r>
    </w:p>
    <w:p w14:paraId="08669C55"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宝安青少年宫是有目的、有计划实施“为党育人、为国育才”的专门场所，以全面培养青少年的思想道德、科学文化、艺术素养、身心健康、创新能力和实践精神为运营目标，打造</w:t>
      </w:r>
      <w:proofErr w:type="gramStart"/>
      <w:r w:rsidRPr="00560379">
        <w:rPr>
          <w:rFonts w:ascii="宋体" w:hAnsi="宋体" w:cs="宋体" w:hint="eastAsia"/>
          <w:szCs w:val="21"/>
        </w:rPr>
        <w:t>融思政</w:t>
      </w:r>
      <w:proofErr w:type="gramEnd"/>
      <w:r w:rsidRPr="00560379">
        <w:rPr>
          <w:rFonts w:ascii="宋体" w:hAnsi="宋体" w:cs="宋体" w:hint="eastAsia"/>
          <w:szCs w:val="21"/>
        </w:rPr>
        <w:t>教育、艺术教育、科技创新、体能体育、</w:t>
      </w:r>
      <w:proofErr w:type="gramStart"/>
      <w:r w:rsidRPr="00560379">
        <w:rPr>
          <w:rFonts w:ascii="宋体" w:hAnsi="宋体" w:cs="宋体" w:hint="eastAsia"/>
          <w:szCs w:val="21"/>
        </w:rPr>
        <w:t>劳</w:t>
      </w:r>
      <w:proofErr w:type="gramEnd"/>
      <w:r w:rsidRPr="00560379">
        <w:rPr>
          <w:rFonts w:ascii="宋体" w:hAnsi="宋体" w:cs="宋体" w:hint="eastAsia"/>
          <w:szCs w:val="21"/>
        </w:rPr>
        <w:t>技教育和实践活动于一体的校外教育基地。</w:t>
      </w:r>
    </w:p>
    <w:p w14:paraId="63882917"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三、运营项目场地、分类及区域设置</w:t>
      </w:r>
    </w:p>
    <w:p w14:paraId="799D4ABE"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3.1 招标人交付的运营场地中负一楼004室、005室已完成基础硬装，三楼318室为毛坯状态。投标人需投入资金自行装修并采购符合国家标准的科技体验设备、沉浸式交互设备、辅助设施及安全防护装备；承担运营场地水电费和保底收入;承担因国家政策发展规划的影响、招标人上级政府单位征用本项目场地、招标人依据青少年</w:t>
      </w:r>
      <w:proofErr w:type="gramStart"/>
      <w:r w:rsidRPr="00560379">
        <w:rPr>
          <w:rFonts w:ascii="宋体" w:hAnsi="宋体" w:cs="宋体" w:hint="eastAsia"/>
          <w:szCs w:val="21"/>
        </w:rPr>
        <w:t>宫整体</w:t>
      </w:r>
      <w:proofErr w:type="gramEnd"/>
      <w:r w:rsidRPr="00560379">
        <w:rPr>
          <w:rFonts w:ascii="宋体" w:hAnsi="宋体" w:cs="宋体" w:hint="eastAsia"/>
          <w:szCs w:val="21"/>
        </w:rPr>
        <w:t>规划更改本项目场地用途及自然灾害等不可抗力因素，提前终止合作的风险。</w:t>
      </w:r>
    </w:p>
    <w:p w14:paraId="224950BD"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3.2 宝安青少年宫本次用于招投标的空间运营项目为科技体验类项目。</w:t>
      </w:r>
    </w:p>
    <w:p w14:paraId="71AB23EC"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lastRenderedPageBreak/>
        <w:t>各项</w:t>
      </w:r>
      <w:proofErr w:type="gramStart"/>
      <w:r w:rsidRPr="00560379">
        <w:rPr>
          <w:rFonts w:ascii="宋体" w:hAnsi="宋体" w:cs="宋体" w:hint="eastAsia"/>
          <w:szCs w:val="21"/>
        </w:rPr>
        <w:t>目空间</w:t>
      </w:r>
      <w:proofErr w:type="gramEnd"/>
      <w:r w:rsidRPr="00560379">
        <w:rPr>
          <w:rFonts w:ascii="宋体" w:hAnsi="宋体" w:cs="宋体" w:hint="eastAsia"/>
          <w:szCs w:val="21"/>
        </w:rPr>
        <w:t>配置详见下列表格。</w:t>
      </w:r>
    </w:p>
    <w:tbl>
      <w:tblPr>
        <w:tblStyle w:val="af6"/>
        <w:tblW w:w="4998" w:type="pct"/>
        <w:tblLook w:val="04A0" w:firstRow="1" w:lastRow="0" w:firstColumn="1" w:lastColumn="0" w:noHBand="0" w:noVBand="1"/>
      </w:tblPr>
      <w:tblGrid>
        <w:gridCol w:w="2830"/>
        <w:gridCol w:w="1501"/>
        <w:gridCol w:w="1635"/>
        <w:gridCol w:w="2327"/>
      </w:tblGrid>
      <w:tr w:rsidR="00560379" w:rsidRPr="00560379" w14:paraId="17A5104C" w14:textId="77777777" w:rsidTr="00D32480">
        <w:tc>
          <w:tcPr>
            <w:tcW w:w="1705" w:type="pct"/>
            <w:vAlign w:val="center"/>
          </w:tcPr>
          <w:p w14:paraId="4D8DF697"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开展项目</w:t>
            </w:r>
          </w:p>
        </w:tc>
        <w:tc>
          <w:tcPr>
            <w:tcW w:w="905" w:type="pct"/>
            <w:vAlign w:val="center"/>
          </w:tcPr>
          <w:p w14:paraId="5A39E163"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门牌号</w:t>
            </w:r>
          </w:p>
        </w:tc>
        <w:tc>
          <w:tcPr>
            <w:tcW w:w="986" w:type="pct"/>
            <w:vAlign w:val="center"/>
          </w:tcPr>
          <w:p w14:paraId="79886755"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建筑面积</w:t>
            </w:r>
          </w:p>
          <w:p w14:paraId="00F115F4"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（平米）</w:t>
            </w:r>
          </w:p>
        </w:tc>
        <w:tc>
          <w:tcPr>
            <w:tcW w:w="1402" w:type="pct"/>
            <w:vAlign w:val="center"/>
          </w:tcPr>
          <w:p w14:paraId="3BE3DEAC"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预估年最大</w:t>
            </w:r>
          </w:p>
          <w:p w14:paraId="2FE24CB2"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客流（人）</w:t>
            </w:r>
          </w:p>
        </w:tc>
      </w:tr>
      <w:tr w:rsidR="00560379" w:rsidRPr="00560379" w14:paraId="0230202B" w14:textId="77777777" w:rsidTr="00D32480">
        <w:trPr>
          <w:trHeight w:val="534"/>
        </w:trPr>
        <w:tc>
          <w:tcPr>
            <w:tcW w:w="1705" w:type="pct"/>
            <w:vAlign w:val="center"/>
          </w:tcPr>
          <w:p w14:paraId="326EFFF6"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VR体验空间</w:t>
            </w:r>
          </w:p>
        </w:tc>
        <w:tc>
          <w:tcPr>
            <w:tcW w:w="905" w:type="pct"/>
            <w:vAlign w:val="center"/>
          </w:tcPr>
          <w:p w14:paraId="675E5DBA"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004</w:t>
            </w:r>
          </w:p>
        </w:tc>
        <w:tc>
          <w:tcPr>
            <w:tcW w:w="986" w:type="pct"/>
            <w:vAlign w:val="center"/>
          </w:tcPr>
          <w:p w14:paraId="2A3E8ED9"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470.44</w:t>
            </w:r>
          </w:p>
        </w:tc>
        <w:tc>
          <w:tcPr>
            <w:tcW w:w="1402" w:type="pct"/>
            <w:vAlign w:val="center"/>
          </w:tcPr>
          <w:p w14:paraId="3CFAF259"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31300</w:t>
            </w:r>
          </w:p>
        </w:tc>
      </w:tr>
      <w:tr w:rsidR="00560379" w:rsidRPr="00560379" w14:paraId="7DA0837F" w14:textId="77777777" w:rsidTr="00D32480">
        <w:tc>
          <w:tcPr>
            <w:tcW w:w="1705" w:type="pct"/>
            <w:vAlign w:val="center"/>
          </w:tcPr>
          <w:p w14:paraId="0B4ED150"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科技运动馆</w:t>
            </w:r>
          </w:p>
        </w:tc>
        <w:tc>
          <w:tcPr>
            <w:tcW w:w="905" w:type="pct"/>
            <w:vAlign w:val="center"/>
          </w:tcPr>
          <w:p w14:paraId="69C0ACAD"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005</w:t>
            </w:r>
          </w:p>
        </w:tc>
        <w:tc>
          <w:tcPr>
            <w:tcW w:w="986" w:type="pct"/>
            <w:vAlign w:val="center"/>
          </w:tcPr>
          <w:p w14:paraId="1FAD45AD"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1369.23</w:t>
            </w:r>
          </w:p>
        </w:tc>
        <w:tc>
          <w:tcPr>
            <w:tcW w:w="1402" w:type="pct"/>
            <w:vAlign w:val="center"/>
          </w:tcPr>
          <w:p w14:paraId="5556CA6C"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46950</w:t>
            </w:r>
          </w:p>
        </w:tc>
      </w:tr>
      <w:tr w:rsidR="00560379" w:rsidRPr="00560379" w14:paraId="45A43D2B" w14:textId="77777777" w:rsidTr="00D32480">
        <w:tc>
          <w:tcPr>
            <w:tcW w:w="1705" w:type="pct"/>
            <w:vAlign w:val="center"/>
          </w:tcPr>
          <w:p w14:paraId="11E19F6B"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未来探索者科技馆</w:t>
            </w:r>
          </w:p>
        </w:tc>
        <w:tc>
          <w:tcPr>
            <w:tcW w:w="905" w:type="pct"/>
            <w:vAlign w:val="center"/>
          </w:tcPr>
          <w:p w14:paraId="17AD7E27"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318</w:t>
            </w:r>
          </w:p>
        </w:tc>
        <w:tc>
          <w:tcPr>
            <w:tcW w:w="986" w:type="pct"/>
            <w:vAlign w:val="center"/>
          </w:tcPr>
          <w:p w14:paraId="75CD4D12"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1993.68</w:t>
            </w:r>
          </w:p>
        </w:tc>
        <w:tc>
          <w:tcPr>
            <w:tcW w:w="1402" w:type="pct"/>
            <w:vAlign w:val="center"/>
          </w:tcPr>
          <w:p w14:paraId="6012A080"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46950</w:t>
            </w:r>
          </w:p>
        </w:tc>
      </w:tr>
    </w:tbl>
    <w:p w14:paraId="48CB7F53"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3.3 VR体验空间主要面向青少年打造沉浸式交互场景，提供科普教育、传统文化等主题场景的互动体验；科技运动馆以“科技+运动”为主题，为青少年提供前沿的运动体验；未来探索者科技馆主要为面向青少年提供的含光影交互、AR体验、机器人互动等多种技术于一体的青少年科技互动空间。</w:t>
      </w:r>
    </w:p>
    <w:p w14:paraId="41E071C9"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3.4 中标方关于本项目的落地方案、开设内容及运营模式需提前一个月提交宝安青少年宫审批，按照宝安青少年宫的定位，开设符合青少年儿童身心发展需求和宝安青少年</w:t>
      </w:r>
      <w:proofErr w:type="gramStart"/>
      <w:r w:rsidRPr="00560379">
        <w:rPr>
          <w:rFonts w:ascii="宋体" w:hAnsi="宋体" w:cs="宋体" w:hint="eastAsia"/>
          <w:szCs w:val="21"/>
        </w:rPr>
        <w:t>宫项目</w:t>
      </w:r>
      <w:proofErr w:type="gramEnd"/>
      <w:r w:rsidRPr="00560379">
        <w:rPr>
          <w:rFonts w:ascii="宋体" w:hAnsi="宋体" w:cs="宋体" w:hint="eastAsia"/>
          <w:szCs w:val="21"/>
        </w:rPr>
        <w:t>定位的科技体验类项目。</w:t>
      </w:r>
    </w:p>
    <w:p w14:paraId="5A7A15AB"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四、项目开放时间及运营安排</w:t>
      </w:r>
    </w:p>
    <w:p w14:paraId="189E1F4F"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4.1 项目开放时间主要设置在周二至周日，可依据实际情况增设短期体验活动、主题</w:t>
      </w:r>
      <w:proofErr w:type="gramStart"/>
      <w:r w:rsidRPr="00560379">
        <w:rPr>
          <w:rFonts w:ascii="宋体" w:hAnsi="宋体" w:cs="宋体" w:hint="eastAsia"/>
          <w:szCs w:val="21"/>
        </w:rPr>
        <w:t>研</w:t>
      </w:r>
      <w:proofErr w:type="gramEnd"/>
      <w:r w:rsidRPr="00560379">
        <w:rPr>
          <w:rFonts w:ascii="宋体" w:hAnsi="宋体" w:cs="宋体" w:hint="eastAsia"/>
          <w:szCs w:val="21"/>
        </w:rPr>
        <w:t>学活动等。</w:t>
      </w:r>
    </w:p>
    <w:p w14:paraId="0523D98B"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项目开放时间如下：</w:t>
      </w:r>
    </w:p>
    <w:p w14:paraId="4B5D53AE"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周一闭馆</w:t>
      </w:r>
    </w:p>
    <w:p w14:paraId="56601E2A"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周二至周五: 1</w:t>
      </w:r>
      <w:r w:rsidRPr="00560379">
        <w:rPr>
          <w:rFonts w:ascii="宋体" w:hAnsi="宋体" w:cs="宋体"/>
          <w:szCs w:val="21"/>
        </w:rPr>
        <w:t>1</w:t>
      </w:r>
      <w:r w:rsidRPr="00560379">
        <w:rPr>
          <w:rFonts w:ascii="宋体" w:hAnsi="宋体" w:cs="宋体" w:hint="eastAsia"/>
          <w:szCs w:val="21"/>
        </w:rPr>
        <w:t>:00-</w:t>
      </w:r>
      <w:r w:rsidRPr="00560379">
        <w:rPr>
          <w:rFonts w:ascii="宋体" w:hAnsi="宋体" w:cs="宋体"/>
          <w:szCs w:val="21"/>
        </w:rPr>
        <w:t>20</w:t>
      </w:r>
      <w:r w:rsidRPr="00560379">
        <w:rPr>
          <w:rFonts w:ascii="宋体" w:hAnsi="宋体" w:cs="宋体" w:hint="eastAsia"/>
          <w:szCs w:val="21"/>
        </w:rPr>
        <w:t>:30</w:t>
      </w:r>
    </w:p>
    <w:p w14:paraId="407216F0"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周六至周日: 09:00-20:30</w:t>
      </w:r>
    </w:p>
    <w:p w14:paraId="73E6BB51"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4.2 中标方因错峰管理、场馆运维、运营需求等实际情况确需调整的，可经宝安青少年宫审核同意后，适当调整场馆开放时间安排，但不得违反相关政策文件的规定或私自更改。</w:t>
      </w:r>
    </w:p>
    <w:p w14:paraId="75AD1339"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4.3 宝安青少年宫可对</w:t>
      </w:r>
      <w:proofErr w:type="gramStart"/>
      <w:r w:rsidRPr="00560379">
        <w:rPr>
          <w:rFonts w:ascii="宋体" w:hAnsi="宋体" w:cs="宋体" w:hint="eastAsia"/>
          <w:szCs w:val="21"/>
        </w:rPr>
        <w:t>场馆未</w:t>
      </w:r>
      <w:proofErr w:type="gramEnd"/>
      <w:r w:rsidRPr="00560379">
        <w:rPr>
          <w:rFonts w:ascii="宋体" w:hAnsi="宋体" w:cs="宋体" w:hint="eastAsia"/>
          <w:szCs w:val="21"/>
        </w:rPr>
        <w:t>运营的时段进行统筹调配使用。</w:t>
      </w:r>
    </w:p>
    <w:p w14:paraId="0BC77B34"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五、场馆项目收费标准</w:t>
      </w:r>
    </w:p>
    <w:tbl>
      <w:tblPr>
        <w:tblStyle w:val="af6"/>
        <w:tblW w:w="4997" w:type="pct"/>
        <w:jc w:val="center"/>
        <w:tblLook w:val="04A0" w:firstRow="1" w:lastRow="0" w:firstColumn="1" w:lastColumn="0" w:noHBand="0" w:noVBand="1"/>
      </w:tblPr>
      <w:tblGrid>
        <w:gridCol w:w="3386"/>
        <w:gridCol w:w="4905"/>
      </w:tblGrid>
      <w:tr w:rsidR="00560379" w:rsidRPr="00560379" w14:paraId="3858C056" w14:textId="77777777" w:rsidTr="00D32480">
        <w:trPr>
          <w:trHeight w:val="863"/>
          <w:jc w:val="center"/>
        </w:trPr>
        <w:tc>
          <w:tcPr>
            <w:tcW w:w="2042" w:type="pct"/>
            <w:vAlign w:val="center"/>
          </w:tcPr>
          <w:p w14:paraId="7ECE395A"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合作项目</w:t>
            </w:r>
          </w:p>
        </w:tc>
        <w:tc>
          <w:tcPr>
            <w:tcW w:w="2957" w:type="pct"/>
            <w:vAlign w:val="center"/>
          </w:tcPr>
          <w:p w14:paraId="487B2C21" w14:textId="77777777" w:rsidR="00560379" w:rsidRPr="00560379" w:rsidRDefault="00560379" w:rsidP="00560379">
            <w:pPr>
              <w:spacing w:after="78" w:line="360" w:lineRule="auto"/>
              <w:jc w:val="center"/>
              <w:rPr>
                <w:rFonts w:ascii="宋体" w:hAnsi="宋体" w:cs="宋体" w:hint="eastAsia"/>
                <w:b/>
                <w:bCs/>
                <w:szCs w:val="21"/>
              </w:rPr>
            </w:pPr>
            <w:r w:rsidRPr="00560379">
              <w:rPr>
                <w:rFonts w:ascii="宋体" w:hAnsi="宋体" w:cs="宋体" w:hint="eastAsia"/>
                <w:b/>
                <w:bCs/>
                <w:szCs w:val="21"/>
              </w:rPr>
              <w:t>项目体验费用</w:t>
            </w:r>
          </w:p>
        </w:tc>
      </w:tr>
      <w:tr w:rsidR="00560379" w:rsidRPr="00560379" w14:paraId="25F36E77" w14:textId="77777777" w:rsidTr="00D32480">
        <w:trPr>
          <w:trHeight w:val="846"/>
          <w:jc w:val="center"/>
        </w:trPr>
        <w:tc>
          <w:tcPr>
            <w:tcW w:w="2042" w:type="pct"/>
            <w:vAlign w:val="center"/>
          </w:tcPr>
          <w:p w14:paraId="3FD76E9F"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lastRenderedPageBreak/>
              <w:t>VR体验空间</w:t>
            </w:r>
          </w:p>
        </w:tc>
        <w:tc>
          <w:tcPr>
            <w:tcW w:w="2957" w:type="pct"/>
            <w:vAlign w:val="center"/>
          </w:tcPr>
          <w:p w14:paraId="46BB9943"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110-150元/人</w:t>
            </w:r>
          </w:p>
        </w:tc>
      </w:tr>
      <w:tr w:rsidR="00560379" w:rsidRPr="00560379" w14:paraId="7BE3BC80" w14:textId="77777777" w:rsidTr="00D32480">
        <w:trPr>
          <w:trHeight w:val="846"/>
          <w:jc w:val="center"/>
        </w:trPr>
        <w:tc>
          <w:tcPr>
            <w:tcW w:w="2042" w:type="pct"/>
            <w:vAlign w:val="center"/>
          </w:tcPr>
          <w:p w14:paraId="06E19DE1"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科技运动馆</w:t>
            </w:r>
          </w:p>
        </w:tc>
        <w:tc>
          <w:tcPr>
            <w:tcW w:w="2957" w:type="pct"/>
            <w:vAlign w:val="center"/>
          </w:tcPr>
          <w:p w14:paraId="187281A1"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60-80元/人</w:t>
            </w:r>
          </w:p>
        </w:tc>
      </w:tr>
      <w:tr w:rsidR="00560379" w:rsidRPr="00560379" w14:paraId="0F5DE7A7" w14:textId="77777777" w:rsidTr="00D32480">
        <w:trPr>
          <w:trHeight w:val="846"/>
          <w:jc w:val="center"/>
        </w:trPr>
        <w:tc>
          <w:tcPr>
            <w:tcW w:w="2042" w:type="pct"/>
            <w:vAlign w:val="center"/>
          </w:tcPr>
          <w:p w14:paraId="6AC3717C"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未来探索者科技馆</w:t>
            </w:r>
          </w:p>
        </w:tc>
        <w:tc>
          <w:tcPr>
            <w:tcW w:w="2957" w:type="pct"/>
            <w:vAlign w:val="center"/>
          </w:tcPr>
          <w:p w14:paraId="66E58CF8" w14:textId="77777777" w:rsidR="00560379" w:rsidRPr="00560379" w:rsidRDefault="00560379" w:rsidP="00560379">
            <w:pPr>
              <w:spacing w:after="78" w:line="360" w:lineRule="auto"/>
              <w:jc w:val="center"/>
              <w:rPr>
                <w:rFonts w:ascii="宋体" w:hAnsi="宋体" w:cs="宋体" w:hint="eastAsia"/>
                <w:szCs w:val="21"/>
              </w:rPr>
            </w:pPr>
            <w:r w:rsidRPr="00560379">
              <w:rPr>
                <w:rFonts w:ascii="宋体" w:hAnsi="宋体" w:cs="宋体" w:hint="eastAsia"/>
                <w:szCs w:val="21"/>
              </w:rPr>
              <w:t>130-170元/人</w:t>
            </w:r>
          </w:p>
        </w:tc>
      </w:tr>
    </w:tbl>
    <w:p w14:paraId="208CB82E"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宝安青少年宫可根据体验人数、设备维护成本、服务质量、市场价格等客观因素动态调整运营项目个别单项收费标准。</w:t>
      </w:r>
    </w:p>
    <w:p w14:paraId="51826D44" w14:textId="77777777" w:rsidR="00560379" w:rsidRPr="00560379" w:rsidRDefault="00560379" w:rsidP="00560379">
      <w:pPr>
        <w:spacing w:after="78" w:line="360" w:lineRule="auto"/>
        <w:ind w:firstLineChars="200" w:firstLine="420"/>
        <w:rPr>
          <w:rFonts w:ascii="宋体" w:hAnsi="宋体" w:cs="宋体" w:hint="eastAsia"/>
          <w:b/>
          <w:bCs/>
          <w:szCs w:val="21"/>
        </w:rPr>
      </w:pPr>
      <w:r w:rsidRPr="00560379">
        <w:rPr>
          <w:rFonts w:ascii="宋体" w:hAnsi="宋体" w:cs="宋体" w:hint="eastAsia"/>
          <w:szCs w:val="21"/>
        </w:rPr>
        <w:t>六、公益指标</w:t>
      </w:r>
    </w:p>
    <w:p w14:paraId="13A69828"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6.1 项目需根据招标人需求设置一定的公益名额或设置一定的公益体验空间，中标人需按要求予以支持和配合。</w:t>
      </w:r>
    </w:p>
    <w:p w14:paraId="7927F0D3"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七、合作分成</w:t>
      </w:r>
    </w:p>
    <w:p w14:paraId="0C4EB4A2"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7.1 招标人本着共同育人、共享资源的愿景，通过公开招标的方式引入社会优秀机构合作开展合作运营工作，本项目采取合作分成模式，合理分配运营、活动收益。</w:t>
      </w:r>
    </w:p>
    <w:p w14:paraId="42746692"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7.2 运营分成比例是指运营收费总和中分配给招标人和投标人的百分比。本包中VR体验空间项目投标人</w:t>
      </w:r>
      <w:proofErr w:type="gramStart"/>
      <w:r w:rsidRPr="00560379">
        <w:rPr>
          <w:rFonts w:ascii="宋体" w:hAnsi="宋体" w:cs="宋体" w:hint="eastAsia"/>
          <w:szCs w:val="21"/>
        </w:rPr>
        <w:t>承诺分</w:t>
      </w:r>
      <w:proofErr w:type="gramEnd"/>
      <w:r w:rsidRPr="00560379">
        <w:rPr>
          <w:rFonts w:ascii="宋体" w:hAnsi="宋体" w:cs="宋体" w:hint="eastAsia"/>
          <w:szCs w:val="21"/>
        </w:rPr>
        <w:t>配给招标人的分成比例不低于10%；科技运动馆及未来探索者科技馆项目投标人</w:t>
      </w:r>
      <w:proofErr w:type="gramStart"/>
      <w:r w:rsidRPr="00560379">
        <w:rPr>
          <w:rFonts w:ascii="宋体" w:hAnsi="宋体" w:cs="宋体" w:hint="eastAsia"/>
          <w:szCs w:val="21"/>
        </w:rPr>
        <w:t>承诺分</w:t>
      </w:r>
      <w:proofErr w:type="gramEnd"/>
      <w:r w:rsidRPr="00560379">
        <w:rPr>
          <w:rFonts w:ascii="宋体" w:hAnsi="宋体" w:cs="宋体" w:hint="eastAsia"/>
          <w:szCs w:val="21"/>
        </w:rPr>
        <w:t>配给招标人的分成比例不低于30%，否则将作无效投标处理。</w:t>
      </w:r>
    </w:p>
    <w:p w14:paraId="068FBFF7"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7.3 分成收入是指招标人和投标人根据消费体验人数按照约定分成比例对合作项目体验收费进行分配后的所得收入。计算公式如下：分成收入=项目体验人数×消费体验金额×分成比例。</w:t>
      </w:r>
    </w:p>
    <w:p w14:paraId="53C420CD"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7.4 中标人每年向招标人缴纳使用空间场地水电费，本项目涵盖三个空间（004、005、318）</w:t>
      </w:r>
      <w:r w:rsidRPr="00560379">
        <w:rPr>
          <w:rFonts w:ascii="宋体" w:hAnsi="宋体" w:cs="宋体" w:hint="eastAsia"/>
          <w:szCs w:val="21"/>
          <w:lang w:val="en"/>
        </w:rPr>
        <w:t>，</w:t>
      </w:r>
      <w:r w:rsidRPr="00560379">
        <w:rPr>
          <w:rFonts w:ascii="宋体" w:hAnsi="宋体" w:cs="宋体" w:hint="eastAsia"/>
          <w:szCs w:val="21"/>
        </w:rPr>
        <w:t>定期从结算款中扣除。</w:t>
      </w:r>
    </w:p>
    <w:p w14:paraId="262B298C"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7.5 合作项目设立保底营收，计算方法：合作运营空间预计最大营收（按场地预估最大客流、收费标准及运营时间测算）X30%。保底收益为保底营收X各项目分成比例。本项目预计最大营收为1439.8万元/年，本项目投标人</w:t>
      </w:r>
      <w:proofErr w:type="gramStart"/>
      <w:r w:rsidRPr="00560379">
        <w:rPr>
          <w:rFonts w:ascii="宋体" w:hAnsi="宋体" w:cs="宋体" w:hint="eastAsia"/>
          <w:szCs w:val="21"/>
        </w:rPr>
        <w:t>承诺分</w:t>
      </w:r>
      <w:proofErr w:type="gramEnd"/>
      <w:r w:rsidRPr="00560379">
        <w:rPr>
          <w:rFonts w:ascii="宋体" w:hAnsi="宋体" w:cs="宋体" w:hint="eastAsia"/>
          <w:szCs w:val="21"/>
        </w:rPr>
        <w:t>配给招标人的保底收益为105.168</w:t>
      </w:r>
      <w:r w:rsidRPr="00560379">
        <w:rPr>
          <w:rFonts w:ascii="宋体" w:hAnsi="宋体" w:cs="宋体" w:hint="eastAsia"/>
          <w:szCs w:val="21"/>
          <w:lang w:val="en"/>
        </w:rPr>
        <w:t>万元</w:t>
      </w:r>
      <w:r w:rsidRPr="00560379">
        <w:rPr>
          <w:rFonts w:ascii="宋体" w:hAnsi="宋体" w:cs="宋体" w:hint="eastAsia"/>
          <w:szCs w:val="21"/>
        </w:rPr>
        <w:t>/年</w:t>
      </w:r>
      <w:r w:rsidRPr="00560379">
        <w:rPr>
          <w:rFonts w:ascii="宋体" w:hAnsi="宋体" w:cs="宋体" w:hint="eastAsia"/>
          <w:szCs w:val="21"/>
          <w:lang w:val="en"/>
        </w:rPr>
        <w:t>。本项目考虑到部分空间（005）不能在中标后立即交付，且需预留时间用于方案深化设计、施工装修及试运营，保底收益起算时间为双方签订合同之日起的5个月后（保底收益起算时间之前的营业收入按分成比例正常分成）。合同结束时，不足一整年保底收益期间的，则该期间的保底收益以实际履约期限占年度期限对应的比例折算。未完成招标人保底收益金</w:t>
      </w:r>
      <w:r w:rsidRPr="00560379">
        <w:rPr>
          <w:rFonts w:ascii="宋体" w:hAnsi="宋体" w:cs="宋体" w:hint="eastAsia"/>
          <w:szCs w:val="21"/>
          <w:lang w:val="en"/>
        </w:rPr>
        <w:lastRenderedPageBreak/>
        <w:t>额部分，由中标人补足，招标人可从分成给中标人的收入中扣收。</w:t>
      </w:r>
      <w:r w:rsidRPr="00560379">
        <w:rPr>
          <w:rFonts w:ascii="宋体" w:hAnsi="宋体" w:cs="宋体" w:hint="eastAsia"/>
          <w:szCs w:val="21"/>
        </w:rPr>
        <w:t>如遇疫情或其他不可抗力因素对项目营</w:t>
      </w:r>
      <w:proofErr w:type="gramStart"/>
      <w:r w:rsidRPr="00560379">
        <w:rPr>
          <w:rFonts w:ascii="宋体" w:hAnsi="宋体" w:cs="宋体" w:hint="eastAsia"/>
          <w:szCs w:val="21"/>
        </w:rPr>
        <w:t>收产生</w:t>
      </w:r>
      <w:proofErr w:type="gramEnd"/>
      <w:r w:rsidRPr="00560379">
        <w:rPr>
          <w:rFonts w:ascii="宋体" w:hAnsi="宋体" w:cs="宋体" w:hint="eastAsia"/>
          <w:szCs w:val="21"/>
        </w:rPr>
        <w:t>实质重大影响的，本条款双方协商调整。</w:t>
      </w:r>
    </w:p>
    <w:p w14:paraId="60E5A7DD"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八、财务监管</w:t>
      </w:r>
    </w:p>
    <w:p w14:paraId="6565B87A"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8.1 为确保财务安全，本项目中标人须缴纳履约保证金：科技体验</w:t>
      </w:r>
      <w:r w:rsidRPr="00560379">
        <w:rPr>
          <w:rFonts w:ascii="宋体" w:hAnsi="宋体" w:cs="宋体" w:hint="eastAsia"/>
          <w:szCs w:val="21"/>
          <w:lang w:val="en"/>
        </w:rPr>
        <w:t>类项目</w:t>
      </w:r>
      <w:r w:rsidRPr="00560379">
        <w:rPr>
          <w:rFonts w:ascii="宋体" w:hAnsi="宋体" w:cs="宋体" w:hint="eastAsia"/>
          <w:szCs w:val="21"/>
        </w:rPr>
        <w:t>履约保证金30万</w:t>
      </w:r>
      <w:r w:rsidRPr="00560379">
        <w:rPr>
          <w:rFonts w:ascii="宋体" w:hAnsi="宋体" w:cs="宋体" w:hint="eastAsia"/>
          <w:szCs w:val="21"/>
          <w:lang w:val="en"/>
        </w:rPr>
        <w:t>元，</w:t>
      </w:r>
      <w:r w:rsidRPr="00560379">
        <w:rPr>
          <w:rFonts w:ascii="宋体" w:hAnsi="宋体" w:cs="宋体" w:hint="eastAsia"/>
          <w:szCs w:val="21"/>
        </w:rPr>
        <w:t>履约保证金于中标合同签署后10个工作日内转入招标人指定账户，未按时足额缴纳履约保证金的视为违约，合同自动失效。</w:t>
      </w:r>
    </w:p>
    <w:p w14:paraId="0A630F71"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8.2 中标人遵守招标人统一收费管理，由招标人负责汇总统计项目体验消费费用，并将收费情况向中标人进行通报确认。除招标人审核通过的体验收费项目外，中标人不得另立名目，额外收取体验者任何费用，否则按违约处理。</w:t>
      </w:r>
    </w:p>
    <w:p w14:paraId="155423D7"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九、合作期限</w:t>
      </w:r>
    </w:p>
    <w:p w14:paraId="57EFB503"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9.1 项目合作期限暂定为2025年9月24日至2028年9月23日（具体起止时间根据正式签约时间而定）。</w:t>
      </w:r>
    </w:p>
    <w:p w14:paraId="22001FFD"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9.2 项目合作期满后，招标人可根据中标人履约考核情况，确定是否续签，合同续签最终解释权归招标人所有。</w:t>
      </w:r>
    </w:p>
    <w:p w14:paraId="79D7F5F6"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9.3 项目合同因下列原因可变更、提前终止：</w:t>
      </w:r>
    </w:p>
    <w:p w14:paraId="6D03E263"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（1）如受政策影响招标人归属</w:t>
      </w:r>
      <w:proofErr w:type="gramStart"/>
      <w:r w:rsidRPr="00560379">
        <w:rPr>
          <w:rFonts w:ascii="宋体" w:hAnsi="宋体" w:cs="宋体" w:hint="eastAsia"/>
          <w:szCs w:val="21"/>
        </w:rPr>
        <w:t>全额财拨事业单位</w:t>
      </w:r>
      <w:proofErr w:type="gramEnd"/>
      <w:r w:rsidRPr="00560379">
        <w:rPr>
          <w:rFonts w:ascii="宋体" w:hAnsi="宋体" w:cs="宋体" w:hint="eastAsia"/>
          <w:szCs w:val="21"/>
        </w:rPr>
        <w:t>，合同经双方协商可变更部分条款（收费标准、收费方式、管理费缴纳比例、公益活动要求等），届时双方签订补充合同；</w:t>
      </w:r>
    </w:p>
    <w:p w14:paraId="4910F244"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（2）如单个空间服务内容发生重大调整需重新进行招标，其余空间不受影响继续履约；</w:t>
      </w:r>
    </w:p>
    <w:p w14:paraId="2A2AEFC0"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（3）如招标人自有公益项目推出后与中标人项目发生冲突，中标人须无条件服从招标人安排，招标人须做好项目的平稳过渡；</w:t>
      </w:r>
    </w:p>
    <w:p w14:paraId="4C3C5272"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（4）因国家政策发展规划的影响、招标人上级政府单位征用本项目场地、招标人依据青少年</w:t>
      </w:r>
      <w:proofErr w:type="gramStart"/>
      <w:r w:rsidRPr="00560379">
        <w:rPr>
          <w:rFonts w:ascii="宋体" w:hAnsi="宋体" w:cs="宋体" w:hint="eastAsia"/>
          <w:szCs w:val="21"/>
        </w:rPr>
        <w:t>宫整体</w:t>
      </w:r>
      <w:proofErr w:type="gramEnd"/>
      <w:r w:rsidRPr="00560379">
        <w:rPr>
          <w:rFonts w:ascii="宋体" w:hAnsi="宋体" w:cs="宋体" w:hint="eastAsia"/>
          <w:szCs w:val="21"/>
        </w:rPr>
        <w:t>规划更改本项目场地用途及自然灾害等不可抗力因素，合同可提前终止，双方不承担任何违约责任。</w:t>
      </w:r>
    </w:p>
    <w:p w14:paraId="4133B402"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9.4 合同将由宝安区青少年服务中心与中标人签订。</w:t>
      </w:r>
    </w:p>
    <w:p w14:paraId="778D8D56"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十、项目其他要求</w:t>
      </w:r>
    </w:p>
    <w:p w14:paraId="0C740991"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10.1 投标人必须确保文件中的人员信息真实、有效。</w:t>
      </w:r>
    </w:p>
    <w:p w14:paraId="5A9FB3C0"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10.2 投标人不得泄露招标人项目标书中所涉及的任何信息和数据；未经招标人允许，</w:t>
      </w:r>
      <w:r w:rsidRPr="00560379">
        <w:rPr>
          <w:rFonts w:ascii="宋体" w:hAnsi="宋体" w:cs="宋体" w:hint="eastAsia"/>
          <w:szCs w:val="21"/>
        </w:rPr>
        <w:lastRenderedPageBreak/>
        <w:t>不得使用本项目的相关信息和数据，严禁以任何方式提供给</w:t>
      </w:r>
      <w:proofErr w:type="gramStart"/>
      <w:r w:rsidRPr="00560379">
        <w:rPr>
          <w:rFonts w:ascii="宋体" w:hAnsi="宋体" w:cs="宋体" w:hint="eastAsia"/>
          <w:szCs w:val="21"/>
        </w:rPr>
        <w:t>其他第三</w:t>
      </w:r>
      <w:proofErr w:type="gramEnd"/>
      <w:r w:rsidRPr="00560379">
        <w:rPr>
          <w:rFonts w:ascii="宋体" w:hAnsi="宋体" w:cs="宋体" w:hint="eastAsia"/>
          <w:szCs w:val="21"/>
        </w:rPr>
        <w:t>方。</w:t>
      </w:r>
    </w:p>
    <w:p w14:paraId="3BBFAFCE" w14:textId="77777777" w:rsidR="00560379" w:rsidRPr="00560379" w:rsidRDefault="00560379" w:rsidP="00560379">
      <w:pPr>
        <w:spacing w:after="78" w:line="360" w:lineRule="auto"/>
        <w:ind w:firstLineChars="200" w:firstLine="420"/>
        <w:rPr>
          <w:rFonts w:ascii="宋体" w:hAnsi="宋体" w:cs="宋体" w:hint="eastAsia"/>
          <w:szCs w:val="21"/>
        </w:rPr>
      </w:pPr>
      <w:r w:rsidRPr="00560379">
        <w:rPr>
          <w:rFonts w:ascii="宋体" w:hAnsi="宋体" w:cs="宋体" w:hint="eastAsia"/>
          <w:szCs w:val="21"/>
        </w:rPr>
        <w:t>10.3 中标人不得将项目非法分包或转包给任何第三方机构或个人，否则招标人有权即刻终止合同，并要求中标人赔偿相应损失</w:t>
      </w:r>
    </w:p>
    <w:p w14:paraId="43C8509F" w14:textId="77777777" w:rsidR="00560379" w:rsidRPr="00560379" w:rsidRDefault="00560379" w:rsidP="00560379">
      <w:pPr>
        <w:spacing w:afterLines="0" w:line="360" w:lineRule="auto"/>
        <w:rPr>
          <w:rFonts w:cs="Arial"/>
          <w:bCs/>
        </w:rPr>
      </w:pPr>
    </w:p>
    <w:p w14:paraId="76C9B4FB" w14:textId="77777777" w:rsidR="00560379" w:rsidRPr="00560379" w:rsidRDefault="00560379" w:rsidP="00560379">
      <w:pPr>
        <w:spacing w:afterLines="0" w:line="360" w:lineRule="auto"/>
        <w:rPr>
          <w:rFonts w:cs="Arial"/>
          <w:bCs/>
        </w:rPr>
      </w:pPr>
    </w:p>
    <w:p w14:paraId="3330FD7E" w14:textId="77777777" w:rsidR="00560379" w:rsidRPr="00560379" w:rsidRDefault="00560379" w:rsidP="00560379">
      <w:pPr>
        <w:spacing w:afterLines="0" w:line="360" w:lineRule="auto"/>
        <w:rPr>
          <w:rFonts w:cs="Arial"/>
          <w:bCs/>
        </w:rPr>
      </w:pPr>
    </w:p>
    <w:p w14:paraId="79798B6F" w14:textId="77777777" w:rsidR="00560379" w:rsidRPr="00560379" w:rsidRDefault="00560379" w:rsidP="00560379">
      <w:pPr>
        <w:spacing w:afterLines="0" w:line="360" w:lineRule="auto"/>
        <w:rPr>
          <w:rFonts w:cs="Arial"/>
          <w:bCs/>
        </w:rPr>
      </w:pPr>
    </w:p>
    <w:p w14:paraId="46E71829" w14:textId="77777777" w:rsidR="00560379" w:rsidRPr="00560379" w:rsidRDefault="00560379" w:rsidP="00560379">
      <w:pPr>
        <w:spacing w:afterLines="0" w:line="360" w:lineRule="auto"/>
        <w:rPr>
          <w:rFonts w:cs="Arial"/>
          <w:bCs/>
        </w:rPr>
      </w:pPr>
    </w:p>
    <w:p w14:paraId="2A96BA08" w14:textId="77777777" w:rsidR="00560379" w:rsidRPr="00560379" w:rsidRDefault="00560379" w:rsidP="00560379">
      <w:pPr>
        <w:spacing w:afterLines="0" w:line="360" w:lineRule="auto"/>
        <w:rPr>
          <w:rFonts w:cs="Arial"/>
          <w:bCs/>
        </w:rPr>
      </w:pPr>
    </w:p>
    <w:p w14:paraId="736B9647" w14:textId="77777777" w:rsidR="00560379" w:rsidRPr="00560379" w:rsidRDefault="00560379" w:rsidP="00560379">
      <w:pPr>
        <w:spacing w:afterLines="0" w:line="360" w:lineRule="auto"/>
        <w:rPr>
          <w:rFonts w:cs="Arial"/>
          <w:bCs/>
        </w:rPr>
      </w:pPr>
    </w:p>
    <w:p w14:paraId="017105AD" w14:textId="77777777" w:rsidR="00560379" w:rsidRPr="00560379" w:rsidRDefault="00560379" w:rsidP="00560379">
      <w:pPr>
        <w:spacing w:afterLines="0" w:line="360" w:lineRule="auto"/>
        <w:rPr>
          <w:rFonts w:cs="Arial"/>
          <w:bCs/>
        </w:rPr>
      </w:pPr>
    </w:p>
    <w:p w14:paraId="67F37644" w14:textId="77777777" w:rsidR="00560379" w:rsidRPr="00560379" w:rsidRDefault="00560379" w:rsidP="00560379">
      <w:pPr>
        <w:spacing w:afterLines="0" w:line="360" w:lineRule="auto"/>
        <w:rPr>
          <w:rFonts w:cs="Arial"/>
          <w:bCs/>
        </w:rPr>
      </w:pPr>
    </w:p>
    <w:p w14:paraId="020D064B" w14:textId="77777777" w:rsidR="00560379" w:rsidRPr="00560379" w:rsidRDefault="00560379" w:rsidP="00560379">
      <w:pPr>
        <w:spacing w:afterLines="0" w:line="360" w:lineRule="auto"/>
        <w:rPr>
          <w:rFonts w:cs="Arial"/>
          <w:bCs/>
        </w:rPr>
      </w:pPr>
    </w:p>
    <w:p w14:paraId="2D6ECCA1" w14:textId="77777777" w:rsidR="00C23187" w:rsidRPr="00560379" w:rsidRDefault="00C23187" w:rsidP="00560379">
      <w:pPr>
        <w:spacing w:after="78"/>
      </w:pPr>
    </w:p>
    <w:sectPr w:rsidR="00C23187" w:rsidRPr="0056037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F599" w14:textId="77777777" w:rsidR="00131BA1" w:rsidRDefault="00131BA1" w:rsidP="00FC368A">
      <w:pPr>
        <w:spacing w:after="60" w:line="240" w:lineRule="auto"/>
      </w:pPr>
      <w:r>
        <w:separator/>
      </w:r>
    </w:p>
  </w:endnote>
  <w:endnote w:type="continuationSeparator" w:id="0">
    <w:p w14:paraId="15034250" w14:textId="77777777" w:rsidR="00131BA1" w:rsidRDefault="00131BA1" w:rsidP="00FC368A">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1D13" w14:textId="77777777" w:rsidR="0057005F" w:rsidRDefault="0057005F">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8C0E" w14:textId="77777777" w:rsidR="0057005F" w:rsidRDefault="0057005F">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1913" w14:textId="77777777" w:rsidR="0057005F" w:rsidRDefault="0057005F">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53F73" w14:textId="77777777" w:rsidR="00131BA1" w:rsidRDefault="00131BA1" w:rsidP="00FC368A">
      <w:pPr>
        <w:spacing w:after="60" w:line="240" w:lineRule="auto"/>
      </w:pPr>
      <w:r>
        <w:separator/>
      </w:r>
    </w:p>
  </w:footnote>
  <w:footnote w:type="continuationSeparator" w:id="0">
    <w:p w14:paraId="2F46E096" w14:textId="77777777" w:rsidR="00131BA1" w:rsidRDefault="00131BA1" w:rsidP="00FC368A">
      <w:pPr>
        <w:spacing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A7B2" w14:textId="77777777" w:rsidR="0057005F" w:rsidRDefault="0057005F">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5B1C" w14:textId="77777777" w:rsidR="0057005F" w:rsidRDefault="0057005F">
    <w:pPr>
      <w:pStyle w:val="a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5999" w14:textId="77777777" w:rsidR="0057005F" w:rsidRDefault="0057005F">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2C91"/>
    <w:multiLevelType w:val="singleLevel"/>
    <w:tmpl w:val="3DFA2C91"/>
    <w:lvl w:ilvl="0">
      <w:start w:val="1"/>
      <w:numFmt w:val="decimal"/>
      <w:lvlText w:val="%1."/>
      <w:lvlJc w:val="left"/>
      <w:pPr>
        <w:tabs>
          <w:tab w:val="left" w:pos="312"/>
        </w:tabs>
      </w:pPr>
    </w:lvl>
  </w:abstractNum>
  <w:abstractNum w:abstractNumId="1" w15:restartNumberingAfterBreak="0">
    <w:nsid w:val="541285ED"/>
    <w:multiLevelType w:val="singleLevel"/>
    <w:tmpl w:val="541285ED"/>
    <w:lvl w:ilvl="0">
      <w:start w:val="1"/>
      <w:numFmt w:val="decimal"/>
      <w:lvlText w:val="%1."/>
      <w:lvlJc w:val="left"/>
      <w:pPr>
        <w:tabs>
          <w:tab w:val="left" w:pos="312"/>
        </w:tabs>
      </w:pPr>
      <w:rPr>
        <w:b/>
      </w:rPr>
    </w:lvl>
  </w:abstractNum>
  <w:num w:numId="1" w16cid:durableId="184100197">
    <w:abstractNumId w:val="0"/>
  </w:num>
  <w:num w:numId="2" w16cid:durableId="47560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78"/>
    <w:rsid w:val="00004C3C"/>
    <w:rsid w:val="000C56F1"/>
    <w:rsid w:val="00131BA1"/>
    <w:rsid w:val="002A62EC"/>
    <w:rsid w:val="00560379"/>
    <w:rsid w:val="0057005F"/>
    <w:rsid w:val="00610BC6"/>
    <w:rsid w:val="00AC1C78"/>
    <w:rsid w:val="00B274DD"/>
    <w:rsid w:val="00C23187"/>
    <w:rsid w:val="00F93E79"/>
    <w:rsid w:val="00F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5140"/>
  <w15:chartTrackingRefBased/>
  <w15:docId w15:val="{C8D824D8-D738-400D-B370-A411635B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368A"/>
    <w:pPr>
      <w:widowControl w:val="0"/>
      <w:spacing w:afterLines="25" w:line="300" w:lineRule="auto"/>
      <w:jc w:val="both"/>
    </w:pPr>
    <w:rPr>
      <w:rFonts w:ascii="Arial" w:eastAsia="宋体" w:hAnsi="Arial" w:cs="Times New Roman"/>
      <w:szCs w:val="24"/>
    </w:rPr>
  </w:style>
  <w:style w:type="paragraph" w:styleId="1">
    <w:name w:val="heading 1"/>
    <w:basedOn w:val="a"/>
    <w:next w:val="a"/>
    <w:link w:val="10"/>
    <w:uiPriority w:val="9"/>
    <w:qFormat/>
    <w:rsid w:val="00AC1C78"/>
    <w:pPr>
      <w:keepNext/>
      <w:keepLines/>
      <w:spacing w:before="480" w:afterLines="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C1C78"/>
    <w:pPr>
      <w:keepNext/>
      <w:keepLines/>
      <w:spacing w:before="160" w:afterLines="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C1C78"/>
    <w:pPr>
      <w:keepNext/>
      <w:keepLines/>
      <w:spacing w:before="160" w:afterLines="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C1C78"/>
    <w:pPr>
      <w:keepNext/>
      <w:keepLines/>
      <w:spacing w:before="80" w:afterLines="0" w:after="40" w:line="24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C1C78"/>
    <w:pPr>
      <w:keepNext/>
      <w:keepLines/>
      <w:spacing w:before="80" w:afterLines="0" w:after="40" w:line="240" w:lineRule="auto"/>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AC1C78"/>
    <w:pPr>
      <w:keepNext/>
      <w:keepLines/>
      <w:spacing w:before="40" w:afterLines="0" w:line="240" w:lineRule="auto"/>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AC1C78"/>
    <w:pPr>
      <w:keepNext/>
      <w:keepLines/>
      <w:spacing w:before="40" w:afterLines="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AC1C78"/>
    <w:pPr>
      <w:keepNext/>
      <w:keepLines/>
      <w:spacing w:afterLines="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AC1C78"/>
    <w:pPr>
      <w:keepNext/>
      <w:keepLines/>
      <w:spacing w:afterLines="0" w:line="240" w:lineRule="auto"/>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1C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AC1C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C1C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C1C78"/>
    <w:rPr>
      <w:rFonts w:cstheme="majorBidi"/>
      <w:color w:val="0F4761" w:themeColor="accent1" w:themeShade="BF"/>
      <w:sz w:val="28"/>
      <w:szCs w:val="28"/>
    </w:rPr>
  </w:style>
  <w:style w:type="character" w:customStyle="1" w:styleId="50">
    <w:name w:val="标题 5 字符"/>
    <w:basedOn w:val="a1"/>
    <w:link w:val="5"/>
    <w:uiPriority w:val="9"/>
    <w:semiHidden/>
    <w:rsid w:val="00AC1C78"/>
    <w:rPr>
      <w:rFonts w:cstheme="majorBidi"/>
      <w:color w:val="0F4761" w:themeColor="accent1" w:themeShade="BF"/>
      <w:sz w:val="24"/>
      <w:szCs w:val="24"/>
    </w:rPr>
  </w:style>
  <w:style w:type="character" w:customStyle="1" w:styleId="60">
    <w:name w:val="标题 6 字符"/>
    <w:basedOn w:val="a1"/>
    <w:link w:val="6"/>
    <w:uiPriority w:val="9"/>
    <w:semiHidden/>
    <w:rsid w:val="00AC1C78"/>
    <w:rPr>
      <w:rFonts w:cstheme="majorBidi"/>
      <w:b/>
      <w:bCs/>
      <w:color w:val="0F4761" w:themeColor="accent1" w:themeShade="BF"/>
    </w:rPr>
  </w:style>
  <w:style w:type="character" w:customStyle="1" w:styleId="70">
    <w:name w:val="标题 7 字符"/>
    <w:basedOn w:val="a1"/>
    <w:link w:val="7"/>
    <w:uiPriority w:val="9"/>
    <w:semiHidden/>
    <w:rsid w:val="00AC1C78"/>
    <w:rPr>
      <w:rFonts w:cstheme="majorBidi"/>
      <w:b/>
      <w:bCs/>
      <w:color w:val="595959" w:themeColor="text1" w:themeTint="A6"/>
    </w:rPr>
  </w:style>
  <w:style w:type="character" w:customStyle="1" w:styleId="80">
    <w:name w:val="标题 8 字符"/>
    <w:basedOn w:val="a1"/>
    <w:link w:val="8"/>
    <w:uiPriority w:val="9"/>
    <w:semiHidden/>
    <w:rsid w:val="00AC1C78"/>
    <w:rPr>
      <w:rFonts w:cstheme="majorBidi"/>
      <w:color w:val="595959" w:themeColor="text1" w:themeTint="A6"/>
    </w:rPr>
  </w:style>
  <w:style w:type="character" w:customStyle="1" w:styleId="90">
    <w:name w:val="标题 9 字符"/>
    <w:basedOn w:val="a1"/>
    <w:link w:val="9"/>
    <w:uiPriority w:val="9"/>
    <w:semiHidden/>
    <w:rsid w:val="00AC1C78"/>
    <w:rPr>
      <w:rFonts w:eastAsiaTheme="majorEastAsia" w:cstheme="majorBidi"/>
      <w:color w:val="595959" w:themeColor="text1" w:themeTint="A6"/>
    </w:rPr>
  </w:style>
  <w:style w:type="paragraph" w:styleId="a4">
    <w:name w:val="Title"/>
    <w:basedOn w:val="a"/>
    <w:next w:val="a"/>
    <w:link w:val="a5"/>
    <w:uiPriority w:val="10"/>
    <w:qFormat/>
    <w:rsid w:val="00AC1C78"/>
    <w:pPr>
      <w:spacing w:afterLines="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AC1C7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AC1C78"/>
    <w:pPr>
      <w:numPr>
        <w:ilvl w:val="1"/>
      </w:numPr>
      <w:spacing w:afterLines="0"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AC1C7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C1C78"/>
    <w:pPr>
      <w:spacing w:before="160" w:afterLines="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AC1C78"/>
    <w:rPr>
      <w:i/>
      <w:iCs/>
      <w:color w:val="404040" w:themeColor="text1" w:themeTint="BF"/>
    </w:rPr>
  </w:style>
  <w:style w:type="paragraph" w:styleId="aa">
    <w:name w:val="List Paragraph"/>
    <w:basedOn w:val="a"/>
    <w:uiPriority w:val="34"/>
    <w:qFormat/>
    <w:rsid w:val="00AC1C78"/>
    <w:pPr>
      <w:spacing w:afterLines="0" w:line="240" w:lineRule="auto"/>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AC1C78"/>
    <w:rPr>
      <w:i/>
      <w:iCs/>
      <w:color w:val="0F4761" w:themeColor="accent1" w:themeShade="BF"/>
    </w:rPr>
  </w:style>
  <w:style w:type="paragraph" w:styleId="ac">
    <w:name w:val="Intense Quote"/>
    <w:basedOn w:val="a"/>
    <w:next w:val="a"/>
    <w:link w:val="ad"/>
    <w:uiPriority w:val="30"/>
    <w:qFormat/>
    <w:rsid w:val="00AC1C78"/>
    <w:pPr>
      <w:pBdr>
        <w:top w:val="single" w:sz="4" w:space="10" w:color="0F4761" w:themeColor="accent1" w:themeShade="BF"/>
        <w:bottom w:val="single" w:sz="4" w:space="10" w:color="0F4761" w:themeColor="accent1" w:themeShade="BF"/>
      </w:pBdr>
      <w:spacing w:before="360" w:afterLines="0" w:after="360" w:line="240" w:lineRule="auto"/>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AC1C78"/>
    <w:rPr>
      <w:i/>
      <w:iCs/>
      <w:color w:val="0F4761" w:themeColor="accent1" w:themeShade="BF"/>
    </w:rPr>
  </w:style>
  <w:style w:type="character" w:styleId="ae">
    <w:name w:val="Intense Reference"/>
    <w:basedOn w:val="a1"/>
    <w:uiPriority w:val="32"/>
    <w:qFormat/>
    <w:rsid w:val="00AC1C78"/>
    <w:rPr>
      <w:b/>
      <w:bCs/>
      <w:smallCaps/>
      <w:color w:val="0F4761" w:themeColor="accent1" w:themeShade="BF"/>
      <w:spacing w:val="5"/>
    </w:rPr>
  </w:style>
  <w:style w:type="paragraph" w:styleId="af">
    <w:name w:val="header"/>
    <w:basedOn w:val="a"/>
    <w:link w:val="af0"/>
    <w:uiPriority w:val="99"/>
    <w:unhideWhenUsed/>
    <w:rsid w:val="00FC368A"/>
    <w:pPr>
      <w:tabs>
        <w:tab w:val="center" w:pos="4153"/>
        <w:tab w:val="right" w:pos="8306"/>
      </w:tabs>
      <w:snapToGrid w:val="0"/>
      <w:spacing w:afterLines="0" w:line="240" w:lineRule="auto"/>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FC368A"/>
    <w:rPr>
      <w:sz w:val="18"/>
      <w:szCs w:val="18"/>
    </w:rPr>
  </w:style>
  <w:style w:type="paragraph" w:styleId="af1">
    <w:name w:val="footer"/>
    <w:basedOn w:val="a"/>
    <w:link w:val="af2"/>
    <w:uiPriority w:val="99"/>
    <w:unhideWhenUsed/>
    <w:rsid w:val="00FC368A"/>
    <w:pPr>
      <w:tabs>
        <w:tab w:val="center" w:pos="4153"/>
        <w:tab w:val="right" w:pos="8306"/>
      </w:tabs>
      <w:snapToGrid w:val="0"/>
      <w:spacing w:afterLines="0" w:line="240" w:lineRule="auto"/>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FC368A"/>
    <w:rPr>
      <w:sz w:val="18"/>
      <w:szCs w:val="18"/>
    </w:rPr>
  </w:style>
  <w:style w:type="paragraph" w:customStyle="1" w:styleId="a0">
    <w:name w:val="文档正文"/>
    <w:basedOn w:val="a"/>
    <w:link w:val="CharChar"/>
    <w:qFormat/>
    <w:rsid w:val="00FC368A"/>
    <w:pPr>
      <w:spacing w:afterLines="0" w:line="360" w:lineRule="auto"/>
    </w:pPr>
    <w:rPr>
      <w:rFonts w:cs="Arial"/>
      <w:bCs/>
    </w:rPr>
  </w:style>
  <w:style w:type="paragraph" w:styleId="af3">
    <w:name w:val="Normal (Web)"/>
    <w:basedOn w:val="a"/>
    <w:uiPriority w:val="99"/>
    <w:qFormat/>
    <w:rsid w:val="00FC368A"/>
    <w:pPr>
      <w:widowControl/>
      <w:spacing w:before="100" w:beforeAutospacing="1" w:afterLines="0" w:afterAutospacing="1" w:line="240" w:lineRule="auto"/>
      <w:jc w:val="left"/>
    </w:pPr>
    <w:rPr>
      <w:rFonts w:ascii="宋体" w:hAnsi="宋体"/>
      <w:color w:val="000000"/>
      <w:kern w:val="0"/>
      <w:sz w:val="18"/>
      <w:szCs w:val="20"/>
    </w:rPr>
  </w:style>
  <w:style w:type="character" w:styleId="af4">
    <w:name w:val="Hyperlink"/>
    <w:uiPriority w:val="99"/>
    <w:qFormat/>
    <w:rsid w:val="00FC368A"/>
    <w:rPr>
      <w:color w:val="0000FF"/>
      <w:u w:val="single"/>
    </w:rPr>
  </w:style>
  <w:style w:type="character" w:customStyle="1" w:styleId="CharChar">
    <w:name w:val="文档正文 Char Char"/>
    <w:link w:val="a0"/>
    <w:qFormat/>
    <w:rsid w:val="00FC368A"/>
    <w:rPr>
      <w:rFonts w:ascii="Arial" w:eastAsia="宋体" w:hAnsi="Arial" w:cs="Arial"/>
      <w:bCs/>
      <w:szCs w:val="24"/>
    </w:rPr>
  </w:style>
  <w:style w:type="character" w:styleId="af5">
    <w:name w:val="page number"/>
    <w:basedOn w:val="a1"/>
    <w:qFormat/>
    <w:rsid w:val="0057005F"/>
  </w:style>
  <w:style w:type="table" w:styleId="af6">
    <w:name w:val="Table Grid"/>
    <w:basedOn w:val="a2"/>
    <w:uiPriority w:val="59"/>
    <w:qFormat/>
    <w:rsid w:val="005603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3</cp:revision>
  <dcterms:created xsi:type="dcterms:W3CDTF">2025-09-09T08:28:00Z</dcterms:created>
  <dcterms:modified xsi:type="dcterms:W3CDTF">2025-09-12T06:14:00Z</dcterms:modified>
</cp:coreProperties>
</file>