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62C16">
      <w:pPr>
        <w:pStyle w:val="4"/>
        <w:numPr>
          <w:numId w:val="0"/>
        </w:numPr>
        <w:spacing w:before="0" w:after="0" w:line="360" w:lineRule="auto"/>
        <w:ind w:leftChars="0"/>
        <w:jc w:val="center"/>
        <w:rPr>
          <w:rFonts w:hint="eastAsia" w:ascii="黑体" w:hAnsi="黑体" w:eastAsia="黑体"/>
          <w:color w:val="000000"/>
        </w:rPr>
      </w:pPr>
      <w:bookmarkStart w:id="30" w:name="_GoBack"/>
      <w:bookmarkStart w:id="0" w:name="_Toc4098"/>
      <w:bookmarkStart w:id="1" w:name="_Toc4867"/>
      <w:bookmarkStart w:id="2" w:name="_Toc30118"/>
      <w:bookmarkStart w:id="3" w:name="_Toc13772"/>
      <w:bookmarkStart w:id="4" w:name="_Toc11454"/>
      <w:bookmarkStart w:id="5" w:name="_Toc12307"/>
      <w:r>
        <w:rPr>
          <w:rFonts w:ascii="黑体" w:hAnsi="黑体" w:eastAsia="黑体"/>
          <w:color w:val="000000"/>
        </w:rPr>
        <w:fldChar w:fldCharType="begin"/>
      </w:r>
      <w:r>
        <w:rPr>
          <w:rFonts w:ascii="黑体" w:hAnsi="黑体" w:eastAsia="黑体"/>
          <w:color w:val="000000"/>
        </w:rPr>
        <w:instrText xml:space="preserve"> HYPERLINK \l "_Toc488762883" </w:instrText>
      </w:r>
      <w:r>
        <w:rPr>
          <w:rFonts w:ascii="黑体" w:hAnsi="黑体" w:eastAsia="黑体"/>
          <w:color w:val="000000"/>
        </w:rPr>
        <w:fldChar w:fldCharType="separate"/>
      </w:r>
      <w:bookmarkStart w:id="6" w:name="_Toc203141747"/>
      <w:r>
        <w:rPr>
          <w:rFonts w:hint="eastAsia" w:ascii="黑体" w:hAnsi="黑体" w:eastAsia="黑体"/>
          <w:color w:val="000000"/>
        </w:rPr>
        <w:t>采购项目需求</w:t>
      </w:r>
      <w:bookmarkEnd w:id="6"/>
      <w:r>
        <w:rPr>
          <w:rFonts w:ascii="黑体" w:hAnsi="黑体" w:eastAsia="黑体"/>
          <w:color w:val="000000"/>
        </w:rPr>
        <w:fldChar w:fldCharType="end"/>
      </w:r>
      <w:bookmarkEnd w:id="0"/>
      <w:bookmarkEnd w:id="1"/>
      <w:bookmarkEnd w:id="2"/>
      <w:bookmarkEnd w:id="3"/>
      <w:bookmarkEnd w:id="4"/>
      <w:bookmarkEnd w:id="5"/>
    </w:p>
    <w:bookmarkEnd w:id="30"/>
    <w:p w14:paraId="5F0BFE51">
      <w:pPr>
        <w:pStyle w:val="5"/>
        <w:adjustRightInd/>
        <w:spacing w:line="360" w:lineRule="auto"/>
        <w:jc w:val="both"/>
        <w:textAlignment w:val="auto"/>
        <w:rPr>
          <w:rFonts w:hint="eastAsia" w:ascii="仿宋_GB2312" w:hAnsi="黑体" w:eastAsia="仿宋_GB2312" w:cs="黑体"/>
          <w:bCs w:val="0"/>
          <w:sz w:val="28"/>
          <w:szCs w:val="28"/>
        </w:rPr>
      </w:pPr>
      <w:bookmarkStart w:id="7" w:name="sixxiangmugaisu"/>
      <w:bookmarkEnd w:id="7"/>
      <w:bookmarkStart w:id="8" w:name="_Toc16144"/>
      <w:bookmarkStart w:id="9" w:name="_Toc24668"/>
      <w:bookmarkStart w:id="10" w:name="_Toc2370"/>
      <w:bookmarkStart w:id="11" w:name="_Toc21299"/>
      <w:bookmarkStart w:id="12" w:name="_Toc203141748"/>
      <w:bookmarkStart w:id="13" w:name="_Toc19385"/>
      <w:bookmarkStart w:id="14" w:name="_Toc4856"/>
      <w:r>
        <w:rPr>
          <w:rFonts w:hint="eastAsia" w:ascii="仿宋_GB2312" w:hAnsi="黑体" w:eastAsia="仿宋_GB2312" w:cs="黑体"/>
          <w:bCs w:val="0"/>
          <w:sz w:val="28"/>
          <w:szCs w:val="28"/>
        </w:rPr>
        <w:t>一、项目概况</w:t>
      </w:r>
      <w:bookmarkEnd w:id="8"/>
      <w:bookmarkEnd w:id="9"/>
      <w:bookmarkEnd w:id="10"/>
      <w:bookmarkEnd w:id="11"/>
      <w:bookmarkEnd w:id="12"/>
      <w:bookmarkEnd w:id="13"/>
      <w:bookmarkEnd w:id="14"/>
    </w:p>
    <w:p w14:paraId="5F41C808">
      <w:pPr>
        <w:spacing w:line="5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根据《龙岗区强化交通秩序治理工作方案》（深龙府办函〔2025〕3号）要求，全面梳理地铁口、商圈、学校、医院、交通枢纽、口岸、重要场所等重点区域周边，建立日常值守巡检机制，实施网格化巡查与规范摆放，对电动自行车不按划定区域停放、堵塞消防通道等行为加大整治力度，引导骑行人规范停放。《龙岗区交通工作例会纪要》（区府办〔2025〕181号）要求，针对重点区域、问题点位加强巡查值守人员配置，对违停车辆组织集中挪移、集中管理等一系列措施手段，进一步提升整治效果。</w:t>
      </w:r>
    </w:p>
    <w:p w14:paraId="5E8ED3DE">
      <w:pPr>
        <w:pStyle w:val="5"/>
        <w:adjustRightInd/>
        <w:spacing w:line="360" w:lineRule="auto"/>
        <w:jc w:val="both"/>
        <w:textAlignment w:val="auto"/>
        <w:rPr>
          <w:rFonts w:hint="eastAsia" w:ascii="仿宋_GB2312" w:hAnsi="黑体" w:eastAsia="仿宋_GB2312" w:cs="黑体"/>
          <w:bCs w:val="0"/>
          <w:sz w:val="28"/>
          <w:szCs w:val="28"/>
          <w:lang w:eastAsia="zh-CN"/>
        </w:rPr>
      </w:pPr>
      <w:bookmarkStart w:id="15" w:name="_Toc2695"/>
      <w:bookmarkStart w:id="16" w:name="_Toc203141749"/>
      <w:bookmarkStart w:id="17" w:name="_Toc28894"/>
      <w:bookmarkStart w:id="18" w:name="_Toc21908"/>
      <w:bookmarkStart w:id="19" w:name="_Toc12310"/>
      <w:bookmarkStart w:id="20" w:name="_Toc23183"/>
      <w:bookmarkStart w:id="21" w:name="_Toc30400"/>
      <w:r>
        <w:rPr>
          <w:rFonts w:hint="eastAsia" w:ascii="仿宋_GB2312" w:hAnsi="黑体" w:eastAsia="仿宋_GB2312" w:cs="黑体"/>
          <w:bCs w:val="0"/>
          <w:sz w:val="28"/>
          <w:szCs w:val="28"/>
          <w:lang w:val="en-US" w:eastAsia="zh-CN"/>
        </w:rPr>
        <w:t>二、</w:t>
      </w:r>
      <w:r>
        <w:rPr>
          <w:rFonts w:hint="eastAsia" w:ascii="仿宋_GB2312" w:hAnsi="黑体" w:eastAsia="仿宋_GB2312" w:cs="黑体"/>
          <w:bCs w:val="0"/>
          <w:sz w:val="28"/>
          <w:szCs w:val="28"/>
        </w:rPr>
        <w:t>服务内容及要求</w:t>
      </w:r>
      <w:bookmarkEnd w:id="15"/>
      <w:bookmarkEnd w:id="16"/>
      <w:bookmarkEnd w:id="17"/>
      <w:bookmarkEnd w:id="18"/>
      <w:bookmarkEnd w:id="19"/>
      <w:bookmarkEnd w:id="20"/>
      <w:bookmarkEnd w:id="21"/>
      <w:bookmarkStart w:id="22" w:name="_Toc24243"/>
    </w:p>
    <w:bookmarkEnd w:id="22"/>
    <w:p w14:paraId="1D2254C3">
      <w:pPr>
        <w:spacing w:line="580" w:lineRule="exact"/>
        <w:ind w:firstLine="562" w:firstLineChars="200"/>
        <w:rPr>
          <w:rFonts w:ascii="仿宋_GB2312" w:hAnsi="仿宋_GB2312" w:eastAsia="仿宋_GB2312" w:cs="仿宋_GB2312"/>
          <w:b/>
          <w:bCs/>
          <w:sz w:val="28"/>
          <w:szCs w:val="28"/>
        </w:rPr>
      </w:pPr>
      <w:bookmarkStart w:id="23" w:name="_Toc30163"/>
      <w:bookmarkStart w:id="24" w:name="_Toc203141750"/>
      <w:bookmarkStart w:id="25" w:name="_Toc5520"/>
      <w:bookmarkStart w:id="26" w:name="_Toc24224"/>
      <w:bookmarkStart w:id="27" w:name="_Toc29027"/>
      <w:bookmarkStart w:id="28" w:name="_Toc31880"/>
      <w:r>
        <w:rPr>
          <w:rFonts w:hint="eastAsia" w:ascii="仿宋_GB2312" w:hAnsi="仿宋_GB2312" w:eastAsia="仿宋_GB2312" w:cs="仿宋_GB2312"/>
          <w:b/>
          <w:bCs/>
          <w:sz w:val="28"/>
          <w:szCs w:val="28"/>
        </w:rPr>
        <w:t>（一）服务内容</w:t>
      </w:r>
    </w:p>
    <w:p w14:paraId="0A9FD1E7">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安排服务人员对地铁站、商圈、学校开展巡查值守，对乱停放车辆（包括电动车、自行车、共享电动车、共享单车等，下同）集中挪移，规范整理乱停放车辆。安排车辆和搬运人员对乱停放车辆进行搬运。</w:t>
      </w:r>
    </w:p>
    <w:p w14:paraId="10181BD1">
      <w:pPr>
        <w:spacing w:line="5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（二）服务要求</w:t>
      </w:r>
    </w:p>
    <w:p w14:paraId="64EBED9C">
      <w:pPr>
        <w:spacing w:line="560" w:lineRule="exact"/>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1、服务</w:t>
      </w:r>
      <w:r>
        <w:rPr>
          <w:rFonts w:hint="eastAsia" w:ascii="仿宋_GB2312" w:hAnsi="仿宋_GB2312" w:eastAsia="仿宋_GB2312" w:cs="仿宋_GB2312"/>
          <w:b/>
          <w:bCs/>
          <w:sz w:val="28"/>
          <w:szCs w:val="28"/>
        </w:rPr>
        <w:t>人员要求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965"/>
        <w:gridCol w:w="995"/>
        <w:gridCol w:w="1842"/>
        <w:gridCol w:w="3025"/>
      </w:tblGrid>
      <w:tr w14:paraId="44D6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08" w:type="pct"/>
            <w:noWrap w:val="0"/>
            <w:vAlign w:val="center"/>
          </w:tcPr>
          <w:p w14:paraId="4863DD3E">
            <w:pPr>
              <w:spacing w:line="400" w:lineRule="exact"/>
              <w:jc w:val="center"/>
              <w:rPr>
                <w:rFonts w:ascii="仿宋_GB2312" w:eastAsia="仿宋_GB2312"/>
                <w:sz w:val="28"/>
                <w:szCs w:val="28"/>
              </w:rPr>
            </w:pPr>
            <w:r>
              <w:rPr>
                <w:rFonts w:hint="eastAsia" w:ascii="仿宋_GB2312" w:eastAsia="仿宋_GB2312"/>
                <w:sz w:val="28"/>
                <w:szCs w:val="28"/>
              </w:rPr>
              <w:t>序号</w:t>
            </w:r>
          </w:p>
        </w:tc>
        <w:tc>
          <w:tcPr>
            <w:tcW w:w="1152" w:type="pct"/>
            <w:noWrap w:val="0"/>
            <w:vAlign w:val="center"/>
          </w:tcPr>
          <w:p w14:paraId="0ADE6323">
            <w:pPr>
              <w:spacing w:line="400" w:lineRule="exact"/>
              <w:jc w:val="center"/>
              <w:rPr>
                <w:rFonts w:ascii="仿宋_GB2312" w:eastAsia="仿宋_GB2312"/>
                <w:color w:val="FF0000"/>
                <w:sz w:val="28"/>
                <w:szCs w:val="28"/>
              </w:rPr>
            </w:pPr>
            <w:r>
              <w:rPr>
                <w:rFonts w:hint="eastAsia" w:ascii="仿宋_GB2312" w:eastAsia="仿宋_GB2312"/>
                <w:color w:val="FF0000"/>
                <w:sz w:val="28"/>
                <w:szCs w:val="28"/>
              </w:rPr>
              <w:t>★人员类别</w:t>
            </w:r>
          </w:p>
        </w:tc>
        <w:tc>
          <w:tcPr>
            <w:tcW w:w="584" w:type="pct"/>
            <w:noWrap w:val="0"/>
            <w:vAlign w:val="center"/>
          </w:tcPr>
          <w:p w14:paraId="3F95C0AA">
            <w:pPr>
              <w:spacing w:line="400" w:lineRule="exact"/>
              <w:jc w:val="center"/>
              <w:rPr>
                <w:rFonts w:ascii="仿宋_GB2312" w:eastAsia="仿宋_GB2312"/>
                <w:color w:val="FF0000"/>
                <w:sz w:val="28"/>
                <w:szCs w:val="28"/>
              </w:rPr>
            </w:pPr>
            <w:r>
              <w:rPr>
                <w:rFonts w:hint="eastAsia" w:ascii="仿宋_GB2312" w:eastAsia="仿宋_GB2312"/>
                <w:color w:val="FF0000"/>
                <w:sz w:val="28"/>
                <w:szCs w:val="28"/>
              </w:rPr>
              <w:t>★数量</w:t>
            </w:r>
          </w:p>
        </w:tc>
        <w:tc>
          <w:tcPr>
            <w:tcW w:w="1081" w:type="pct"/>
            <w:noWrap w:val="0"/>
            <w:vAlign w:val="center"/>
          </w:tcPr>
          <w:p w14:paraId="6D0809B7">
            <w:pPr>
              <w:spacing w:line="400" w:lineRule="exact"/>
              <w:jc w:val="center"/>
              <w:rPr>
                <w:rFonts w:ascii="仿宋_GB2312" w:eastAsia="仿宋_GB2312"/>
                <w:color w:val="FF0000"/>
                <w:sz w:val="28"/>
                <w:szCs w:val="28"/>
              </w:rPr>
            </w:pPr>
            <w:r>
              <w:rPr>
                <w:rFonts w:hint="eastAsia" w:ascii="仿宋_GB2312" w:eastAsia="仿宋_GB2312"/>
                <w:color w:val="FF0000"/>
                <w:sz w:val="28"/>
                <w:szCs w:val="28"/>
              </w:rPr>
              <w:t>★人员必须具备条件</w:t>
            </w:r>
          </w:p>
        </w:tc>
        <w:tc>
          <w:tcPr>
            <w:tcW w:w="1775" w:type="pct"/>
            <w:noWrap w:val="0"/>
            <w:vAlign w:val="center"/>
          </w:tcPr>
          <w:p w14:paraId="48431A2F">
            <w:pPr>
              <w:spacing w:line="400" w:lineRule="exact"/>
              <w:jc w:val="center"/>
              <w:rPr>
                <w:rFonts w:ascii="仿宋_GB2312" w:eastAsia="仿宋_GB2312"/>
                <w:sz w:val="28"/>
                <w:szCs w:val="28"/>
              </w:rPr>
            </w:pPr>
            <w:r>
              <w:rPr>
                <w:rFonts w:hint="eastAsia" w:ascii="仿宋_GB2312" w:eastAsia="仿宋_GB2312"/>
                <w:sz w:val="28"/>
                <w:szCs w:val="28"/>
              </w:rPr>
              <w:t>人员可偏离条件</w:t>
            </w:r>
          </w:p>
        </w:tc>
      </w:tr>
      <w:tr w14:paraId="4F7B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14:paraId="35767F92">
            <w:pPr>
              <w:spacing w:line="400" w:lineRule="exact"/>
              <w:jc w:val="center"/>
              <w:rPr>
                <w:rFonts w:ascii="仿宋_GB2312" w:eastAsia="仿宋_GB2312"/>
                <w:sz w:val="28"/>
                <w:szCs w:val="28"/>
              </w:rPr>
            </w:pPr>
            <w:r>
              <w:rPr>
                <w:rFonts w:hint="eastAsia" w:ascii="仿宋_GB2312" w:eastAsia="仿宋_GB2312"/>
                <w:sz w:val="28"/>
                <w:szCs w:val="28"/>
              </w:rPr>
              <w:t>1</w:t>
            </w:r>
          </w:p>
        </w:tc>
        <w:tc>
          <w:tcPr>
            <w:tcW w:w="1152" w:type="pct"/>
            <w:noWrap w:val="0"/>
            <w:vAlign w:val="center"/>
          </w:tcPr>
          <w:p w14:paraId="4A3FEE1D">
            <w:pPr>
              <w:spacing w:line="400" w:lineRule="exact"/>
              <w:jc w:val="center"/>
              <w:rPr>
                <w:rFonts w:ascii="仿宋_GB2312" w:eastAsia="仿宋_GB2312"/>
                <w:color w:val="FF0000"/>
                <w:sz w:val="28"/>
                <w:szCs w:val="28"/>
              </w:rPr>
            </w:pPr>
            <w:r>
              <w:rPr>
                <w:rFonts w:hint="eastAsia" w:ascii="仿宋_GB2312" w:eastAsia="仿宋_GB2312"/>
                <w:color w:val="FF0000"/>
                <w:sz w:val="28"/>
                <w:szCs w:val="28"/>
              </w:rPr>
              <w:t>项目负责人/技术主管</w:t>
            </w:r>
          </w:p>
        </w:tc>
        <w:tc>
          <w:tcPr>
            <w:tcW w:w="584" w:type="pct"/>
            <w:noWrap w:val="0"/>
            <w:vAlign w:val="center"/>
          </w:tcPr>
          <w:p w14:paraId="11D2217B">
            <w:pPr>
              <w:spacing w:line="400" w:lineRule="exact"/>
              <w:jc w:val="center"/>
              <w:rPr>
                <w:rFonts w:ascii="仿宋_GB2312" w:eastAsia="仿宋_GB2312"/>
                <w:color w:val="FF0000"/>
                <w:sz w:val="28"/>
                <w:szCs w:val="28"/>
              </w:rPr>
            </w:pPr>
            <w:r>
              <w:rPr>
                <w:rFonts w:hint="eastAsia" w:ascii="仿宋_GB2312" w:eastAsia="仿宋_GB2312"/>
                <w:color w:val="FF0000"/>
                <w:sz w:val="28"/>
                <w:szCs w:val="28"/>
              </w:rPr>
              <w:t>1</w:t>
            </w:r>
          </w:p>
        </w:tc>
        <w:tc>
          <w:tcPr>
            <w:tcW w:w="1081" w:type="pct"/>
            <w:noWrap w:val="0"/>
            <w:vAlign w:val="center"/>
          </w:tcPr>
          <w:p w14:paraId="2F60745E">
            <w:pPr>
              <w:spacing w:line="400" w:lineRule="exact"/>
              <w:rPr>
                <w:rFonts w:ascii="仿宋_GB2312" w:eastAsia="仿宋_GB2312"/>
                <w:color w:val="FF0000"/>
                <w:sz w:val="28"/>
                <w:szCs w:val="28"/>
              </w:rPr>
            </w:pPr>
            <w:r>
              <w:rPr>
                <w:rFonts w:hint="eastAsia" w:ascii="仿宋_GB2312" w:eastAsia="仿宋_GB2312"/>
                <w:color w:val="FF0000"/>
                <w:sz w:val="28"/>
                <w:szCs w:val="28"/>
              </w:rPr>
              <w:t>中标方自有在职员工</w:t>
            </w:r>
          </w:p>
        </w:tc>
        <w:tc>
          <w:tcPr>
            <w:tcW w:w="1775" w:type="pct"/>
            <w:noWrap w:val="0"/>
            <w:vAlign w:val="center"/>
          </w:tcPr>
          <w:p w14:paraId="2E07DE5B">
            <w:pPr>
              <w:spacing w:line="400" w:lineRule="exact"/>
              <w:rPr>
                <w:rFonts w:ascii="仿宋_GB2312" w:eastAsia="仿宋_GB2312"/>
                <w:sz w:val="28"/>
                <w:szCs w:val="28"/>
              </w:rPr>
            </w:pPr>
            <w:r>
              <w:rPr>
                <w:rFonts w:hint="eastAsia" w:ascii="仿宋_GB2312" w:eastAsia="仿宋_GB2312"/>
                <w:sz w:val="28"/>
                <w:szCs w:val="28"/>
              </w:rPr>
              <w:t>1、具有本科（或以上）学历；</w:t>
            </w:r>
          </w:p>
          <w:p w14:paraId="488FB068">
            <w:pPr>
              <w:spacing w:line="400" w:lineRule="exact"/>
              <w:rPr>
                <w:rFonts w:ascii="仿宋_GB2312" w:eastAsia="仿宋_GB2312"/>
                <w:sz w:val="28"/>
                <w:szCs w:val="28"/>
              </w:rPr>
            </w:pPr>
            <w:r>
              <w:rPr>
                <w:rFonts w:hint="eastAsia" w:ascii="仿宋_GB2312" w:eastAsia="仿宋_GB2312"/>
                <w:sz w:val="28"/>
                <w:szCs w:val="28"/>
              </w:rPr>
              <w:t>2、具有二级/中级或以上企业人力资源管理师（或人力资源管理师）职业资格证书或职业技能等级证书。</w:t>
            </w:r>
          </w:p>
        </w:tc>
      </w:tr>
      <w:tr w14:paraId="2079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08" w:type="pct"/>
            <w:noWrap w:val="0"/>
            <w:vAlign w:val="center"/>
          </w:tcPr>
          <w:p w14:paraId="2C68A900">
            <w:pPr>
              <w:spacing w:line="400" w:lineRule="exact"/>
              <w:jc w:val="center"/>
              <w:rPr>
                <w:rFonts w:ascii="仿宋_GB2312" w:eastAsia="仿宋_GB2312"/>
                <w:sz w:val="28"/>
                <w:szCs w:val="28"/>
              </w:rPr>
            </w:pPr>
            <w:r>
              <w:rPr>
                <w:rFonts w:hint="eastAsia" w:ascii="仿宋_GB2312" w:eastAsia="仿宋_GB2312"/>
                <w:sz w:val="28"/>
                <w:szCs w:val="28"/>
              </w:rPr>
              <w:t>2</w:t>
            </w:r>
          </w:p>
        </w:tc>
        <w:tc>
          <w:tcPr>
            <w:tcW w:w="1152" w:type="pct"/>
            <w:noWrap w:val="0"/>
            <w:vAlign w:val="center"/>
          </w:tcPr>
          <w:p w14:paraId="28C60ECC">
            <w:pPr>
              <w:spacing w:line="400" w:lineRule="exact"/>
              <w:jc w:val="center"/>
              <w:rPr>
                <w:rFonts w:ascii="仿宋_GB2312" w:eastAsia="仿宋_GB2312"/>
                <w:color w:val="FF0000"/>
                <w:sz w:val="28"/>
                <w:szCs w:val="28"/>
              </w:rPr>
            </w:pPr>
            <w:r>
              <w:rPr>
                <w:rFonts w:hint="eastAsia" w:ascii="仿宋_GB2312" w:eastAsia="仿宋_GB2312"/>
                <w:color w:val="FF0000"/>
                <w:sz w:val="28"/>
                <w:szCs w:val="28"/>
              </w:rPr>
              <w:t>问题分析及方案制定人员</w:t>
            </w:r>
          </w:p>
        </w:tc>
        <w:tc>
          <w:tcPr>
            <w:tcW w:w="584" w:type="pct"/>
            <w:noWrap w:val="0"/>
            <w:vAlign w:val="center"/>
          </w:tcPr>
          <w:p w14:paraId="2BCB3825">
            <w:pPr>
              <w:spacing w:line="400" w:lineRule="exact"/>
              <w:jc w:val="center"/>
              <w:rPr>
                <w:rFonts w:ascii="仿宋_GB2312" w:eastAsia="仿宋_GB2312"/>
                <w:color w:val="FF0000"/>
                <w:sz w:val="28"/>
                <w:szCs w:val="28"/>
              </w:rPr>
            </w:pPr>
            <w:r>
              <w:rPr>
                <w:rFonts w:hint="eastAsia" w:ascii="仿宋_GB2312" w:eastAsia="仿宋_GB2312"/>
                <w:color w:val="FF0000"/>
                <w:sz w:val="28"/>
                <w:szCs w:val="28"/>
              </w:rPr>
              <w:t>1</w:t>
            </w:r>
          </w:p>
        </w:tc>
        <w:tc>
          <w:tcPr>
            <w:tcW w:w="1081" w:type="pct"/>
            <w:noWrap w:val="0"/>
            <w:vAlign w:val="center"/>
          </w:tcPr>
          <w:p w14:paraId="68D6DABC">
            <w:pPr>
              <w:spacing w:line="400" w:lineRule="exact"/>
              <w:rPr>
                <w:rFonts w:ascii="仿宋_GB2312" w:eastAsia="仿宋_GB2312"/>
                <w:color w:val="FF0000"/>
                <w:sz w:val="28"/>
                <w:szCs w:val="28"/>
              </w:rPr>
            </w:pPr>
            <w:r>
              <w:rPr>
                <w:rFonts w:hint="eastAsia" w:ascii="仿宋_GB2312" w:eastAsia="仿宋_GB2312"/>
                <w:color w:val="FF0000"/>
                <w:sz w:val="28"/>
                <w:szCs w:val="28"/>
              </w:rPr>
              <w:t>中标方自有在职员工</w:t>
            </w:r>
          </w:p>
        </w:tc>
        <w:tc>
          <w:tcPr>
            <w:tcW w:w="1775" w:type="pct"/>
            <w:noWrap w:val="0"/>
            <w:vAlign w:val="center"/>
          </w:tcPr>
          <w:p w14:paraId="7FF7E80C">
            <w:pPr>
              <w:widowControl/>
              <w:spacing w:line="400" w:lineRule="exact"/>
              <w:rPr>
                <w:rFonts w:ascii="仿宋_GB2312" w:eastAsia="仿宋_GB2312"/>
                <w:sz w:val="28"/>
                <w:szCs w:val="28"/>
              </w:rPr>
            </w:pPr>
            <w:r>
              <w:rPr>
                <w:rFonts w:hint="eastAsia" w:ascii="仿宋_GB2312" w:eastAsia="仿宋_GB2312"/>
                <w:sz w:val="28"/>
                <w:szCs w:val="28"/>
              </w:rPr>
              <w:t>具有本科（或以上）学历</w:t>
            </w:r>
          </w:p>
        </w:tc>
      </w:tr>
      <w:tr w14:paraId="7B04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14:paraId="1DD653DF">
            <w:pPr>
              <w:spacing w:line="400" w:lineRule="exact"/>
              <w:jc w:val="center"/>
              <w:rPr>
                <w:rFonts w:ascii="仿宋_GB2312" w:eastAsia="仿宋_GB2312"/>
                <w:sz w:val="28"/>
                <w:szCs w:val="28"/>
              </w:rPr>
            </w:pPr>
            <w:r>
              <w:rPr>
                <w:rFonts w:hint="eastAsia" w:ascii="仿宋_GB2312" w:eastAsia="仿宋_GB2312"/>
                <w:sz w:val="28"/>
                <w:szCs w:val="28"/>
              </w:rPr>
              <w:t>3</w:t>
            </w:r>
          </w:p>
        </w:tc>
        <w:tc>
          <w:tcPr>
            <w:tcW w:w="1152" w:type="pct"/>
            <w:noWrap w:val="0"/>
            <w:vAlign w:val="center"/>
          </w:tcPr>
          <w:p w14:paraId="5FB624B3">
            <w:pPr>
              <w:spacing w:line="400" w:lineRule="exact"/>
              <w:jc w:val="center"/>
              <w:rPr>
                <w:rFonts w:ascii="仿宋_GB2312" w:eastAsia="仿宋_GB2312"/>
                <w:color w:val="FF0000"/>
                <w:sz w:val="28"/>
                <w:szCs w:val="28"/>
              </w:rPr>
            </w:pPr>
            <w:r>
              <w:rPr>
                <w:rFonts w:hint="eastAsia" w:ascii="仿宋_GB2312" w:hAnsi="仿宋_GB2312" w:eastAsia="仿宋_GB2312" w:cs="仿宋_GB2312"/>
                <w:color w:val="FF0000"/>
                <w:sz w:val="28"/>
                <w:szCs w:val="28"/>
              </w:rPr>
              <w:t>值守及搬运</w:t>
            </w:r>
            <w:r>
              <w:rPr>
                <w:rFonts w:hint="eastAsia" w:ascii="仿宋_GB2312" w:eastAsia="仿宋_GB2312"/>
                <w:color w:val="FF0000"/>
                <w:sz w:val="28"/>
                <w:szCs w:val="28"/>
              </w:rPr>
              <w:t>人员</w:t>
            </w:r>
          </w:p>
        </w:tc>
        <w:tc>
          <w:tcPr>
            <w:tcW w:w="584" w:type="pct"/>
            <w:noWrap w:val="0"/>
            <w:vAlign w:val="center"/>
          </w:tcPr>
          <w:p w14:paraId="60687BB2">
            <w:pPr>
              <w:spacing w:line="400" w:lineRule="exact"/>
              <w:jc w:val="center"/>
              <w:rPr>
                <w:rFonts w:ascii="仿宋_GB2312" w:eastAsia="仿宋_GB2312"/>
                <w:color w:val="FF0000"/>
                <w:sz w:val="28"/>
                <w:szCs w:val="28"/>
              </w:rPr>
            </w:pPr>
            <w:r>
              <w:rPr>
                <w:rFonts w:hint="eastAsia" w:ascii="仿宋_GB2312" w:eastAsia="仿宋_GB2312"/>
                <w:color w:val="FF0000"/>
                <w:sz w:val="28"/>
                <w:szCs w:val="28"/>
              </w:rPr>
              <w:t>43</w:t>
            </w:r>
          </w:p>
        </w:tc>
        <w:tc>
          <w:tcPr>
            <w:tcW w:w="1081" w:type="pct"/>
            <w:noWrap w:val="0"/>
            <w:vAlign w:val="center"/>
          </w:tcPr>
          <w:p w14:paraId="3C683A00">
            <w:pPr>
              <w:spacing w:line="400" w:lineRule="exact"/>
              <w:rPr>
                <w:rFonts w:ascii="仿宋_GB2312" w:eastAsia="仿宋_GB2312"/>
                <w:color w:val="FF0000"/>
                <w:sz w:val="28"/>
                <w:szCs w:val="28"/>
              </w:rPr>
            </w:pPr>
            <w:r>
              <w:rPr>
                <w:rFonts w:hint="eastAsia" w:ascii="仿宋_GB2312" w:eastAsia="仿宋_GB2312"/>
                <w:color w:val="FF0000"/>
                <w:sz w:val="28"/>
                <w:szCs w:val="28"/>
              </w:rPr>
              <w:t>中标方自有在职员工</w:t>
            </w:r>
          </w:p>
        </w:tc>
        <w:tc>
          <w:tcPr>
            <w:tcW w:w="1775" w:type="pct"/>
            <w:noWrap w:val="0"/>
            <w:vAlign w:val="center"/>
          </w:tcPr>
          <w:p w14:paraId="2B7733D2">
            <w:pPr>
              <w:spacing w:line="400" w:lineRule="exact"/>
              <w:rPr>
                <w:rFonts w:ascii="仿宋_GB2312" w:eastAsia="仿宋_GB2312"/>
                <w:sz w:val="28"/>
                <w:szCs w:val="28"/>
              </w:rPr>
            </w:pPr>
          </w:p>
        </w:tc>
      </w:tr>
      <w:tr w14:paraId="076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61" w:type="pct"/>
            <w:gridSpan w:val="2"/>
            <w:noWrap w:val="0"/>
            <w:vAlign w:val="center"/>
          </w:tcPr>
          <w:p w14:paraId="28045E72">
            <w:pPr>
              <w:spacing w:line="400" w:lineRule="exact"/>
              <w:jc w:val="center"/>
              <w:rPr>
                <w:rFonts w:ascii="仿宋_GB2312" w:eastAsia="仿宋_GB2312"/>
                <w:sz w:val="28"/>
                <w:szCs w:val="28"/>
              </w:rPr>
            </w:pPr>
            <w:r>
              <w:rPr>
                <w:rFonts w:hint="eastAsia" w:ascii="仿宋_GB2312" w:eastAsia="仿宋_GB2312"/>
                <w:sz w:val="28"/>
                <w:szCs w:val="28"/>
              </w:rPr>
              <w:t>合计</w:t>
            </w:r>
          </w:p>
        </w:tc>
        <w:tc>
          <w:tcPr>
            <w:tcW w:w="584" w:type="pct"/>
            <w:noWrap w:val="0"/>
            <w:vAlign w:val="center"/>
          </w:tcPr>
          <w:p w14:paraId="14BA5AF7">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1081" w:type="pct"/>
            <w:noWrap w:val="0"/>
            <w:vAlign w:val="center"/>
          </w:tcPr>
          <w:p w14:paraId="22367555">
            <w:pPr>
              <w:spacing w:line="400" w:lineRule="exact"/>
              <w:jc w:val="left"/>
              <w:rPr>
                <w:rFonts w:ascii="仿宋_GB2312" w:eastAsia="仿宋_GB2312"/>
                <w:sz w:val="28"/>
                <w:szCs w:val="28"/>
              </w:rPr>
            </w:pPr>
          </w:p>
        </w:tc>
        <w:tc>
          <w:tcPr>
            <w:tcW w:w="1775" w:type="pct"/>
            <w:noWrap w:val="0"/>
            <w:vAlign w:val="center"/>
          </w:tcPr>
          <w:p w14:paraId="4F916B29">
            <w:pPr>
              <w:spacing w:line="400" w:lineRule="exact"/>
              <w:jc w:val="left"/>
              <w:rPr>
                <w:rFonts w:ascii="仿宋_GB2312" w:eastAsia="仿宋_GB2312"/>
                <w:sz w:val="28"/>
                <w:szCs w:val="28"/>
              </w:rPr>
            </w:pPr>
          </w:p>
        </w:tc>
      </w:tr>
    </w:tbl>
    <w:p w14:paraId="2A6750FE">
      <w:pPr>
        <w:spacing w:line="560"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2、工作要求</w:t>
      </w:r>
    </w:p>
    <w:p w14:paraId="45D7CA18">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（1）工作时间要求</w:t>
      </w:r>
    </w:p>
    <w:p w14:paraId="7158B48C">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1.服务人员 </w:t>
      </w:r>
    </w:p>
    <w:p w14:paraId="3EEFEAC0">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安排31名服务人员工作时间为每日8小时。工作期间不得擅自离岗、早退、如需请假，须提前向相关负责人报备，经批准后方可离开。</w:t>
      </w:r>
    </w:p>
    <w:p w14:paraId="61F81C4F">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2.拖车及搬运人员</w:t>
      </w:r>
    </w:p>
    <w:p w14:paraId="0BB00774">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安排6辆拖车，每辆拖车安排2名搬运工作人员，工作时间不少于4小时，可根据辖区交通高峰时段（如早晚出行高峰、商圈客流高峰、学校上下学时段等）灵活安排具体工作时间或听从街道指挥安排，确保在交通繁忙时段能有效开展工作。搬运人员需与所负责的拖车工作时间保持一致，不得擅自脱离岗位、早退、如需请假，须提前向相关负责人报备，经批准后方可离开。</w:t>
      </w:r>
    </w:p>
    <w:p w14:paraId="449656F0">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（2）服务要求</w:t>
      </w:r>
    </w:p>
    <w:p w14:paraId="1878A39A">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1.服务人员</w:t>
      </w:r>
    </w:p>
    <w:p w14:paraId="602FCE93">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31名服务人员在指定点位出入口、人行通道、非机动车停放区等重点区域进行定点值守与不间断流动巡查，及时发现并礼貌劝阻意图停放或已违规停放的车辆。对已违停车辆，应迅速、安全地将其挪移至附近指定的非机动车停放区域，并确保摆放整齐、朝向一致，不得阻塞消防通道、盲道、人行通道、非机动车、机动车道和出入口等通道。</w:t>
      </w:r>
    </w:p>
    <w:p w14:paraId="0A8933E7">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积极引导市民自觉遵守交通规则，劝阻奔跑、打闹等不安全行为。在交通高峰时段（如早晚出行高峰、商圈客流高峰、学校上下学时段等）协助进行人流疏导，防止拥堵，确保通行安全顺畅，向市民宣传文明出行、规范停车的重要意义，提升市民自觉维护交通秩序的意识。引导过程中文明用语，面对不理解、不配合甚至情绪激动的市民，保持冷静克制，耐心解释，理性沟通。</w:t>
      </w:r>
    </w:p>
    <w:p w14:paraId="16122D58">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工作时间必须按规定穿着统一的工装或制服，工作期间不从事与工作无关的活动，保持衣物干净、整洁、无破损。服从街道统一指挥和管理。</w:t>
      </w:r>
    </w:p>
    <w:p w14:paraId="104352EB">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2.拖车及搬运人员</w:t>
      </w:r>
    </w:p>
    <w:p w14:paraId="6CA9A0FC">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拖车驾驶员必须持有相应准驾车型的有效驾驶证，严格遵守交通法规，安全、文明驾驶。服务车辆应停放在违停车辆附近的安全区域，开启双闪警示灯，不得影响其他车辆与行人正常通行。</w:t>
      </w:r>
    </w:p>
    <w:p w14:paraId="19FB1299">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抵达现场后，应首先快速判断违停车辆是否属于挪移范围（如堵塞消防通道、盲道、出入口、占用机动车道、非机动车道、人行道等）。</w:t>
      </w:r>
    </w:p>
    <w:p w14:paraId="4A2F30AB">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挪移前，须对违停车辆状况进行简要检查（如有明显损坏需记录），并采用拍照或录像等方式进行取证存档，记录违停位置、时间、车辆特征。挪移过程中，应使用专业工具（如挪车器）确保操作平稳、轻抬轻放，避免因拖拽、磕碰等造成车辆二次损坏。将车辆搬运至服务车辆上后运送至指定停放区域。</w:t>
      </w:r>
    </w:p>
    <w:p w14:paraId="2CEC8D98">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挪移违停车辆中，如遇车主在场应文明用语，宣传文明规范停车的重要性，避免与车主发生语言或肢体冲突，禁止使用任何挑衅性、侮辱性、威胁性的语言。</w:t>
      </w:r>
    </w:p>
    <w:p w14:paraId="4CE12BC2">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工作人员需穿着统一制式的工装或反光背心，工作期间不从事与工作无关的活动，工作期间不迟到、不早退。服从街道统一指挥和管理。</w:t>
      </w:r>
    </w:p>
    <w:p w14:paraId="2E1063AE">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3.项目管理人员</w:t>
      </w:r>
    </w:p>
    <w:p w14:paraId="5C76075F">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项目服务任务重、时间短，短时间内需做好大量服务人员的统筹安排和协调，项目负责人应具备较强的人力资源管理、组织、协调能力。问题分析及方案制定人员应具备较好的问题分析学识及写作能力。</w:t>
      </w:r>
    </w:p>
    <w:p w14:paraId="51045753">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（3）冲突处理要求</w:t>
      </w:r>
    </w:p>
    <w:p w14:paraId="7CBD0B4F">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如在工作中遇市民情绪激烈，服务人员要保持冷静，首先尝试与市民进行沟通，了解其诉求，耐心解释相关规定和工作目的，争取市民的理解和配合。</w:t>
      </w:r>
    </w:p>
    <w:p w14:paraId="03DEA4DF">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若沟通无效，冲突有升级趋势，服务人员不得与市民发生语音或肢体冲突，应立即向现场负责人或相关部门报告，请求支援。</w:t>
      </w:r>
    </w:p>
    <w:p w14:paraId="3EF93763">
      <w:pPr>
        <w:spacing w:line="560" w:lineRule="exact"/>
        <w:ind w:right="29" w:rightChars="14" w:firstLine="560" w:firstLineChars="200"/>
        <w:rPr>
          <w:rFonts w:ascii="仿宋_GB2312" w:hAnsi="仿宋" w:eastAsia="仿宋_GB2312" w:cs="仿宋"/>
          <w:sz w:val="28"/>
          <w:szCs w:val="28"/>
        </w:rPr>
      </w:pPr>
      <w:r>
        <w:rPr>
          <w:rFonts w:hint="eastAsia" w:ascii="仿宋_GB2312" w:hAnsi="仿宋" w:eastAsia="仿宋_GB2312" w:cs="仿宋"/>
          <w:sz w:val="28"/>
          <w:szCs w:val="28"/>
        </w:rPr>
        <w:t>在等待支援期间，要尽量控制现场局面，避免冲突扩大，保护自身和市民的人身安全。</w:t>
      </w:r>
    </w:p>
    <w:p w14:paraId="13E2B2D2">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（4）服务点位基本情况及预算安排</w:t>
      </w:r>
    </w:p>
    <w:tbl>
      <w:tblPr>
        <w:tblStyle w:val="8"/>
        <w:tblW w:w="8522" w:type="dxa"/>
        <w:jc w:val="center"/>
        <w:tblLayout w:type="autofit"/>
        <w:tblCellMar>
          <w:top w:w="0" w:type="dxa"/>
          <w:left w:w="108" w:type="dxa"/>
          <w:bottom w:w="0" w:type="dxa"/>
          <w:right w:w="108" w:type="dxa"/>
        </w:tblCellMar>
      </w:tblPr>
      <w:tblGrid>
        <w:gridCol w:w="675"/>
        <w:gridCol w:w="92"/>
        <w:gridCol w:w="939"/>
        <w:gridCol w:w="201"/>
        <w:gridCol w:w="2090"/>
        <w:gridCol w:w="80"/>
        <w:gridCol w:w="1636"/>
        <w:gridCol w:w="653"/>
        <w:gridCol w:w="201"/>
        <w:gridCol w:w="855"/>
        <w:gridCol w:w="6"/>
        <w:gridCol w:w="1050"/>
        <w:gridCol w:w="44"/>
      </w:tblGrid>
      <w:tr w14:paraId="06BA727B">
        <w:tblPrEx>
          <w:tblCellMar>
            <w:top w:w="0" w:type="dxa"/>
            <w:left w:w="108" w:type="dxa"/>
            <w:bottom w:w="0" w:type="dxa"/>
            <w:right w:w="108" w:type="dxa"/>
          </w:tblCellMar>
        </w:tblPrEx>
        <w:trPr>
          <w:gridAfter w:val="1"/>
          <w:wAfter w:w="44" w:type="dxa"/>
          <w:trHeight w:val="492" w:hRule="atLeast"/>
          <w:jc w:val="center"/>
        </w:trPr>
        <w:tc>
          <w:tcPr>
            <w:tcW w:w="3997" w:type="dxa"/>
            <w:gridSpan w:val="5"/>
            <w:tcBorders>
              <w:top w:val="single" w:color="000000" w:sz="4" w:space="0"/>
              <w:left w:val="single" w:color="000000" w:sz="4" w:space="0"/>
              <w:bottom w:val="single" w:color="000000" w:sz="4" w:space="0"/>
              <w:right w:val="single" w:color="000000" w:sz="4" w:space="0"/>
            </w:tcBorders>
            <w:noWrap w:val="0"/>
            <w:vAlign w:val="center"/>
          </w:tcPr>
          <w:p w14:paraId="621F3EAF">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点位基本情况</w:t>
            </w:r>
          </w:p>
        </w:tc>
        <w:tc>
          <w:tcPr>
            <w:tcW w:w="4481" w:type="dxa"/>
            <w:gridSpan w:val="7"/>
            <w:tcBorders>
              <w:top w:val="single" w:color="000000" w:sz="4" w:space="0"/>
              <w:left w:val="single" w:color="000000" w:sz="4" w:space="0"/>
              <w:bottom w:val="single" w:color="000000" w:sz="4" w:space="0"/>
              <w:right w:val="single" w:color="auto" w:sz="4" w:space="0"/>
            </w:tcBorders>
            <w:noWrap w:val="0"/>
            <w:vAlign w:val="center"/>
          </w:tcPr>
          <w:p w14:paraId="73029DE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值守服务人员预算</w:t>
            </w:r>
          </w:p>
        </w:tc>
      </w:tr>
      <w:tr w14:paraId="351743E2">
        <w:tblPrEx>
          <w:tblCellMar>
            <w:top w:w="0" w:type="dxa"/>
            <w:left w:w="108" w:type="dxa"/>
            <w:bottom w:w="0" w:type="dxa"/>
            <w:right w:w="108" w:type="dxa"/>
          </w:tblCellMar>
        </w:tblPrEx>
        <w:trPr>
          <w:gridAfter w:val="1"/>
          <w:wAfter w:w="44" w:type="dxa"/>
          <w:trHeight w:val="957" w:hRule="atLeast"/>
          <w:jc w:val="center"/>
        </w:trPr>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14:paraId="0E38E39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序号</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6F5829B5">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类别</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0BF4CA3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名称（出入口数）</w:t>
            </w:r>
          </w:p>
        </w:tc>
        <w:tc>
          <w:tcPr>
            <w:tcW w:w="2369" w:type="dxa"/>
            <w:gridSpan w:val="3"/>
            <w:tcBorders>
              <w:top w:val="single" w:color="000000" w:sz="4" w:space="0"/>
              <w:left w:val="single" w:color="000000" w:sz="4" w:space="0"/>
              <w:bottom w:val="single" w:color="000000" w:sz="4" w:space="0"/>
              <w:right w:val="single" w:color="000000" w:sz="4" w:space="0"/>
            </w:tcBorders>
            <w:noWrap w:val="0"/>
            <w:vAlign w:val="center"/>
          </w:tcPr>
          <w:p w14:paraId="675EA7EE">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服务人员单价费用（元/人/天）</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5F2AC310">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人数（人）</w:t>
            </w:r>
          </w:p>
        </w:tc>
        <w:tc>
          <w:tcPr>
            <w:tcW w:w="1056" w:type="dxa"/>
            <w:gridSpan w:val="2"/>
            <w:tcBorders>
              <w:top w:val="single" w:color="000000" w:sz="4" w:space="0"/>
              <w:left w:val="single" w:color="000000" w:sz="4" w:space="0"/>
              <w:bottom w:val="single" w:color="000000" w:sz="4" w:space="0"/>
              <w:right w:val="single" w:color="auto" w:sz="4" w:space="0"/>
            </w:tcBorders>
            <w:noWrap w:val="0"/>
            <w:vAlign w:val="center"/>
          </w:tcPr>
          <w:p w14:paraId="08427D7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实施期限（天）</w:t>
            </w:r>
          </w:p>
        </w:tc>
      </w:tr>
      <w:tr w14:paraId="6688DE25">
        <w:tblPrEx>
          <w:tblCellMar>
            <w:top w:w="0" w:type="dxa"/>
            <w:left w:w="108" w:type="dxa"/>
            <w:bottom w:w="0" w:type="dxa"/>
            <w:right w:w="108" w:type="dxa"/>
          </w:tblCellMar>
        </w:tblPrEx>
        <w:trPr>
          <w:gridAfter w:val="1"/>
          <w:wAfter w:w="44" w:type="dxa"/>
          <w:trHeight w:val="641" w:hRule="atLeast"/>
          <w:jc w:val="center"/>
        </w:trPr>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14:paraId="186CC76D">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1</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0A1D2D78">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67A64388">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六约北地铁站（6）</w:t>
            </w:r>
          </w:p>
        </w:tc>
        <w:tc>
          <w:tcPr>
            <w:tcW w:w="2369" w:type="dxa"/>
            <w:gridSpan w:val="3"/>
            <w:tcBorders>
              <w:top w:val="single" w:color="000000" w:sz="4" w:space="0"/>
              <w:left w:val="single" w:color="000000" w:sz="4" w:space="0"/>
              <w:bottom w:val="single" w:color="000000" w:sz="4" w:space="0"/>
              <w:right w:val="single" w:color="000000" w:sz="4" w:space="0"/>
            </w:tcBorders>
            <w:noWrap w:val="0"/>
            <w:vAlign w:val="center"/>
          </w:tcPr>
          <w:p w14:paraId="6F6751FE">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200</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57F23184">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6</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7E981930">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1DBDD09C">
        <w:tblPrEx>
          <w:tblCellMar>
            <w:top w:w="0" w:type="dxa"/>
            <w:left w:w="108" w:type="dxa"/>
            <w:bottom w:w="0" w:type="dxa"/>
            <w:right w:w="108" w:type="dxa"/>
          </w:tblCellMar>
        </w:tblPrEx>
        <w:trPr>
          <w:gridAfter w:val="1"/>
          <w:wAfter w:w="44" w:type="dxa"/>
          <w:trHeight w:val="550" w:hRule="atLeast"/>
          <w:jc w:val="center"/>
        </w:trPr>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14:paraId="4172BA1C">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3EB2470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21A4B73E">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四联地铁站（4）</w:t>
            </w:r>
          </w:p>
        </w:tc>
        <w:tc>
          <w:tcPr>
            <w:tcW w:w="2369" w:type="dxa"/>
            <w:gridSpan w:val="3"/>
            <w:tcBorders>
              <w:top w:val="single" w:color="000000" w:sz="4" w:space="0"/>
              <w:left w:val="single" w:color="000000" w:sz="4" w:space="0"/>
              <w:bottom w:val="single" w:color="000000" w:sz="4" w:space="0"/>
              <w:right w:val="single" w:color="000000" w:sz="4" w:space="0"/>
            </w:tcBorders>
            <w:noWrap w:val="0"/>
            <w:vAlign w:val="center"/>
          </w:tcPr>
          <w:p w14:paraId="3F941A44">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200</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327EF1BD">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8</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21311C5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525DF01F">
        <w:tblPrEx>
          <w:tblCellMar>
            <w:top w:w="0" w:type="dxa"/>
            <w:left w:w="108" w:type="dxa"/>
            <w:bottom w:w="0" w:type="dxa"/>
            <w:right w:w="108" w:type="dxa"/>
          </w:tblCellMar>
        </w:tblPrEx>
        <w:trPr>
          <w:gridAfter w:val="1"/>
          <w:wAfter w:w="44" w:type="dxa"/>
          <w:trHeight w:val="550" w:hRule="atLeast"/>
          <w:jc w:val="center"/>
        </w:trPr>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14:paraId="13D9A379">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3</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7EBC207E">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6EC81F3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横岗地铁站（4）</w:t>
            </w:r>
          </w:p>
        </w:tc>
        <w:tc>
          <w:tcPr>
            <w:tcW w:w="2369" w:type="dxa"/>
            <w:gridSpan w:val="3"/>
            <w:tcBorders>
              <w:top w:val="single" w:color="000000" w:sz="4" w:space="0"/>
              <w:left w:val="single" w:color="000000" w:sz="4" w:space="0"/>
              <w:bottom w:val="single" w:color="000000" w:sz="4" w:space="0"/>
              <w:right w:val="single" w:color="000000" w:sz="4" w:space="0"/>
            </w:tcBorders>
            <w:noWrap w:val="0"/>
            <w:vAlign w:val="center"/>
          </w:tcPr>
          <w:p w14:paraId="07BA301E">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200</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6135289D">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6</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4772BE89">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28D577BD">
        <w:tblPrEx>
          <w:tblCellMar>
            <w:top w:w="0" w:type="dxa"/>
            <w:left w:w="108" w:type="dxa"/>
            <w:bottom w:w="0" w:type="dxa"/>
            <w:right w:w="108" w:type="dxa"/>
          </w:tblCellMar>
        </w:tblPrEx>
        <w:trPr>
          <w:gridAfter w:val="1"/>
          <w:wAfter w:w="44" w:type="dxa"/>
          <w:trHeight w:val="550" w:hRule="atLeast"/>
          <w:jc w:val="center"/>
        </w:trPr>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14:paraId="4D8F59B6">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275B5A9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58615B15">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塘坑地铁站（2）</w:t>
            </w:r>
          </w:p>
        </w:tc>
        <w:tc>
          <w:tcPr>
            <w:tcW w:w="2369" w:type="dxa"/>
            <w:gridSpan w:val="3"/>
            <w:tcBorders>
              <w:top w:val="single" w:color="000000" w:sz="4" w:space="0"/>
              <w:left w:val="single" w:color="000000" w:sz="4" w:space="0"/>
              <w:bottom w:val="single" w:color="000000" w:sz="4" w:space="0"/>
              <w:right w:val="single" w:color="000000" w:sz="4" w:space="0"/>
            </w:tcBorders>
            <w:noWrap w:val="0"/>
            <w:vAlign w:val="center"/>
          </w:tcPr>
          <w:p w14:paraId="727EFD82">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200</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5333C08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3</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0E0E580F">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3F5F32B6">
        <w:tblPrEx>
          <w:tblCellMar>
            <w:top w:w="0" w:type="dxa"/>
            <w:left w:w="108" w:type="dxa"/>
            <w:bottom w:w="0" w:type="dxa"/>
            <w:right w:w="108" w:type="dxa"/>
          </w:tblCellMar>
        </w:tblPrEx>
        <w:trPr>
          <w:gridAfter w:val="1"/>
          <w:wAfter w:w="44" w:type="dxa"/>
          <w:trHeight w:val="550" w:hRule="atLeast"/>
          <w:jc w:val="center"/>
        </w:trPr>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14:paraId="09537D4B">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5</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1DF94D8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6150550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六约地铁站（5）</w:t>
            </w:r>
          </w:p>
        </w:tc>
        <w:tc>
          <w:tcPr>
            <w:tcW w:w="2369" w:type="dxa"/>
            <w:gridSpan w:val="3"/>
            <w:tcBorders>
              <w:top w:val="single" w:color="000000" w:sz="4" w:space="0"/>
              <w:left w:val="single" w:color="000000" w:sz="4" w:space="0"/>
              <w:bottom w:val="single" w:color="000000" w:sz="4" w:space="0"/>
              <w:right w:val="single" w:color="000000" w:sz="4" w:space="0"/>
            </w:tcBorders>
            <w:noWrap w:val="0"/>
            <w:vAlign w:val="center"/>
          </w:tcPr>
          <w:p w14:paraId="5748B73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200</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66B8A4FE">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5A5A635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5ECBFA1A">
        <w:tblPrEx>
          <w:tblCellMar>
            <w:top w:w="0" w:type="dxa"/>
            <w:left w:w="108" w:type="dxa"/>
            <w:bottom w:w="0" w:type="dxa"/>
            <w:right w:w="108" w:type="dxa"/>
          </w:tblCellMar>
        </w:tblPrEx>
        <w:trPr>
          <w:gridAfter w:val="1"/>
          <w:wAfter w:w="44" w:type="dxa"/>
          <w:trHeight w:val="641" w:hRule="atLeast"/>
          <w:jc w:val="center"/>
        </w:trPr>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14:paraId="0376C3AF">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6</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3FEC180B">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学校</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7990810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四联路四联小学（1）</w:t>
            </w:r>
          </w:p>
        </w:tc>
        <w:tc>
          <w:tcPr>
            <w:tcW w:w="2369" w:type="dxa"/>
            <w:gridSpan w:val="3"/>
            <w:tcBorders>
              <w:top w:val="single" w:color="000000" w:sz="4" w:space="0"/>
              <w:left w:val="single" w:color="000000" w:sz="4" w:space="0"/>
              <w:bottom w:val="single" w:color="000000" w:sz="4" w:space="0"/>
              <w:right w:val="single" w:color="000000" w:sz="4" w:space="0"/>
            </w:tcBorders>
            <w:noWrap w:val="0"/>
            <w:vAlign w:val="center"/>
          </w:tcPr>
          <w:p w14:paraId="4416198F">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200</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05252DD8">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363F23DE">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4B99AF5D">
        <w:tblPrEx>
          <w:tblCellMar>
            <w:top w:w="0" w:type="dxa"/>
            <w:left w:w="108" w:type="dxa"/>
            <w:bottom w:w="0" w:type="dxa"/>
            <w:right w:w="108" w:type="dxa"/>
          </w:tblCellMar>
        </w:tblPrEx>
        <w:trPr>
          <w:gridAfter w:val="1"/>
          <w:wAfter w:w="44" w:type="dxa"/>
          <w:trHeight w:val="550" w:hRule="atLeast"/>
          <w:jc w:val="center"/>
        </w:trPr>
        <w:tc>
          <w:tcPr>
            <w:tcW w:w="767" w:type="dxa"/>
            <w:gridSpan w:val="2"/>
            <w:tcBorders>
              <w:top w:val="single" w:color="000000" w:sz="4" w:space="0"/>
              <w:left w:val="single" w:color="000000" w:sz="4" w:space="0"/>
              <w:bottom w:val="single" w:color="000000" w:sz="4" w:space="0"/>
              <w:right w:val="single" w:color="000000" w:sz="4" w:space="0"/>
            </w:tcBorders>
            <w:noWrap w:val="0"/>
            <w:vAlign w:val="center"/>
          </w:tcPr>
          <w:p w14:paraId="5CD8422B">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7</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14:paraId="75A8E48B">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学校</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46D7085F">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六约学校</w:t>
            </w:r>
          </w:p>
        </w:tc>
        <w:tc>
          <w:tcPr>
            <w:tcW w:w="2369" w:type="dxa"/>
            <w:gridSpan w:val="3"/>
            <w:tcBorders>
              <w:top w:val="single" w:color="000000" w:sz="4" w:space="0"/>
              <w:left w:val="single" w:color="000000" w:sz="4" w:space="0"/>
              <w:bottom w:val="single" w:color="000000" w:sz="4" w:space="0"/>
              <w:right w:val="single" w:color="000000" w:sz="4" w:space="0"/>
            </w:tcBorders>
            <w:noWrap w:val="0"/>
            <w:vAlign w:val="center"/>
          </w:tcPr>
          <w:p w14:paraId="77D0F5A9">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200</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15864D98">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49D78C1B">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385EDE68">
        <w:tblPrEx>
          <w:tblCellMar>
            <w:top w:w="0" w:type="dxa"/>
            <w:left w:w="108" w:type="dxa"/>
            <w:bottom w:w="0" w:type="dxa"/>
            <w:right w:w="108" w:type="dxa"/>
          </w:tblCellMar>
        </w:tblPrEx>
        <w:trPr>
          <w:trHeight w:val="686" w:hRule="atLeast"/>
          <w:jc w:val="center"/>
        </w:trPr>
        <w:tc>
          <w:tcPr>
            <w:tcW w:w="4077" w:type="dxa"/>
            <w:gridSpan w:val="6"/>
            <w:tcBorders>
              <w:top w:val="single" w:color="000000" w:sz="4" w:space="0"/>
              <w:left w:val="single" w:color="000000" w:sz="4" w:space="0"/>
              <w:bottom w:val="single" w:color="000000" w:sz="4" w:space="0"/>
              <w:right w:val="single" w:color="000000" w:sz="4" w:space="0"/>
            </w:tcBorders>
            <w:noWrap w:val="0"/>
            <w:vAlign w:val="center"/>
          </w:tcPr>
          <w:p w14:paraId="011AA500">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点位基本情况</w:t>
            </w:r>
          </w:p>
        </w:tc>
        <w:tc>
          <w:tcPr>
            <w:tcW w:w="4445" w:type="dxa"/>
            <w:gridSpan w:val="7"/>
            <w:tcBorders>
              <w:top w:val="single" w:color="000000" w:sz="4" w:space="0"/>
              <w:left w:val="single" w:color="000000" w:sz="4" w:space="0"/>
              <w:bottom w:val="single" w:color="000000" w:sz="4" w:space="0"/>
              <w:right w:val="single" w:color="auto" w:sz="4" w:space="0"/>
            </w:tcBorders>
            <w:noWrap w:val="0"/>
            <w:vAlign w:val="center"/>
          </w:tcPr>
          <w:p w14:paraId="5933935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违停拖车经费测算</w:t>
            </w:r>
          </w:p>
        </w:tc>
      </w:tr>
      <w:tr w14:paraId="4F5702B0">
        <w:tblPrEx>
          <w:tblCellMar>
            <w:top w:w="0" w:type="dxa"/>
            <w:left w:w="108" w:type="dxa"/>
            <w:bottom w:w="0" w:type="dxa"/>
            <w:right w:w="108" w:type="dxa"/>
          </w:tblCellMar>
        </w:tblPrEx>
        <w:trPr>
          <w:trHeight w:val="23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2E339A">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序号</w:t>
            </w:r>
          </w:p>
        </w:tc>
        <w:tc>
          <w:tcPr>
            <w:tcW w:w="1031" w:type="dxa"/>
            <w:gridSpan w:val="2"/>
            <w:tcBorders>
              <w:top w:val="single" w:color="000000" w:sz="4" w:space="0"/>
              <w:left w:val="single" w:color="000000" w:sz="4" w:space="0"/>
              <w:bottom w:val="single" w:color="000000" w:sz="4" w:space="0"/>
              <w:right w:val="single" w:color="000000" w:sz="4" w:space="0"/>
            </w:tcBorders>
            <w:noWrap w:val="0"/>
            <w:vAlign w:val="center"/>
          </w:tcPr>
          <w:p w14:paraId="688C50F4">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类别</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14:paraId="128458C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名称（出入口数）</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7D87CD7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三吨平板拖车费用（租赁车辆）</w:t>
            </w:r>
          </w:p>
        </w:tc>
        <w:tc>
          <w:tcPr>
            <w:tcW w:w="854" w:type="dxa"/>
            <w:gridSpan w:val="2"/>
            <w:tcBorders>
              <w:top w:val="single" w:color="000000" w:sz="4" w:space="0"/>
              <w:left w:val="single" w:color="000000" w:sz="4" w:space="0"/>
              <w:bottom w:val="single" w:color="000000" w:sz="4" w:space="0"/>
              <w:right w:val="single" w:color="000000" w:sz="4" w:space="0"/>
            </w:tcBorders>
            <w:noWrap w:val="0"/>
            <w:vAlign w:val="center"/>
          </w:tcPr>
          <w:p w14:paraId="676C3B49">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搬运人员数量</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01DE9FF2">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搬运工</w:t>
            </w:r>
            <w:r>
              <w:rPr>
                <w:rFonts w:hint="eastAsia" w:ascii="仿宋_GB2312" w:hAnsi="宋体" w:eastAsia="仿宋_GB2312" w:cs="宋体"/>
                <w:kern w:val="0"/>
                <w:sz w:val="28"/>
                <w:szCs w:val="28"/>
                <w:highlight w:val="yellow"/>
              </w:rPr>
              <w:t>单价</w:t>
            </w:r>
            <w:r>
              <w:rPr>
                <w:rFonts w:hint="eastAsia" w:ascii="仿宋_GB2312" w:hAnsi="宋体" w:eastAsia="仿宋_GB2312" w:cs="宋体"/>
                <w:kern w:val="0"/>
                <w:sz w:val="28"/>
                <w:szCs w:val="28"/>
              </w:rPr>
              <w:t>费用（元/人/天）</w:t>
            </w:r>
          </w:p>
        </w:tc>
        <w:tc>
          <w:tcPr>
            <w:tcW w:w="1094" w:type="dxa"/>
            <w:gridSpan w:val="2"/>
            <w:tcBorders>
              <w:top w:val="single" w:color="000000" w:sz="4" w:space="0"/>
              <w:left w:val="single" w:color="000000" w:sz="4" w:space="0"/>
              <w:bottom w:val="single" w:color="000000" w:sz="4" w:space="0"/>
              <w:right w:val="single" w:color="auto" w:sz="4" w:space="0"/>
            </w:tcBorders>
            <w:noWrap w:val="0"/>
            <w:vAlign w:val="center"/>
          </w:tcPr>
          <w:p w14:paraId="4C365940">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实施期限（天）</w:t>
            </w:r>
          </w:p>
        </w:tc>
      </w:tr>
      <w:tr w14:paraId="1683853A">
        <w:tblPrEx>
          <w:tblCellMar>
            <w:top w:w="0" w:type="dxa"/>
            <w:left w:w="108" w:type="dxa"/>
            <w:bottom w:w="0" w:type="dxa"/>
            <w:right w:w="108" w:type="dxa"/>
          </w:tblCellMar>
        </w:tblPrEx>
        <w:trPr>
          <w:trHeight w:val="778"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18537A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1</w:t>
            </w:r>
          </w:p>
        </w:tc>
        <w:tc>
          <w:tcPr>
            <w:tcW w:w="1031" w:type="dxa"/>
            <w:gridSpan w:val="2"/>
            <w:tcBorders>
              <w:top w:val="single" w:color="000000" w:sz="4" w:space="0"/>
              <w:left w:val="single" w:color="000000" w:sz="4" w:space="0"/>
              <w:bottom w:val="single" w:color="000000" w:sz="4" w:space="0"/>
              <w:right w:val="single" w:color="000000" w:sz="4" w:space="0"/>
            </w:tcBorders>
            <w:noWrap w:val="0"/>
            <w:vAlign w:val="center"/>
          </w:tcPr>
          <w:p w14:paraId="3F61DB7C">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14:paraId="07615B0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六约北地铁站（6）</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585750A6">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500</w:t>
            </w:r>
          </w:p>
        </w:tc>
        <w:tc>
          <w:tcPr>
            <w:tcW w:w="854" w:type="dxa"/>
            <w:gridSpan w:val="2"/>
            <w:tcBorders>
              <w:top w:val="single" w:color="000000" w:sz="4" w:space="0"/>
              <w:left w:val="single" w:color="000000" w:sz="4" w:space="0"/>
              <w:bottom w:val="single" w:color="000000" w:sz="4" w:space="0"/>
              <w:right w:val="single" w:color="000000" w:sz="4" w:space="0"/>
            </w:tcBorders>
            <w:noWrap w:val="0"/>
            <w:vAlign w:val="center"/>
          </w:tcPr>
          <w:p w14:paraId="027B6662">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285F15E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100</w:t>
            </w:r>
          </w:p>
        </w:tc>
        <w:tc>
          <w:tcPr>
            <w:tcW w:w="1094" w:type="dxa"/>
            <w:gridSpan w:val="2"/>
            <w:tcBorders>
              <w:top w:val="single" w:color="000000" w:sz="4" w:space="0"/>
              <w:left w:val="single" w:color="000000" w:sz="4" w:space="0"/>
              <w:bottom w:val="single" w:color="000000" w:sz="4" w:space="0"/>
              <w:right w:val="single" w:color="000000" w:sz="4" w:space="0"/>
            </w:tcBorders>
            <w:noWrap w:val="0"/>
            <w:vAlign w:val="center"/>
          </w:tcPr>
          <w:p w14:paraId="43C68084">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7E3288AD">
        <w:tblPrEx>
          <w:tblCellMar>
            <w:top w:w="0" w:type="dxa"/>
            <w:left w:w="108" w:type="dxa"/>
            <w:bottom w:w="0" w:type="dxa"/>
            <w:right w:w="108" w:type="dxa"/>
          </w:tblCellMar>
        </w:tblPrEx>
        <w:trPr>
          <w:trHeight w:val="778"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A777C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1031" w:type="dxa"/>
            <w:gridSpan w:val="2"/>
            <w:tcBorders>
              <w:top w:val="single" w:color="000000" w:sz="4" w:space="0"/>
              <w:left w:val="single" w:color="000000" w:sz="4" w:space="0"/>
              <w:bottom w:val="single" w:color="000000" w:sz="4" w:space="0"/>
              <w:right w:val="single" w:color="000000" w:sz="4" w:space="0"/>
            </w:tcBorders>
            <w:noWrap w:val="0"/>
            <w:vAlign w:val="center"/>
          </w:tcPr>
          <w:p w14:paraId="38B8F11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14:paraId="15C009D8">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四联地铁站（4）</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7FB563B8">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500</w:t>
            </w:r>
          </w:p>
        </w:tc>
        <w:tc>
          <w:tcPr>
            <w:tcW w:w="854" w:type="dxa"/>
            <w:gridSpan w:val="2"/>
            <w:tcBorders>
              <w:top w:val="single" w:color="000000" w:sz="4" w:space="0"/>
              <w:left w:val="single" w:color="000000" w:sz="4" w:space="0"/>
              <w:bottom w:val="single" w:color="000000" w:sz="4" w:space="0"/>
              <w:right w:val="single" w:color="000000" w:sz="4" w:space="0"/>
            </w:tcBorders>
            <w:noWrap w:val="0"/>
            <w:vAlign w:val="center"/>
          </w:tcPr>
          <w:p w14:paraId="2FEC73E0">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239D6776">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100</w:t>
            </w:r>
          </w:p>
        </w:tc>
        <w:tc>
          <w:tcPr>
            <w:tcW w:w="1094" w:type="dxa"/>
            <w:gridSpan w:val="2"/>
            <w:tcBorders>
              <w:top w:val="single" w:color="000000" w:sz="4" w:space="0"/>
              <w:left w:val="single" w:color="000000" w:sz="4" w:space="0"/>
              <w:bottom w:val="single" w:color="000000" w:sz="4" w:space="0"/>
              <w:right w:val="single" w:color="000000" w:sz="4" w:space="0"/>
            </w:tcBorders>
            <w:noWrap w:val="0"/>
            <w:vAlign w:val="center"/>
          </w:tcPr>
          <w:p w14:paraId="4BD9078C">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4C91A4BD">
        <w:tblPrEx>
          <w:tblCellMar>
            <w:top w:w="0" w:type="dxa"/>
            <w:left w:w="108" w:type="dxa"/>
            <w:bottom w:w="0" w:type="dxa"/>
            <w:right w:w="108" w:type="dxa"/>
          </w:tblCellMar>
        </w:tblPrEx>
        <w:trPr>
          <w:trHeight w:val="778"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EF919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3</w:t>
            </w:r>
          </w:p>
        </w:tc>
        <w:tc>
          <w:tcPr>
            <w:tcW w:w="1031" w:type="dxa"/>
            <w:gridSpan w:val="2"/>
            <w:tcBorders>
              <w:top w:val="single" w:color="000000" w:sz="4" w:space="0"/>
              <w:left w:val="single" w:color="000000" w:sz="4" w:space="0"/>
              <w:bottom w:val="single" w:color="000000" w:sz="4" w:space="0"/>
              <w:right w:val="single" w:color="000000" w:sz="4" w:space="0"/>
            </w:tcBorders>
            <w:noWrap w:val="0"/>
            <w:vAlign w:val="center"/>
          </w:tcPr>
          <w:p w14:paraId="28548C7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14:paraId="3A7A95BF">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横岗地铁站（4）</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1F168A8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500</w:t>
            </w:r>
          </w:p>
        </w:tc>
        <w:tc>
          <w:tcPr>
            <w:tcW w:w="854" w:type="dxa"/>
            <w:gridSpan w:val="2"/>
            <w:tcBorders>
              <w:top w:val="single" w:color="000000" w:sz="4" w:space="0"/>
              <w:left w:val="single" w:color="000000" w:sz="4" w:space="0"/>
              <w:bottom w:val="single" w:color="000000" w:sz="4" w:space="0"/>
              <w:right w:val="single" w:color="000000" w:sz="4" w:space="0"/>
            </w:tcBorders>
            <w:noWrap w:val="0"/>
            <w:vAlign w:val="center"/>
          </w:tcPr>
          <w:p w14:paraId="3629AA7F">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0CBB3B2C">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100</w:t>
            </w:r>
          </w:p>
        </w:tc>
        <w:tc>
          <w:tcPr>
            <w:tcW w:w="1094" w:type="dxa"/>
            <w:gridSpan w:val="2"/>
            <w:tcBorders>
              <w:top w:val="single" w:color="000000" w:sz="4" w:space="0"/>
              <w:left w:val="single" w:color="000000" w:sz="4" w:space="0"/>
              <w:bottom w:val="single" w:color="000000" w:sz="4" w:space="0"/>
              <w:right w:val="single" w:color="000000" w:sz="4" w:space="0"/>
            </w:tcBorders>
            <w:noWrap w:val="0"/>
            <w:vAlign w:val="center"/>
          </w:tcPr>
          <w:p w14:paraId="1717637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45FE96D2">
        <w:tblPrEx>
          <w:tblCellMar>
            <w:top w:w="0" w:type="dxa"/>
            <w:left w:w="108" w:type="dxa"/>
            <w:bottom w:w="0" w:type="dxa"/>
            <w:right w:w="108" w:type="dxa"/>
          </w:tblCellMar>
        </w:tblPrEx>
        <w:trPr>
          <w:trHeight w:val="778"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216B9B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w:t>
            </w:r>
          </w:p>
        </w:tc>
        <w:tc>
          <w:tcPr>
            <w:tcW w:w="1031" w:type="dxa"/>
            <w:gridSpan w:val="2"/>
            <w:tcBorders>
              <w:top w:val="single" w:color="000000" w:sz="4" w:space="0"/>
              <w:left w:val="single" w:color="000000" w:sz="4" w:space="0"/>
              <w:bottom w:val="single" w:color="000000" w:sz="4" w:space="0"/>
              <w:right w:val="single" w:color="000000" w:sz="4" w:space="0"/>
            </w:tcBorders>
            <w:noWrap w:val="0"/>
            <w:vAlign w:val="center"/>
          </w:tcPr>
          <w:p w14:paraId="4A3E33B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14:paraId="627AB86E">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塘坑地铁站（2）</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443A796F">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500</w:t>
            </w:r>
          </w:p>
        </w:tc>
        <w:tc>
          <w:tcPr>
            <w:tcW w:w="854" w:type="dxa"/>
            <w:gridSpan w:val="2"/>
            <w:tcBorders>
              <w:top w:val="single" w:color="000000" w:sz="4" w:space="0"/>
              <w:left w:val="single" w:color="000000" w:sz="4" w:space="0"/>
              <w:bottom w:val="single" w:color="000000" w:sz="4" w:space="0"/>
              <w:right w:val="single" w:color="000000" w:sz="4" w:space="0"/>
            </w:tcBorders>
            <w:noWrap w:val="0"/>
            <w:vAlign w:val="center"/>
          </w:tcPr>
          <w:p w14:paraId="435E84D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1B722FE8">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100</w:t>
            </w:r>
          </w:p>
        </w:tc>
        <w:tc>
          <w:tcPr>
            <w:tcW w:w="1094" w:type="dxa"/>
            <w:gridSpan w:val="2"/>
            <w:tcBorders>
              <w:top w:val="single" w:color="000000" w:sz="4" w:space="0"/>
              <w:left w:val="single" w:color="000000" w:sz="4" w:space="0"/>
              <w:bottom w:val="single" w:color="000000" w:sz="4" w:space="0"/>
              <w:right w:val="single" w:color="000000" w:sz="4" w:space="0"/>
            </w:tcBorders>
            <w:noWrap w:val="0"/>
            <w:vAlign w:val="center"/>
          </w:tcPr>
          <w:p w14:paraId="3EB07858">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39E40E90">
        <w:tblPrEx>
          <w:tblCellMar>
            <w:top w:w="0" w:type="dxa"/>
            <w:left w:w="108" w:type="dxa"/>
            <w:bottom w:w="0" w:type="dxa"/>
            <w:right w:w="108" w:type="dxa"/>
          </w:tblCellMar>
        </w:tblPrEx>
        <w:trPr>
          <w:trHeight w:val="778"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9C481E">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5</w:t>
            </w:r>
          </w:p>
        </w:tc>
        <w:tc>
          <w:tcPr>
            <w:tcW w:w="1031" w:type="dxa"/>
            <w:gridSpan w:val="2"/>
            <w:tcBorders>
              <w:top w:val="single" w:color="000000" w:sz="4" w:space="0"/>
              <w:left w:val="single" w:color="000000" w:sz="4" w:space="0"/>
              <w:bottom w:val="single" w:color="000000" w:sz="4" w:space="0"/>
              <w:right w:val="single" w:color="000000" w:sz="4" w:space="0"/>
            </w:tcBorders>
            <w:noWrap w:val="0"/>
            <w:vAlign w:val="center"/>
          </w:tcPr>
          <w:p w14:paraId="6E74481F">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地铁站</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14:paraId="2E99A744">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六约地铁站（5）</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42CF1134">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500</w:t>
            </w:r>
          </w:p>
        </w:tc>
        <w:tc>
          <w:tcPr>
            <w:tcW w:w="854" w:type="dxa"/>
            <w:gridSpan w:val="2"/>
            <w:tcBorders>
              <w:top w:val="single" w:color="000000" w:sz="4" w:space="0"/>
              <w:left w:val="single" w:color="000000" w:sz="4" w:space="0"/>
              <w:bottom w:val="single" w:color="000000" w:sz="4" w:space="0"/>
              <w:right w:val="single" w:color="000000" w:sz="4" w:space="0"/>
            </w:tcBorders>
            <w:noWrap w:val="0"/>
            <w:vAlign w:val="center"/>
          </w:tcPr>
          <w:p w14:paraId="748DFB44">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2609947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100</w:t>
            </w:r>
          </w:p>
        </w:tc>
        <w:tc>
          <w:tcPr>
            <w:tcW w:w="1094" w:type="dxa"/>
            <w:gridSpan w:val="2"/>
            <w:tcBorders>
              <w:top w:val="single" w:color="000000" w:sz="4" w:space="0"/>
              <w:left w:val="single" w:color="000000" w:sz="4" w:space="0"/>
              <w:bottom w:val="single" w:color="000000" w:sz="4" w:space="0"/>
              <w:right w:val="single" w:color="000000" w:sz="4" w:space="0"/>
            </w:tcBorders>
            <w:noWrap w:val="0"/>
            <w:vAlign w:val="center"/>
          </w:tcPr>
          <w:p w14:paraId="4604965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r w14:paraId="194C7DC1">
        <w:tblPrEx>
          <w:tblCellMar>
            <w:top w:w="0" w:type="dxa"/>
            <w:left w:w="108" w:type="dxa"/>
            <w:bottom w:w="0" w:type="dxa"/>
            <w:right w:w="108" w:type="dxa"/>
          </w:tblCellMar>
        </w:tblPrEx>
        <w:trPr>
          <w:trHeight w:val="778"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F4279D2">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6</w:t>
            </w:r>
          </w:p>
        </w:tc>
        <w:tc>
          <w:tcPr>
            <w:tcW w:w="1031" w:type="dxa"/>
            <w:gridSpan w:val="2"/>
            <w:tcBorders>
              <w:top w:val="single" w:color="000000" w:sz="4" w:space="0"/>
              <w:left w:val="single" w:color="000000" w:sz="4" w:space="0"/>
              <w:bottom w:val="single" w:color="000000" w:sz="4" w:space="0"/>
              <w:right w:val="single" w:color="000000" w:sz="4" w:space="0"/>
            </w:tcBorders>
            <w:noWrap w:val="0"/>
            <w:vAlign w:val="center"/>
          </w:tcPr>
          <w:p w14:paraId="5D12E2EB">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学校</w:t>
            </w:r>
          </w:p>
        </w:tc>
        <w:tc>
          <w:tcPr>
            <w:tcW w:w="2371" w:type="dxa"/>
            <w:gridSpan w:val="3"/>
            <w:tcBorders>
              <w:top w:val="single" w:color="000000" w:sz="4" w:space="0"/>
              <w:left w:val="single" w:color="000000" w:sz="4" w:space="0"/>
              <w:bottom w:val="single" w:color="000000" w:sz="4" w:space="0"/>
              <w:right w:val="single" w:color="000000" w:sz="4" w:space="0"/>
            </w:tcBorders>
            <w:noWrap w:val="0"/>
            <w:vAlign w:val="center"/>
          </w:tcPr>
          <w:p w14:paraId="5B1146E3">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四联路四联小学（1）/六约学校</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14:paraId="04FD6D9D">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500</w:t>
            </w:r>
          </w:p>
        </w:tc>
        <w:tc>
          <w:tcPr>
            <w:tcW w:w="854" w:type="dxa"/>
            <w:gridSpan w:val="2"/>
            <w:tcBorders>
              <w:top w:val="single" w:color="000000" w:sz="4" w:space="0"/>
              <w:left w:val="single" w:color="000000" w:sz="4" w:space="0"/>
              <w:bottom w:val="single" w:color="000000" w:sz="4" w:space="0"/>
              <w:right w:val="single" w:color="000000" w:sz="4" w:space="0"/>
            </w:tcBorders>
            <w:noWrap w:val="0"/>
            <w:vAlign w:val="center"/>
          </w:tcPr>
          <w:p w14:paraId="2E6E9986">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2</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3D0484D1">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100</w:t>
            </w:r>
          </w:p>
        </w:tc>
        <w:tc>
          <w:tcPr>
            <w:tcW w:w="1094" w:type="dxa"/>
            <w:gridSpan w:val="2"/>
            <w:tcBorders>
              <w:top w:val="single" w:color="000000" w:sz="4" w:space="0"/>
              <w:left w:val="single" w:color="000000" w:sz="4" w:space="0"/>
              <w:bottom w:val="single" w:color="000000" w:sz="4" w:space="0"/>
              <w:right w:val="single" w:color="000000" w:sz="4" w:space="0"/>
            </w:tcBorders>
            <w:noWrap w:val="0"/>
            <w:vAlign w:val="center"/>
          </w:tcPr>
          <w:p w14:paraId="2E6410A7">
            <w:pPr>
              <w:widowControl/>
              <w:spacing w:line="400" w:lineRule="exact"/>
              <w:jc w:val="center"/>
              <w:textAlignment w:val="center"/>
              <w:rPr>
                <w:rFonts w:ascii="仿宋_GB2312" w:hAnsi="宋体" w:eastAsia="仿宋_GB2312" w:cs="宋体"/>
                <w:sz w:val="28"/>
                <w:szCs w:val="28"/>
              </w:rPr>
            </w:pPr>
            <w:r>
              <w:rPr>
                <w:rFonts w:hint="eastAsia" w:ascii="仿宋_GB2312" w:hAnsi="宋体" w:eastAsia="仿宋_GB2312" w:cs="宋体"/>
                <w:kern w:val="0"/>
                <w:sz w:val="28"/>
                <w:szCs w:val="28"/>
              </w:rPr>
              <w:t>45</w:t>
            </w:r>
          </w:p>
        </w:tc>
      </w:tr>
    </w:tbl>
    <w:p w14:paraId="603F5ABE">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（5）供应商应针本项目的特点和实际需要，为本项目制定详细的项目组织方案、制度管理措施、人员的配置、培训与管理措施、秩序与安全管理服务、突发事件应急处理措施等，方案措施应具体、可执行。</w:t>
      </w:r>
    </w:p>
    <w:p w14:paraId="6CE29ACB">
      <w:pPr>
        <w:spacing w:line="54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（6）供应商应具备较好的同类项目服务经验，建立有完善的服务保障体系（如质量管理体系、环境管理体系、职业健康安全体系、培训管理体系等）</w:t>
      </w:r>
    </w:p>
    <w:p w14:paraId="01ABEB46">
      <w:pPr>
        <w:spacing w:line="540" w:lineRule="exact"/>
        <w:ind w:firstLine="562" w:firstLineChars="200"/>
        <w:rPr>
          <w:rFonts w:ascii="仿宋_GB2312" w:hAnsi="仿宋" w:eastAsia="仿宋_GB2312" w:cs="仿宋"/>
          <w:b/>
          <w:sz w:val="28"/>
          <w:szCs w:val="28"/>
        </w:rPr>
      </w:pPr>
      <w:r>
        <w:rPr>
          <w:rFonts w:hint="eastAsia" w:ascii="仿宋_GB2312" w:hAnsi="仿宋" w:eastAsia="仿宋_GB2312" w:cs="仿宋"/>
          <w:b/>
          <w:sz w:val="28"/>
          <w:szCs w:val="28"/>
        </w:rPr>
        <w:t>3、考核、验收要求</w:t>
      </w:r>
    </w:p>
    <w:p w14:paraId="290026F9">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（1）考核要求</w:t>
      </w:r>
    </w:p>
    <w:p w14:paraId="3D90E435">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1)中标方逾期提交约定的成果或逾期履行合同项下义务，每逾期一天，应向采购方支付合同最高总价1%的违约金。逾期超过30天的，采购方有权解除本合同，中标方应向采购方支付相当于合同最高总价20%的违约金。</w:t>
      </w:r>
    </w:p>
    <w:p w14:paraId="287B0626">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中标方提供的成果不能通过采购方审查或验收的，采购方有权解除合同，中标方应向采购方支付相当于合同最高总价20%的违约金，并有权另行委托其它单位继续开展此项工作。如采购方同意中标方继续履行合同的，中标方应向采购方支付合同最高总价5%的违约金，并在20个工作日内完成修改完善工作，未如期完成修善并通过采购方审核的，采购方仍有权解除合同，中标方应向采购方支付相当于合同最高总价20%的违约金。</w:t>
      </w:r>
    </w:p>
    <w:p w14:paraId="5EE9B6EE">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中标方擅自更换项目服务人员或不按采购方要求更换项目服务人员的，采购方有权要求中标方承担1万元/人次的违约金。发生3次以上（含本数）时，采购方有权要求中标方支付相当于合同总价款20%的违约金，并有权解除合同。</w:t>
      </w:r>
    </w:p>
    <w:p w14:paraId="08687223">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4)中标方须保证所</w:t>
      </w:r>
      <w:r>
        <w:rPr>
          <w:rFonts w:ascii="仿宋_GB2312" w:hAnsi="仿宋" w:eastAsia="仿宋_GB2312" w:cs="仿宋"/>
          <w:sz w:val="28"/>
          <w:szCs w:val="28"/>
        </w:rPr>
        <w:t>有</w:t>
      </w:r>
      <w:r>
        <w:rPr>
          <w:rFonts w:hint="eastAsia" w:ascii="仿宋_GB2312" w:hAnsi="仿宋" w:eastAsia="仿宋_GB2312" w:cs="仿宋"/>
          <w:sz w:val="28"/>
          <w:szCs w:val="28"/>
        </w:rPr>
        <w:t>信息和数据真实反映客观情况，不存在抄袭、弄虚作假或其他不诚信行为,中标方的相关数据应当真实、准确、合理、可行，如中标方调查统计的信息、数据和资料不真实、不准确、辨认不清、内容不全、粗制滥造</w:t>
      </w:r>
      <w:r>
        <w:rPr>
          <w:rFonts w:ascii="仿宋_GB2312" w:hAnsi="仿宋" w:eastAsia="仿宋_GB2312" w:cs="仿宋"/>
          <w:sz w:val="28"/>
          <w:szCs w:val="28"/>
        </w:rPr>
        <w:t>的</w:t>
      </w:r>
      <w:r>
        <w:rPr>
          <w:rFonts w:hint="eastAsia" w:ascii="仿宋_GB2312" w:hAnsi="仿宋" w:eastAsia="仿宋_GB2312" w:cs="仿宋"/>
          <w:sz w:val="28"/>
          <w:szCs w:val="28"/>
        </w:rPr>
        <w:t>，采购方有权解除合同，中标方应向采购方支付相当于合同最高总价20%的违约金。造成不良影响或引起其他后果的，中标方还应承担消除影响、赔偿损失等一切法律责任。</w:t>
      </w:r>
    </w:p>
    <w:p w14:paraId="239C2F32">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6)中标方未经采购方书面同意，将采购方所委托完成的任何工作转包或分包给任何第三人的，采购方有权解除合同，中标方应向采购方支付相当于合同最高总价20%的违约金。</w:t>
      </w:r>
    </w:p>
    <w:p w14:paraId="6611A3AC">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7)没有发生法律或者合同约定的合同解除事项，中标方解除合同的，除返还采购方全部已支付费用外，还应支付采购方合同最高总价20%的违约金。本条款不视为赋予中标方单方解除本合同的权利。因政策变化、规划调整、机构改革、履职要求、产权变更、形势变更以及公共利益需要等原因，采购方不需要中标方继续提供服务的，经采购方提前10天通知中标方，采购方有权解除本合同，这不视为采购方违约。采购方应按照中标方实际完成的合格工作量支付服务价款，此外采购方无需向中标方承担任何赔偿、补偿责任。</w:t>
      </w:r>
    </w:p>
    <w:p w14:paraId="77528632">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8)在服务期内，中标方应具有履行项目合同的相应资质并安排具有相应履行资质的人员向采购方提供服务，否则采购方有权解除本合同，中标方应向采购方支付相当于合同最高总价20%的违约金。</w:t>
      </w:r>
    </w:p>
    <w:p w14:paraId="12E97EE1">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（2）验收要求</w:t>
      </w:r>
    </w:p>
    <w:p w14:paraId="32861093">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①项目成果严格依照国家颁布的有关法律、法规及政策要求，符合相关的技术规范和标准。</w:t>
      </w:r>
    </w:p>
    <w:p w14:paraId="24A470DE">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②项目成果符合合同约定的成果内容，较好实现项目目标。</w:t>
      </w:r>
    </w:p>
    <w:p w14:paraId="046D0F5D">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③项目成果有下列情况之一者无效：提交的成果不符合合同约定的成果内容和格式；未经采购方同意而逾期送达；图纸和文字辨认不清、内容不全、粗制滥造；未盖有中标方公章等。</w:t>
      </w:r>
    </w:p>
    <w:p w14:paraId="128EDBB0">
      <w:pPr>
        <w:pStyle w:val="5"/>
        <w:adjustRightInd/>
        <w:spacing w:line="360" w:lineRule="auto"/>
        <w:jc w:val="both"/>
        <w:textAlignment w:val="auto"/>
        <w:rPr>
          <w:rFonts w:hint="eastAsia" w:ascii="仿宋_GB2312" w:hAnsi="黑体" w:eastAsia="仿宋_GB2312" w:cs="黑体"/>
          <w:bCs w:val="0"/>
          <w:sz w:val="28"/>
          <w:szCs w:val="28"/>
        </w:rPr>
      </w:pPr>
      <w:bookmarkStart w:id="29" w:name="_Toc2734"/>
      <w:r>
        <w:rPr>
          <w:rFonts w:hint="eastAsia" w:ascii="仿宋_GB2312" w:hAnsi="黑体" w:eastAsia="仿宋_GB2312" w:cs="黑体"/>
          <w:bCs w:val="0"/>
          <w:sz w:val="28"/>
          <w:szCs w:val="28"/>
        </w:rPr>
        <w:t>三、商务要求</w:t>
      </w:r>
      <w:bookmarkEnd w:id="23"/>
      <w:bookmarkEnd w:id="24"/>
      <w:bookmarkEnd w:id="25"/>
      <w:bookmarkEnd w:id="26"/>
      <w:bookmarkEnd w:id="27"/>
      <w:bookmarkEnd w:id="28"/>
      <w:bookmarkEnd w:id="29"/>
    </w:p>
    <w:p w14:paraId="47CFF686">
      <w:pPr>
        <w:adjustRightInd w:val="0"/>
        <w:spacing w:line="360" w:lineRule="auto"/>
        <w:ind w:firstLine="560" w:firstLineChars="200"/>
        <w:rPr>
          <w:rFonts w:ascii="仿宋_GB2312" w:hAnsi="仿宋_GB2312" w:eastAsia="仿宋_GB2312" w:cs="仿宋_GB2312"/>
          <w:bCs/>
          <w:color w:val="FF0000"/>
          <w:kern w:val="0"/>
          <w:sz w:val="28"/>
          <w:szCs w:val="28"/>
        </w:rPr>
      </w:pPr>
      <w:r>
        <w:rPr>
          <w:rFonts w:hint="eastAsia" w:ascii="仿宋_GB2312" w:hAnsi="仿宋_GB2312" w:eastAsia="仿宋_GB2312" w:cs="仿宋_GB2312"/>
          <w:bCs/>
          <w:color w:val="FF0000"/>
          <w:kern w:val="0"/>
          <w:sz w:val="28"/>
          <w:szCs w:val="28"/>
        </w:rPr>
        <w:t>★（一）服务期限</w:t>
      </w:r>
    </w:p>
    <w:p w14:paraId="248FC7CE">
      <w:pPr>
        <w:adjustRightInd w:val="0"/>
        <w:spacing w:line="360" w:lineRule="auto"/>
        <w:ind w:firstLine="560" w:firstLineChars="200"/>
        <w:rPr>
          <w:rFonts w:ascii="仿宋_GB2312" w:hAnsi="仿宋_GB2312" w:eastAsia="仿宋_GB2312" w:cs="仿宋_GB2312"/>
          <w:bCs/>
          <w:color w:val="FF0000"/>
          <w:kern w:val="0"/>
          <w:sz w:val="28"/>
          <w:szCs w:val="28"/>
        </w:rPr>
      </w:pPr>
      <w:r>
        <w:rPr>
          <w:rFonts w:hint="eastAsia" w:ascii="仿宋_GB2312" w:hAnsi="仿宋_GB2312" w:eastAsia="仿宋_GB2312" w:cs="仿宋_GB2312"/>
          <w:bCs/>
          <w:color w:val="FF0000"/>
          <w:kern w:val="0"/>
          <w:sz w:val="28"/>
          <w:szCs w:val="28"/>
        </w:rPr>
        <w:t>本项目服务期限为自合同签订之日起45天。</w:t>
      </w:r>
    </w:p>
    <w:p w14:paraId="4D948345">
      <w:pPr>
        <w:adjustRightInd w:val="0"/>
        <w:spacing w:line="360" w:lineRule="auto"/>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（二）报价、付款方式</w:t>
      </w:r>
    </w:p>
    <w:p w14:paraId="7C6DFCC2">
      <w:pPr>
        <w:adjustRightInd w:val="0"/>
        <w:spacing w:line="360" w:lineRule="auto"/>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中标方应承担费用：包括：员工／管理人员工资、加班、过节费、社保等费用，办公经费等；开展服务所需的管理服务设备及工具和人员的装备等；不可预见费；法定税费；合理利润等。</w:t>
      </w:r>
    </w:p>
    <w:p w14:paraId="0DE1EEBD">
      <w:pPr>
        <w:adjustRightInd w:val="0"/>
        <w:spacing w:line="360" w:lineRule="auto"/>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付款方式：服务报酬由采购方分期支付中标方，具体安排如下：</w:t>
      </w:r>
    </w:p>
    <w:p w14:paraId="53A584BC">
      <w:pPr>
        <w:adjustRightInd w:val="0"/>
        <w:spacing w:line="360" w:lineRule="auto"/>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（1）合同生效后，采购方向中标方支付合同款项的30%；。</w:t>
      </w:r>
    </w:p>
    <w:p w14:paraId="35C92FBE">
      <w:pPr>
        <w:adjustRightInd w:val="0"/>
        <w:spacing w:line="360" w:lineRule="auto"/>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（2）项目履约届满20天，采购方支付合同款项的50%；</w:t>
      </w:r>
    </w:p>
    <w:p w14:paraId="071DE38C">
      <w:pPr>
        <w:adjustRightInd w:val="0"/>
        <w:spacing w:line="360" w:lineRule="auto"/>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（3）服务项目全部完成后，中标方向采购方提交验收通过的最终成果后，采购方支付合同款项的20%。 </w:t>
      </w:r>
    </w:p>
    <w:p w14:paraId="7AAF08CD">
      <w:pPr>
        <w:adjustRightInd w:val="0"/>
        <w:spacing w:line="360" w:lineRule="auto"/>
        <w:ind w:firstLine="560" w:firstLineChars="200"/>
      </w:pPr>
      <w:r>
        <w:rPr>
          <w:rFonts w:hint="eastAsia" w:ascii="仿宋_GB2312" w:hAnsi="仿宋_GB2312" w:eastAsia="仿宋_GB2312" w:cs="仿宋_GB2312"/>
          <w:bCs/>
          <w:kern w:val="0"/>
          <w:sz w:val="28"/>
          <w:szCs w:val="28"/>
        </w:rPr>
        <w:t>每次款项支付的前提条件除本条前款约定的内容以外，中标方还必须按照财政支付政策要求先提供当期应付款等额的合法发票在内的支付申请材料，否则采购方有权拒绝支付全部款项。支付方式以深圳市最新财政支付政策为准。采购方有权在支付价款时直接扣除中标方按照本合同应承担的违约金和赔（补）偿金</w:t>
      </w:r>
      <w:r>
        <w:rPr>
          <w:rFonts w:hint="eastAsia" w:ascii="仿宋_GB2312" w:hAnsi="仿宋_GB2312" w:eastAsia="仿宋_GB2312" w:cs="仿宋_GB2312"/>
          <w:sz w:val="28"/>
          <w:szCs w:val="28"/>
        </w:rPr>
        <w:t>。</w:t>
      </w:r>
    </w:p>
    <w:p w14:paraId="3276806B">
      <w:pPr>
        <w:adjustRightInd w:val="0"/>
        <w:snapToGrid w:val="0"/>
        <w:spacing w:line="560" w:lineRule="exact"/>
        <w:ind w:firstLine="420" w:firstLineChars="200"/>
        <w:jc w:val="left"/>
        <w:rPr>
          <w:rFonts w:hint="eastAsia"/>
        </w:rPr>
      </w:pPr>
    </w:p>
    <w:p w14:paraId="152826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
    <w:altName w:val="宋体"/>
    <w:panose1 w:val="00000000000000000000"/>
    <w:charset w:val="81"/>
    <w:family w:val="roman"/>
    <w:pitch w:val="default"/>
    <w:sig w:usb0="00000000" w:usb1="00000000" w:usb2="00000000" w:usb3="00000000" w:csb0="0008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42FB3"/>
    <w:rsid w:val="6BC42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6"/>
    <w:next w:val="7"/>
    <w:qFormat/>
    <w:uiPriority w:val="0"/>
    <w:pPr>
      <w:adjustRightInd w:val="0"/>
      <w:spacing w:line="240" w:lineRule="auto"/>
      <w:jc w:val="center"/>
      <w:textAlignment w:val="baseline"/>
      <w:outlineLvl w:val="1"/>
    </w:pPr>
    <w:rPr>
      <w:rFonts w:ascii="宋体" w:hAnsi="宋体"/>
      <w:kern w:val="0"/>
      <w:sz w:val="24"/>
      <w:szCs w:val="20"/>
    </w:rPr>
  </w:style>
  <w:style w:type="paragraph" w:styleId="6">
    <w:name w:val="heading 3"/>
    <w:basedOn w:val="7"/>
    <w:next w:val="1"/>
    <w:qFormat/>
    <w:uiPriority w:val="0"/>
    <w:pPr>
      <w:keepNext/>
      <w:keepLines/>
      <w:spacing w:before="260" w:beforeLines="0" w:after="260" w:afterLines="0" w:line="416" w:lineRule="auto"/>
      <w:outlineLvl w:val="2"/>
    </w:pPr>
    <w:rPr>
      <w:rFonts w:ascii="Times New Roman" w:hAnsi="Times New Roman" w:eastAsia="宋体"/>
      <w:sz w:val="32"/>
      <w:szCs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eastAsia="宋?"/>
      <w:sz w:val="21"/>
    </w:rPr>
  </w:style>
  <w:style w:type="paragraph" w:styleId="3">
    <w:name w:val="Body Text Indent"/>
    <w:basedOn w:val="1"/>
    <w:next w:val="1"/>
    <w:qFormat/>
    <w:uiPriority w:val="0"/>
    <w:pPr>
      <w:ind w:left="2098"/>
    </w:pPr>
    <w:rPr>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2025-09-29T09:26:00Z</dcterms:created>
  <dc:creator>过眼～云烟～</dc:creator>
  <cp:lastModifiedBy>过眼～云烟～</cp:lastModifiedBy>
  <dcterms:modified xsi:type="dcterms:W3CDTF">2025-09-29T09:28:04Z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B8B6AB2BD66A40D68670B1AF84A517E2_11</vt:lpwstr>
  </property>
  <property fmtid="{D5CDD505-2E9C-101B-9397-08002B2CF9AE}" pid="4" name="KSOTemplateDocerSaveRecord">
    <vt:lpwstr>eyJoZGlkIjoiYjU3ZDE5YWNkMGVkMDJjZTBmOTQ1OGE4M2ZhZjBiNTEiLCJ1c2VySWQiOiIzMjMwNDEyNDYifQ==</vt:lpwstr>
  </property>
</Properties>
</file>