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D5D3" w14:textId="77777777" w:rsidR="00DB21A5" w:rsidRPr="00DB21A5" w:rsidRDefault="00DB21A5" w:rsidP="00DB21A5">
      <w:pPr>
        <w:keepNext/>
        <w:keepLines/>
        <w:spacing w:after="0" w:line="360" w:lineRule="auto"/>
        <w:jc w:val="center"/>
        <w:outlineLvl w:val="0"/>
        <w:rPr>
          <w:rFonts w:ascii="宋体" w:eastAsia="宋体" w:hAnsi="宋体" w:cs="宋体" w:hint="eastAsia"/>
          <w:b/>
          <w:kern w:val="44"/>
          <w:sz w:val="44"/>
          <w:szCs w:val="22"/>
          <w14:ligatures w14:val="none"/>
        </w:rPr>
      </w:pPr>
      <w:r w:rsidRPr="00DB21A5">
        <w:rPr>
          <w:rFonts w:ascii="宋体" w:eastAsia="宋体" w:hAnsi="宋体" w:cs="宋体" w:hint="eastAsia"/>
          <w:b/>
          <w:kern w:val="44"/>
          <w:sz w:val="44"/>
          <w:szCs w:val="22"/>
          <w14:ligatures w14:val="none"/>
        </w:rPr>
        <w:fldChar w:fldCharType="begin"/>
      </w:r>
      <w:r w:rsidRPr="00DB21A5">
        <w:rPr>
          <w:rFonts w:ascii="宋体" w:eastAsia="宋体" w:hAnsi="宋体" w:cs="宋体" w:hint="eastAsia"/>
          <w:b/>
          <w:kern w:val="44"/>
          <w:sz w:val="44"/>
          <w:szCs w:val="22"/>
          <w14:ligatures w14:val="none"/>
        </w:rPr>
        <w:instrText xml:space="preserve"> HYPERLINK \l "_Toc488762883" </w:instrText>
      </w:r>
      <w:r w:rsidRPr="00DB21A5">
        <w:rPr>
          <w:rFonts w:ascii="宋体" w:eastAsia="宋体" w:hAnsi="宋体" w:cs="宋体" w:hint="eastAsia"/>
          <w:b/>
          <w:kern w:val="44"/>
          <w:sz w:val="44"/>
          <w:szCs w:val="22"/>
          <w14:ligatures w14:val="none"/>
        </w:rPr>
        <w:fldChar w:fldCharType="separate"/>
      </w:r>
      <w:r w:rsidRPr="00DB21A5">
        <w:rPr>
          <w:rFonts w:ascii="宋体" w:eastAsia="宋体" w:hAnsi="宋体" w:cs="宋体" w:hint="eastAsia"/>
          <w:b/>
          <w:kern w:val="44"/>
          <w:sz w:val="44"/>
          <w:szCs w:val="22"/>
          <w14:ligatures w14:val="none"/>
        </w:rPr>
        <w:t>招标项目需求</w:t>
      </w:r>
      <w:r w:rsidRPr="00DB21A5">
        <w:rPr>
          <w:rFonts w:ascii="宋体" w:eastAsia="宋体" w:hAnsi="宋体" w:cs="宋体" w:hint="eastAsia"/>
          <w:b/>
          <w:kern w:val="44"/>
          <w:sz w:val="44"/>
          <w:szCs w:val="22"/>
          <w14:ligatures w14:val="none"/>
        </w:rPr>
        <w:fldChar w:fldCharType="end"/>
      </w:r>
    </w:p>
    <w:p w14:paraId="0630E4BC" w14:textId="77777777" w:rsidR="00DB21A5" w:rsidRPr="00DB21A5" w:rsidRDefault="00DB21A5" w:rsidP="00DB21A5">
      <w:pPr>
        <w:spacing w:after="0" w:line="360" w:lineRule="auto"/>
        <w:jc w:val="both"/>
        <w:rPr>
          <w:rFonts w:ascii="宋体" w:eastAsia="宋体" w:hAnsi="宋体" w:cs="宋体" w:hint="eastAsia"/>
          <w:b/>
          <w:sz w:val="21"/>
          <w:szCs w:val="21"/>
          <w14:ligatures w14:val="none"/>
        </w:rPr>
      </w:pPr>
      <w:r w:rsidRPr="00DB21A5">
        <w:rPr>
          <w:rFonts w:ascii="宋体" w:eastAsia="宋体" w:hAnsi="宋体" w:cs="宋体" w:hint="eastAsia"/>
          <w:b/>
          <w:sz w:val="21"/>
          <w:szCs w:val="21"/>
          <w14:ligatures w14:val="none"/>
        </w:rPr>
        <w:t>一、项目概况</w:t>
      </w:r>
    </w:p>
    <w:p w14:paraId="1CC3B520" w14:textId="77777777" w:rsidR="00DB21A5" w:rsidRPr="00DB21A5" w:rsidRDefault="00DB21A5" w:rsidP="00DB21A5">
      <w:pPr>
        <w:spacing w:after="0" w:line="360" w:lineRule="auto"/>
        <w:ind w:firstLineChars="200" w:firstLine="420"/>
        <w:jc w:val="both"/>
        <w:rPr>
          <w:rFonts w:ascii="宋体" w:eastAsia="宋体" w:hAnsi="宋体" w:cs="宋体" w:hint="eastAsia"/>
          <w:sz w:val="21"/>
          <w:szCs w:val="21"/>
          <w14:ligatures w14:val="none"/>
        </w:rPr>
      </w:pPr>
      <w:r w:rsidRPr="00DB21A5">
        <w:rPr>
          <w:rFonts w:ascii="宋体" w:eastAsia="宋体" w:hAnsi="宋体" w:cs="宋体" w:hint="eastAsia"/>
          <w:sz w:val="21"/>
          <w:szCs w:val="21"/>
          <w14:ligatures w14:val="none"/>
        </w:rPr>
        <w:t>深圳大学城</w:t>
      </w:r>
      <w:proofErr w:type="gramStart"/>
      <w:r w:rsidRPr="00DB21A5">
        <w:rPr>
          <w:rFonts w:ascii="宋体" w:eastAsia="宋体" w:hAnsi="宋体" w:cs="宋体" w:hint="eastAsia"/>
          <w:sz w:val="21"/>
          <w:szCs w:val="21"/>
          <w14:ligatures w14:val="none"/>
        </w:rPr>
        <w:t>荔</w:t>
      </w:r>
      <w:proofErr w:type="gramEnd"/>
      <w:r w:rsidRPr="00DB21A5">
        <w:rPr>
          <w:rFonts w:ascii="宋体" w:eastAsia="宋体" w:hAnsi="宋体" w:cs="宋体" w:hint="eastAsia"/>
          <w:sz w:val="21"/>
          <w:szCs w:val="21"/>
          <w14:ligatures w14:val="none"/>
        </w:rPr>
        <w:t>园一号楼修缮校外腾挪公寓租赁，场地需求：</w:t>
      </w:r>
    </w:p>
    <w:p w14:paraId="1B084247" w14:textId="77777777" w:rsidR="00DB21A5" w:rsidRPr="00DB21A5" w:rsidRDefault="00DB21A5" w:rsidP="00DB21A5">
      <w:pPr>
        <w:spacing w:after="0" w:line="360" w:lineRule="auto"/>
        <w:ind w:firstLineChars="200" w:firstLine="420"/>
        <w:jc w:val="both"/>
        <w:rPr>
          <w:rFonts w:ascii="宋体" w:eastAsia="宋体" w:hAnsi="宋体" w:cs="宋体" w:hint="eastAsia"/>
          <w:sz w:val="21"/>
          <w:szCs w:val="21"/>
          <w14:ligatures w14:val="none"/>
        </w:rPr>
      </w:pPr>
      <w:r w:rsidRPr="00DB21A5">
        <w:rPr>
          <w:rFonts w:ascii="宋体" w:eastAsia="宋体" w:hAnsi="宋体" w:cs="宋体" w:hint="eastAsia"/>
          <w:sz w:val="21"/>
          <w:szCs w:val="21"/>
          <w14:ligatures w14:val="none"/>
        </w:rPr>
        <w:t>1.在西丽街道辖区内，交通便利、距离哈尔滨工业大学(深圳校区)直线距离不超过6公里。</w:t>
      </w:r>
    </w:p>
    <w:p w14:paraId="26E3535E" w14:textId="77777777" w:rsidR="00DB21A5" w:rsidRPr="00DB21A5" w:rsidRDefault="00DB21A5" w:rsidP="00DB21A5">
      <w:pPr>
        <w:spacing w:after="0" w:line="360" w:lineRule="auto"/>
        <w:ind w:firstLineChars="200" w:firstLine="420"/>
        <w:jc w:val="both"/>
        <w:rPr>
          <w:rFonts w:ascii="宋体" w:eastAsia="宋体" w:hAnsi="宋体" w:cs="宋体" w:hint="eastAsia"/>
          <w:sz w:val="21"/>
          <w:szCs w:val="21"/>
          <w14:ligatures w14:val="none"/>
        </w:rPr>
      </w:pPr>
      <w:r w:rsidRPr="00DB21A5">
        <w:rPr>
          <w:rFonts w:ascii="宋体" w:eastAsia="宋体" w:hAnsi="宋体" w:cs="宋体" w:hint="eastAsia"/>
          <w:sz w:val="21"/>
          <w:szCs w:val="21"/>
          <w14:ligatures w14:val="none"/>
        </w:rPr>
        <w:t>2.符合日常住宿条件，合理划分卧室、厨房等功能区域，需为住宅性质。</w:t>
      </w:r>
    </w:p>
    <w:p w14:paraId="7A02121D" w14:textId="77777777" w:rsidR="00DB21A5" w:rsidRPr="00DB21A5" w:rsidRDefault="00DB21A5" w:rsidP="00DB21A5">
      <w:pPr>
        <w:spacing w:after="0" w:line="360" w:lineRule="auto"/>
        <w:ind w:firstLine="435"/>
        <w:jc w:val="both"/>
        <w:rPr>
          <w:rFonts w:ascii="宋体" w:eastAsia="宋体" w:hAnsi="宋体" w:cs="宋体"/>
          <w:b/>
          <w:sz w:val="21"/>
          <w:szCs w:val="21"/>
          <w14:ligatures w14:val="none"/>
        </w:rPr>
      </w:pPr>
      <w:bookmarkStart w:id="0" w:name="_Toc279597459"/>
      <w:r w:rsidRPr="00DB21A5">
        <w:rPr>
          <w:rFonts w:ascii="宋体" w:eastAsia="宋体" w:hAnsi="宋体" w:cs="宋体" w:hint="eastAsia"/>
          <w:b/>
          <w:sz w:val="21"/>
          <w:szCs w:val="21"/>
          <w14:ligatures w14:val="none"/>
        </w:rPr>
        <w:t>采购项目清单：</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82"/>
        <w:gridCol w:w="766"/>
        <w:gridCol w:w="1680"/>
        <w:gridCol w:w="1179"/>
        <w:gridCol w:w="2569"/>
      </w:tblGrid>
      <w:tr w:rsidR="00DB21A5" w:rsidRPr="00DB21A5" w14:paraId="1C81E449" w14:textId="77777777" w:rsidTr="003F4E4D">
        <w:trPr>
          <w:cantSplit/>
          <w:trHeight w:val="600"/>
          <w:jc w:val="center"/>
        </w:trPr>
        <w:tc>
          <w:tcPr>
            <w:tcW w:w="1258" w:type="pct"/>
            <w:tcBorders>
              <w:top w:val="single" w:sz="12" w:space="0" w:color="auto"/>
              <w:left w:val="single" w:sz="12" w:space="0" w:color="auto"/>
              <w:bottom w:val="single" w:sz="6" w:space="0" w:color="auto"/>
              <w:right w:val="single" w:sz="6" w:space="0" w:color="auto"/>
            </w:tcBorders>
            <w:shd w:val="clear" w:color="auto" w:fill="EEECE1"/>
            <w:vAlign w:val="center"/>
          </w:tcPr>
          <w:p w14:paraId="3C7DE1FD" w14:textId="77777777" w:rsidR="00DB21A5" w:rsidRPr="00DB21A5" w:rsidRDefault="00DB21A5" w:rsidP="00DB21A5">
            <w:pPr>
              <w:adjustRightInd w:val="0"/>
              <w:snapToGrid w:val="0"/>
              <w:spacing w:after="0" w:line="240" w:lineRule="auto"/>
              <w:jc w:val="center"/>
              <w:rPr>
                <w:rFonts w:ascii="宋体" w:eastAsia="宋体" w:hAnsi="Calibri" w:cs="宋体"/>
                <w:b/>
                <w:bCs/>
                <w:sz w:val="21"/>
                <w:szCs w:val="21"/>
                <w14:ligatures w14:val="none"/>
              </w:rPr>
            </w:pPr>
            <w:r w:rsidRPr="00DB21A5">
              <w:rPr>
                <w:rFonts w:ascii="宋体" w:eastAsia="宋体" w:hAnsi="Calibri" w:cs="宋体" w:hint="eastAsia"/>
                <w:b/>
                <w:bCs/>
                <w:sz w:val="21"/>
                <w:szCs w:val="21"/>
                <w14:ligatures w14:val="none"/>
              </w:rPr>
              <w:t>采购内容</w:t>
            </w:r>
          </w:p>
        </w:tc>
        <w:tc>
          <w:tcPr>
            <w:tcW w:w="463" w:type="pct"/>
            <w:tcBorders>
              <w:top w:val="single" w:sz="12" w:space="0" w:color="auto"/>
              <w:left w:val="single" w:sz="6" w:space="0" w:color="auto"/>
              <w:bottom w:val="single" w:sz="6" w:space="0" w:color="auto"/>
              <w:right w:val="single" w:sz="4" w:space="0" w:color="auto"/>
            </w:tcBorders>
            <w:shd w:val="clear" w:color="auto" w:fill="EEECE1"/>
            <w:vAlign w:val="center"/>
          </w:tcPr>
          <w:p w14:paraId="44537FB3" w14:textId="77777777" w:rsidR="00DB21A5" w:rsidRPr="00DB21A5" w:rsidRDefault="00DB21A5" w:rsidP="00DB21A5">
            <w:pPr>
              <w:adjustRightInd w:val="0"/>
              <w:snapToGrid w:val="0"/>
              <w:spacing w:after="0" w:line="240" w:lineRule="auto"/>
              <w:jc w:val="center"/>
              <w:rPr>
                <w:rFonts w:ascii="宋体" w:eastAsia="宋体" w:hAnsi="Calibri" w:cs="宋体"/>
                <w:b/>
                <w:bCs/>
                <w:sz w:val="21"/>
                <w:szCs w:val="21"/>
                <w14:ligatures w14:val="none"/>
              </w:rPr>
            </w:pPr>
            <w:r w:rsidRPr="00DB21A5">
              <w:rPr>
                <w:rFonts w:ascii="宋体" w:eastAsia="宋体" w:hAnsi="Calibri" w:cs="宋体" w:hint="eastAsia"/>
                <w:b/>
                <w:bCs/>
                <w:sz w:val="21"/>
                <w:szCs w:val="21"/>
                <w14:ligatures w14:val="none"/>
              </w:rPr>
              <w:t>数量</w:t>
            </w:r>
          </w:p>
        </w:tc>
        <w:tc>
          <w:tcPr>
            <w:tcW w:w="1015" w:type="pct"/>
            <w:tcBorders>
              <w:top w:val="single" w:sz="12" w:space="0" w:color="auto"/>
              <w:left w:val="single" w:sz="4" w:space="0" w:color="auto"/>
              <w:bottom w:val="single" w:sz="6" w:space="0" w:color="auto"/>
              <w:right w:val="single" w:sz="6" w:space="0" w:color="auto"/>
            </w:tcBorders>
            <w:shd w:val="clear" w:color="auto" w:fill="EEECE1"/>
            <w:vAlign w:val="center"/>
          </w:tcPr>
          <w:p w14:paraId="5256D93B" w14:textId="77777777" w:rsidR="00DB21A5" w:rsidRPr="00DB21A5" w:rsidRDefault="00DB21A5" w:rsidP="00DB21A5">
            <w:pPr>
              <w:adjustRightInd w:val="0"/>
              <w:snapToGrid w:val="0"/>
              <w:spacing w:after="0" w:line="240" w:lineRule="auto"/>
              <w:jc w:val="center"/>
              <w:rPr>
                <w:rFonts w:ascii="宋体" w:eastAsia="宋体" w:hAnsi="Calibri" w:cs="宋体" w:hint="eastAsia"/>
                <w:b/>
                <w:bCs/>
                <w:sz w:val="21"/>
                <w:szCs w:val="21"/>
                <w14:ligatures w14:val="none"/>
              </w:rPr>
            </w:pPr>
            <w:r w:rsidRPr="00DB21A5">
              <w:rPr>
                <w:rFonts w:ascii="宋体" w:eastAsia="宋体" w:hAnsi="Calibri" w:cs="宋体" w:hint="eastAsia"/>
                <w:b/>
                <w:bCs/>
                <w:sz w:val="21"/>
                <w:szCs w:val="21"/>
                <w14:ligatures w14:val="none"/>
              </w:rPr>
              <w:t>面积</w:t>
            </w:r>
          </w:p>
        </w:tc>
        <w:tc>
          <w:tcPr>
            <w:tcW w:w="712" w:type="pct"/>
            <w:tcBorders>
              <w:top w:val="single" w:sz="12" w:space="0" w:color="auto"/>
              <w:left w:val="single" w:sz="4" w:space="0" w:color="auto"/>
              <w:bottom w:val="single" w:sz="6" w:space="0" w:color="auto"/>
              <w:right w:val="single" w:sz="6" w:space="0" w:color="auto"/>
            </w:tcBorders>
            <w:shd w:val="clear" w:color="auto" w:fill="EEECE1"/>
            <w:vAlign w:val="center"/>
          </w:tcPr>
          <w:p w14:paraId="68D89927" w14:textId="77777777" w:rsidR="00DB21A5" w:rsidRPr="00DB21A5" w:rsidRDefault="00DB21A5" w:rsidP="00DB21A5">
            <w:pPr>
              <w:adjustRightInd w:val="0"/>
              <w:snapToGrid w:val="0"/>
              <w:spacing w:after="0" w:line="240" w:lineRule="auto"/>
              <w:jc w:val="center"/>
              <w:rPr>
                <w:rFonts w:ascii="宋体" w:eastAsia="宋体" w:hAnsi="Calibri" w:cs="宋体" w:hint="eastAsia"/>
                <w:b/>
                <w:bCs/>
                <w:sz w:val="21"/>
                <w:szCs w:val="21"/>
                <w14:ligatures w14:val="none"/>
              </w:rPr>
            </w:pPr>
            <w:r w:rsidRPr="00DB21A5">
              <w:rPr>
                <w:rFonts w:ascii="宋体" w:eastAsia="宋体" w:hAnsi="Calibri" w:cs="宋体" w:hint="eastAsia"/>
                <w:b/>
                <w:bCs/>
                <w:sz w:val="21"/>
                <w:szCs w:val="21"/>
                <w14:ligatures w14:val="none"/>
              </w:rPr>
              <w:t>预算金额</w:t>
            </w:r>
          </w:p>
        </w:tc>
        <w:tc>
          <w:tcPr>
            <w:tcW w:w="1552" w:type="pct"/>
            <w:tcBorders>
              <w:top w:val="single" w:sz="12" w:space="0" w:color="auto"/>
              <w:left w:val="single" w:sz="6" w:space="0" w:color="auto"/>
              <w:bottom w:val="single" w:sz="6" w:space="0" w:color="auto"/>
              <w:right w:val="single" w:sz="12" w:space="0" w:color="auto"/>
            </w:tcBorders>
            <w:shd w:val="clear" w:color="auto" w:fill="EEECE1"/>
            <w:vAlign w:val="center"/>
          </w:tcPr>
          <w:p w14:paraId="58785C83" w14:textId="77777777" w:rsidR="00DB21A5" w:rsidRPr="00DB21A5" w:rsidRDefault="00DB21A5" w:rsidP="00DB21A5">
            <w:pPr>
              <w:adjustRightInd w:val="0"/>
              <w:snapToGrid w:val="0"/>
              <w:spacing w:after="0" w:line="240" w:lineRule="auto"/>
              <w:jc w:val="center"/>
              <w:rPr>
                <w:rFonts w:ascii="宋体" w:eastAsia="宋体" w:hAnsi="Calibri" w:cs="宋体"/>
                <w:b/>
                <w:bCs/>
                <w:sz w:val="21"/>
                <w:szCs w:val="21"/>
                <w14:ligatures w14:val="none"/>
              </w:rPr>
            </w:pPr>
            <w:r w:rsidRPr="00DB21A5">
              <w:rPr>
                <w:rFonts w:ascii="宋体" w:eastAsia="宋体" w:hAnsi="Calibri" w:cs="宋体" w:hint="eastAsia"/>
                <w:b/>
                <w:bCs/>
                <w:sz w:val="21"/>
                <w:szCs w:val="21"/>
                <w14:ligatures w14:val="none"/>
              </w:rPr>
              <w:t>服务期</w:t>
            </w:r>
          </w:p>
        </w:tc>
      </w:tr>
      <w:tr w:rsidR="00DB21A5" w:rsidRPr="00DB21A5" w14:paraId="4B70BCA9" w14:textId="77777777" w:rsidTr="003F4E4D">
        <w:trPr>
          <w:cantSplit/>
          <w:trHeight w:val="909"/>
          <w:jc w:val="center"/>
        </w:trPr>
        <w:tc>
          <w:tcPr>
            <w:tcW w:w="1258" w:type="pct"/>
            <w:tcBorders>
              <w:top w:val="single" w:sz="6" w:space="0" w:color="auto"/>
              <w:left w:val="single" w:sz="12" w:space="0" w:color="auto"/>
              <w:bottom w:val="single" w:sz="12" w:space="0" w:color="auto"/>
              <w:right w:val="single" w:sz="6" w:space="0" w:color="auto"/>
            </w:tcBorders>
            <w:vAlign w:val="center"/>
          </w:tcPr>
          <w:p w14:paraId="3E1F7E11" w14:textId="77777777" w:rsidR="00DB21A5" w:rsidRPr="00DB21A5" w:rsidRDefault="00DB21A5" w:rsidP="00DB21A5">
            <w:pPr>
              <w:adjustRightInd w:val="0"/>
              <w:snapToGrid w:val="0"/>
              <w:spacing w:after="0" w:line="240" w:lineRule="auto"/>
              <w:jc w:val="center"/>
              <w:rPr>
                <w:rFonts w:ascii="宋体" w:eastAsia="宋体" w:hAnsi="Calibri" w:cs="宋体" w:hint="eastAsia"/>
                <w:sz w:val="21"/>
                <w:szCs w:val="21"/>
                <w14:ligatures w14:val="none"/>
              </w:rPr>
            </w:pPr>
            <w:r w:rsidRPr="00DB21A5">
              <w:rPr>
                <w:rFonts w:ascii="宋体" w:eastAsia="宋体" w:hAnsi="宋体" w:cs="宋体" w:hint="eastAsia"/>
                <w:bCs/>
                <w:sz w:val="21"/>
                <w:szCs w:val="21"/>
                <w14:ligatures w14:val="none"/>
              </w:rPr>
              <w:t>深圳大学城</w:t>
            </w:r>
            <w:proofErr w:type="gramStart"/>
            <w:r w:rsidRPr="00DB21A5">
              <w:rPr>
                <w:rFonts w:ascii="宋体" w:eastAsia="宋体" w:hAnsi="宋体" w:cs="宋体" w:hint="eastAsia"/>
                <w:bCs/>
                <w:sz w:val="21"/>
                <w:szCs w:val="21"/>
                <w14:ligatures w14:val="none"/>
              </w:rPr>
              <w:t>荔</w:t>
            </w:r>
            <w:proofErr w:type="gramEnd"/>
            <w:r w:rsidRPr="00DB21A5">
              <w:rPr>
                <w:rFonts w:ascii="宋体" w:eastAsia="宋体" w:hAnsi="宋体" w:cs="宋体" w:hint="eastAsia"/>
                <w:bCs/>
                <w:sz w:val="21"/>
                <w:szCs w:val="21"/>
                <w14:ligatures w14:val="none"/>
              </w:rPr>
              <w:t>园一号楼修缮校外腾挪公寓租赁</w:t>
            </w:r>
            <w:r w:rsidRPr="00DB21A5">
              <w:rPr>
                <w:rFonts w:ascii="宋体" w:eastAsia="宋体" w:hAnsi="Calibri" w:cs="宋体" w:hint="eastAsia"/>
                <w:sz w:val="21"/>
                <w:szCs w:val="21"/>
                <w14:ligatures w14:val="none"/>
              </w:rPr>
              <w:t>项目</w:t>
            </w:r>
          </w:p>
        </w:tc>
        <w:tc>
          <w:tcPr>
            <w:tcW w:w="463" w:type="pct"/>
            <w:tcBorders>
              <w:top w:val="single" w:sz="6" w:space="0" w:color="auto"/>
              <w:left w:val="single" w:sz="6" w:space="0" w:color="auto"/>
              <w:bottom w:val="single" w:sz="12" w:space="0" w:color="auto"/>
              <w:right w:val="single" w:sz="4" w:space="0" w:color="auto"/>
            </w:tcBorders>
            <w:vAlign w:val="center"/>
          </w:tcPr>
          <w:p w14:paraId="593418D5" w14:textId="77777777" w:rsidR="00DB21A5" w:rsidRPr="00DB21A5" w:rsidRDefault="00DB21A5" w:rsidP="00DB21A5">
            <w:pPr>
              <w:adjustRightInd w:val="0"/>
              <w:snapToGrid w:val="0"/>
              <w:spacing w:after="0" w:line="240" w:lineRule="auto"/>
              <w:jc w:val="center"/>
              <w:rPr>
                <w:rFonts w:ascii="宋体" w:eastAsia="宋体" w:hAnsi="Calibri" w:cs="宋体"/>
                <w:sz w:val="21"/>
                <w:szCs w:val="21"/>
                <w14:ligatures w14:val="none"/>
              </w:rPr>
            </w:pPr>
            <w:r w:rsidRPr="00DB21A5">
              <w:rPr>
                <w:rFonts w:ascii="宋体" w:eastAsia="宋体" w:hAnsi="Calibri" w:cs="宋体" w:hint="eastAsia"/>
                <w:sz w:val="21"/>
                <w:szCs w:val="21"/>
                <w14:ligatures w14:val="none"/>
              </w:rPr>
              <w:t>60套</w:t>
            </w:r>
          </w:p>
        </w:tc>
        <w:tc>
          <w:tcPr>
            <w:tcW w:w="1015" w:type="pct"/>
            <w:tcBorders>
              <w:top w:val="single" w:sz="6" w:space="0" w:color="auto"/>
              <w:left w:val="single" w:sz="4" w:space="0" w:color="auto"/>
              <w:bottom w:val="single" w:sz="12" w:space="0" w:color="auto"/>
              <w:right w:val="single" w:sz="6" w:space="0" w:color="auto"/>
            </w:tcBorders>
            <w:vAlign w:val="center"/>
          </w:tcPr>
          <w:p w14:paraId="3EA9883C" w14:textId="77777777" w:rsidR="00DB21A5" w:rsidRPr="00DB21A5" w:rsidRDefault="00DB21A5" w:rsidP="00DB21A5">
            <w:pPr>
              <w:adjustRightInd w:val="0"/>
              <w:snapToGrid w:val="0"/>
              <w:spacing w:after="0" w:line="240" w:lineRule="auto"/>
              <w:jc w:val="center"/>
              <w:rPr>
                <w:rFonts w:ascii="宋体" w:eastAsia="宋体" w:hAnsi="Calibri" w:cs="宋体" w:hint="eastAsia"/>
                <w:sz w:val="21"/>
                <w:szCs w:val="21"/>
                <w14:ligatures w14:val="none"/>
              </w:rPr>
            </w:pPr>
            <w:r w:rsidRPr="00DB21A5">
              <w:rPr>
                <w:rFonts w:ascii="宋体" w:eastAsia="宋体" w:hAnsi="Calibri" w:cs="宋体" w:hint="eastAsia"/>
                <w:sz w:val="21"/>
                <w:szCs w:val="21"/>
                <w14:ligatures w14:val="none"/>
              </w:rPr>
              <w:t>约3500平方米</w:t>
            </w:r>
          </w:p>
          <w:p w14:paraId="08DC2C02" w14:textId="77777777" w:rsidR="00DB21A5" w:rsidRPr="00DB21A5" w:rsidRDefault="00DB21A5" w:rsidP="00DB21A5">
            <w:pPr>
              <w:adjustRightInd w:val="0"/>
              <w:snapToGrid w:val="0"/>
              <w:spacing w:after="0" w:line="240" w:lineRule="auto"/>
              <w:jc w:val="center"/>
              <w:rPr>
                <w:rFonts w:ascii="Calibri" w:eastAsia="宋体" w:hAnsi="Calibri" w:cs="Times New Roman"/>
                <w:sz w:val="21"/>
                <w:szCs w:val="21"/>
                <w14:ligatures w14:val="none"/>
              </w:rPr>
            </w:pPr>
            <w:r w:rsidRPr="00DB21A5">
              <w:rPr>
                <w:rFonts w:ascii="宋体" w:eastAsia="宋体" w:hAnsi="宋体" w:cs="宋体" w:hint="eastAsia"/>
                <w:color w:val="000000"/>
                <w:sz w:val="21"/>
                <w:szCs w:val="21"/>
                <w14:ligatures w14:val="none"/>
              </w:rPr>
              <w:t>（单套面积不得低于55平方米）</w:t>
            </w:r>
          </w:p>
        </w:tc>
        <w:tc>
          <w:tcPr>
            <w:tcW w:w="712" w:type="pct"/>
            <w:tcBorders>
              <w:top w:val="single" w:sz="6" w:space="0" w:color="auto"/>
              <w:left w:val="single" w:sz="4" w:space="0" w:color="auto"/>
              <w:bottom w:val="single" w:sz="12" w:space="0" w:color="auto"/>
              <w:right w:val="single" w:sz="6" w:space="0" w:color="auto"/>
            </w:tcBorders>
            <w:vAlign w:val="center"/>
          </w:tcPr>
          <w:p w14:paraId="019103C6" w14:textId="77777777" w:rsidR="00DB21A5" w:rsidRPr="00DB21A5" w:rsidRDefault="00DB21A5" w:rsidP="00DB21A5">
            <w:pPr>
              <w:adjustRightInd w:val="0"/>
              <w:snapToGrid w:val="0"/>
              <w:spacing w:after="0" w:line="240" w:lineRule="auto"/>
              <w:jc w:val="center"/>
              <w:textAlignment w:val="center"/>
              <w:rPr>
                <w:rFonts w:ascii="宋体" w:eastAsia="宋体" w:hAnsi="宋体" w:cs="宋体" w:hint="eastAsia"/>
                <w:bCs/>
                <w:sz w:val="21"/>
                <w:szCs w:val="21"/>
                <w14:ligatures w14:val="none"/>
              </w:rPr>
            </w:pPr>
            <w:r w:rsidRPr="00DB21A5">
              <w:rPr>
                <w:rFonts w:ascii="宋体" w:eastAsia="宋体" w:hAnsi="宋体" w:cs="宋体" w:hint="eastAsia"/>
                <w:bCs/>
                <w:sz w:val="21"/>
                <w:szCs w:val="21"/>
                <w14:ligatures w14:val="none"/>
              </w:rPr>
              <w:t>99万元</w:t>
            </w:r>
          </w:p>
        </w:tc>
        <w:tc>
          <w:tcPr>
            <w:tcW w:w="1552" w:type="pct"/>
            <w:tcBorders>
              <w:top w:val="single" w:sz="6" w:space="0" w:color="auto"/>
              <w:left w:val="single" w:sz="6" w:space="0" w:color="auto"/>
              <w:bottom w:val="single" w:sz="12" w:space="0" w:color="auto"/>
              <w:right w:val="single" w:sz="12" w:space="0" w:color="auto"/>
            </w:tcBorders>
            <w:vAlign w:val="center"/>
          </w:tcPr>
          <w:p w14:paraId="334A7B80" w14:textId="77777777" w:rsidR="00DB21A5" w:rsidRPr="00DB21A5" w:rsidRDefault="00DB21A5" w:rsidP="00DB21A5">
            <w:pPr>
              <w:adjustRightInd w:val="0"/>
              <w:snapToGrid w:val="0"/>
              <w:spacing w:after="0" w:line="240" w:lineRule="auto"/>
              <w:jc w:val="center"/>
              <w:textAlignment w:val="center"/>
              <w:rPr>
                <w:rFonts w:ascii="宋体" w:eastAsia="宋体" w:hAnsi="宋体" w:cs="宋体"/>
                <w:bCs/>
                <w:sz w:val="21"/>
                <w:szCs w:val="21"/>
                <w14:ligatures w14:val="none"/>
              </w:rPr>
            </w:pPr>
            <w:r w:rsidRPr="00DB21A5">
              <w:rPr>
                <w:rFonts w:ascii="宋体" w:eastAsia="宋体" w:hAnsi="宋体" w:cs="宋体" w:hint="eastAsia"/>
                <w:bCs/>
                <w:sz w:val="21"/>
                <w:szCs w:val="21"/>
                <w14:ligatures w14:val="none"/>
              </w:rPr>
              <w:t>合同生效之日起三个半月（其中租赁期限三个月，以及半个月的免租期），具体以合同签订时间为准。</w:t>
            </w:r>
          </w:p>
        </w:tc>
      </w:tr>
    </w:tbl>
    <w:p w14:paraId="3F027899" w14:textId="77777777" w:rsidR="00DB21A5" w:rsidRPr="00DB21A5" w:rsidRDefault="00DB21A5" w:rsidP="00DB21A5">
      <w:pPr>
        <w:spacing w:after="0" w:line="360" w:lineRule="auto"/>
        <w:jc w:val="both"/>
        <w:rPr>
          <w:rFonts w:ascii="宋体" w:eastAsia="宋体" w:hAnsi="宋体" w:cs="宋体"/>
          <w:b/>
          <w:sz w:val="21"/>
          <w:szCs w:val="21"/>
          <w14:ligatures w14:val="none"/>
        </w:rPr>
      </w:pPr>
    </w:p>
    <w:p w14:paraId="5CD9559B" w14:textId="77777777" w:rsidR="00DB21A5" w:rsidRPr="00DB21A5" w:rsidRDefault="00DB21A5" w:rsidP="00DB21A5">
      <w:pPr>
        <w:spacing w:after="0" w:line="360" w:lineRule="auto"/>
        <w:jc w:val="both"/>
        <w:rPr>
          <w:rFonts w:ascii="宋体" w:eastAsia="宋体" w:hAnsi="宋体" w:cs="宋体" w:hint="eastAsia"/>
          <w:b/>
          <w:sz w:val="21"/>
          <w:szCs w:val="21"/>
          <w14:ligatures w14:val="none"/>
        </w:rPr>
      </w:pPr>
      <w:r w:rsidRPr="00DB21A5">
        <w:rPr>
          <w:rFonts w:ascii="宋体" w:eastAsia="宋体" w:hAnsi="宋体" w:cs="宋体" w:hint="eastAsia"/>
          <w:b/>
          <w:sz w:val="21"/>
          <w:szCs w:val="21"/>
          <w14:ligatures w14:val="none"/>
        </w:rPr>
        <w:t>二、技术要求</w:t>
      </w:r>
      <w:bookmarkEnd w:id="0"/>
    </w:p>
    <w:p w14:paraId="18B5F4DA" w14:textId="77777777" w:rsidR="00DB21A5" w:rsidRPr="00DB21A5" w:rsidRDefault="00DB21A5" w:rsidP="00DB21A5">
      <w:pPr>
        <w:spacing w:after="0" w:line="360" w:lineRule="auto"/>
        <w:ind w:firstLineChars="200" w:firstLine="422"/>
        <w:jc w:val="both"/>
        <w:rPr>
          <w:rFonts w:ascii="宋体" w:eastAsia="宋体" w:hAnsi="宋体" w:cs="宋体" w:hint="eastAsia"/>
          <w:b/>
          <w:bCs/>
          <w:sz w:val="21"/>
          <w:szCs w:val="21"/>
          <w14:ligatures w14:val="none"/>
        </w:rPr>
      </w:pPr>
      <w:r w:rsidRPr="00DB21A5">
        <w:rPr>
          <w:rFonts w:ascii="宋体" w:eastAsia="宋体" w:hAnsi="宋体" w:cs="宋体" w:hint="eastAsia"/>
          <w:b/>
          <w:bCs/>
          <w:sz w:val="21"/>
          <w:szCs w:val="21"/>
          <w:lang w:bidi="ar"/>
          <w14:ligatures w14:val="none"/>
        </w:rPr>
        <w:t>（一）项目要求</w:t>
      </w:r>
    </w:p>
    <w:p w14:paraId="177F04FF" w14:textId="77777777" w:rsidR="00DB21A5" w:rsidRPr="00DB21A5" w:rsidRDefault="00DB21A5" w:rsidP="00DB21A5">
      <w:pPr>
        <w:pBdr>
          <w:top w:val="none" w:sz="0" w:space="0" w:color="000000"/>
          <w:left w:val="none" w:sz="0" w:space="0" w:color="000000"/>
          <w:bottom w:val="none" w:sz="0" w:space="0" w:color="000000"/>
          <w:right w:val="none" w:sz="0" w:space="0" w:color="000000"/>
          <w:between w:val="none" w:sz="0" w:space="0" w:color="000000"/>
        </w:pBdr>
        <w:snapToGrid w:val="0"/>
        <w:spacing w:before="60" w:after="60" w:line="360" w:lineRule="auto"/>
        <w:ind w:firstLineChars="200" w:firstLine="420"/>
        <w:jc w:val="both"/>
        <w:rPr>
          <w:rFonts w:ascii="宋体" w:eastAsia="宋体" w:hAnsi="宋体" w:cs="Times New Roman" w:hint="eastAsia"/>
          <w:sz w:val="21"/>
          <w:szCs w:val="21"/>
          <w14:ligatures w14:val="none"/>
        </w:rPr>
      </w:pPr>
      <w:r w:rsidRPr="00DB21A5">
        <w:rPr>
          <w:rFonts w:ascii="宋体" w:eastAsia="宋体" w:hAnsi="宋体" w:cs="Times New Roman" w:hint="eastAsia"/>
          <w:sz w:val="21"/>
          <w:szCs w:val="21"/>
          <w14:ligatures w14:val="none"/>
        </w:rPr>
        <w:t>1、具备可支配物业租赁权属证明；</w:t>
      </w:r>
    </w:p>
    <w:p w14:paraId="7EEF6E25" w14:textId="77777777" w:rsidR="00DB21A5" w:rsidRPr="00DB21A5" w:rsidRDefault="00DB21A5" w:rsidP="00DB21A5">
      <w:pPr>
        <w:pBdr>
          <w:top w:val="none" w:sz="0" w:space="0" w:color="000000"/>
          <w:left w:val="none" w:sz="0" w:space="0" w:color="000000"/>
          <w:bottom w:val="none" w:sz="0" w:space="0" w:color="000000"/>
          <w:right w:val="none" w:sz="0" w:space="0" w:color="000000"/>
          <w:between w:val="none" w:sz="0" w:space="0" w:color="000000"/>
        </w:pBdr>
        <w:snapToGrid w:val="0"/>
        <w:spacing w:before="60" w:after="60" w:line="360" w:lineRule="auto"/>
        <w:ind w:firstLineChars="200" w:firstLine="420"/>
        <w:jc w:val="both"/>
        <w:rPr>
          <w:rFonts w:ascii="宋体" w:eastAsia="宋体" w:hAnsi="宋体" w:cs="Times New Roman" w:hint="eastAsia"/>
          <w:sz w:val="21"/>
          <w:szCs w:val="21"/>
          <w14:ligatures w14:val="none"/>
        </w:rPr>
      </w:pPr>
      <w:r w:rsidRPr="00DB21A5">
        <w:rPr>
          <w:rFonts w:ascii="宋体" w:eastAsia="宋体" w:hAnsi="宋体" w:cs="Times New Roman" w:hint="eastAsia"/>
          <w:sz w:val="21"/>
          <w:szCs w:val="21"/>
          <w14:ligatures w14:val="none"/>
        </w:rPr>
        <w:t>2、可供租赁的物业符合安全使用的标准和条件，不存在任何安全隐患。建筑、消防设备、燃气设施、电力设施、出入口和通道等应符合市政府规定的安全生产、消防、治安、环保、卫生等管理规定或标准。</w:t>
      </w:r>
    </w:p>
    <w:p w14:paraId="42617488" w14:textId="77777777" w:rsidR="00DB21A5" w:rsidRPr="00DB21A5" w:rsidRDefault="00DB21A5" w:rsidP="00DB21A5">
      <w:pPr>
        <w:pBdr>
          <w:top w:val="none" w:sz="0" w:space="0" w:color="000000"/>
          <w:left w:val="none" w:sz="0" w:space="0" w:color="000000"/>
          <w:bottom w:val="none" w:sz="0" w:space="0" w:color="000000"/>
          <w:right w:val="none" w:sz="0" w:space="0" w:color="000000"/>
          <w:between w:val="none" w:sz="0" w:space="0" w:color="000000"/>
        </w:pBdr>
        <w:snapToGrid w:val="0"/>
        <w:spacing w:before="60" w:after="60" w:line="360" w:lineRule="auto"/>
        <w:ind w:firstLineChars="200" w:firstLine="420"/>
        <w:jc w:val="both"/>
        <w:rPr>
          <w:rFonts w:ascii="宋体" w:eastAsia="宋体" w:hAnsi="宋体" w:cs="Times New Roman" w:hint="eastAsia"/>
          <w:sz w:val="21"/>
          <w:szCs w:val="21"/>
          <w14:ligatures w14:val="none"/>
        </w:rPr>
      </w:pPr>
      <w:r w:rsidRPr="00DB21A5">
        <w:rPr>
          <w:rFonts w:ascii="宋体" w:eastAsia="宋体" w:hAnsi="宋体" w:cs="Times New Roman" w:hint="eastAsia"/>
          <w:sz w:val="21"/>
          <w:szCs w:val="21"/>
          <w14:ligatures w14:val="none"/>
        </w:rPr>
        <w:t>3、拟租赁物业硬装交付，装修设计图纸及功能</w:t>
      </w:r>
      <w:proofErr w:type="gramStart"/>
      <w:r w:rsidRPr="00DB21A5">
        <w:rPr>
          <w:rFonts w:ascii="宋体" w:eastAsia="宋体" w:hAnsi="宋体" w:cs="Times New Roman" w:hint="eastAsia"/>
          <w:sz w:val="21"/>
          <w:szCs w:val="21"/>
          <w14:ligatures w14:val="none"/>
        </w:rPr>
        <w:t>配套由</w:t>
      </w:r>
      <w:proofErr w:type="gramEnd"/>
      <w:r w:rsidRPr="00DB21A5">
        <w:rPr>
          <w:rFonts w:ascii="宋体" w:eastAsia="宋体" w:hAnsi="宋体" w:cs="Times New Roman" w:hint="eastAsia"/>
          <w:sz w:val="21"/>
          <w:szCs w:val="21"/>
          <w14:ligatures w14:val="none"/>
        </w:rPr>
        <w:t>租赁方确认，含空调、热水器等基本电器，具备水、电、网络设施设备；</w:t>
      </w:r>
    </w:p>
    <w:p w14:paraId="2FC05F3F" w14:textId="77777777" w:rsidR="00DB21A5" w:rsidRPr="00DB21A5" w:rsidRDefault="00DB21A5" w:rsidP="00DB21A5">
      <w:pPr>
        <w:spacing w:after="0" w:line="360" w:lineRule="auto"/>
        <w:ind w:firstLineChars="200" w:firstLine="420"/>
        <w:jc w:val="both"/>
        <w:rPr>
          <w:rFonts w:ascii="宋体" w:eastAsia="宋体" w:hAnsi="宋体" w:cs="宋体" w:hint="eastAsia"/>
          <w:sz w:val="21"/>
          <w:szCs w:val="21"/>
          <w14:ligatures w14:val="none"/>
        </w:rPr>
      </w:pPr>
      <w:r w:rsidRPr="00DB21A5">
        <w:rPr>
          <w:rFonts w:ascii="宋体" w:eastAsia="宋体" w:hAnsi="宋体" w:cs="Times New Roman" w:hint="eastAsia"/>
          <w:sz w:val="21"/>
          <w:szCs w:val="21"/>
          <w14:ligatures w14:val="none"/>
        </w:rPr>
        <w:t>4、配套物业服务，提供为外墙、供水、供电、消防设施、排水等公共设施维护服务。</w:t>
      </w:r>
    </w:p>
    <w:p w14:paraId="0212C590" w14:textId="77777777" w:rsidR="00DB21A5" w:rsidRPr="00DB21A5" w:rsidRDefault="00DB21A5" w:rsidP="00DB21A5">
      <w:pPr>
        <w:spacing w:after="0" w:line="360" w:lineRule="auto"/>
        <w:ind w:firstLineChars="200" w:firstLine="422"/>
        <w:jc w:val="both"/>
        <w:rPr>
          <w:rFonts w:ascii="宋体" w:eastAsia="宋体" w:hAnsi="宋体" w:cs="宋体"/>
          <w:b/>
          <w:bCs/>
          <w:sz w:val="21"/>
          <w:szCs w:val="21"/>
          <w14:ligatures w14:val="none"/>
        </w:rPr>
      </w:pPr>
    </w:p>
    <w:p w14:paraId="2531D857" w14:textId="77777777" w:rsidR="00DB21A5" w:rsidRPr="00DB21A5" w:rsidRDefault="00DB21A5" w:rsidP="00DB21A5">
      <w:pPr>
        <w:spacing w:after="0" w:line="360" w:lineRule="auto"/>
        <w:jc w:val="both"/>
        <w:rPr>
          <w:rFonts w:ascii="宋体" w:eastAsia="宋体" w:hAnsi="宋体" w:cs="宋体" w:hint="eastAsia"/>
          <w:b/>
          <w:bCs/>
          <w:sz w:val="21"/>
          <w:szCs w:val="21"/>
          <w14:ligatures w14:val="none"/>
        </w:rPr>
      </w:pPr>
      <w:r w:rsidRPr="00DB21A5">
        <w:rPr>
          <w:rFonts w:ascii="宋体" w:eastAsia="宋体" w:hAnsi="宋体" w:cs="宋体" w:hint="eastAsia"/>
          <w:b/>
          <w:bCs/>
          <w:sz w:val="21"/>
          <w:szCs w:val="21"/>
          <w14:ligatures w14:val="none"/>
        </w:rPr>
        <w:t>三、商务要求（注：以下商务条款均为实质性条款，供应商投标时均不得负偏离，否则按投标无效处理）</w:t>
      </w:r>
    </w:p>
    <w:p w14:paraId="04454FD6"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hint="eastAsia"/>
          <w:bCs/>
          <w:color w:val="000000"/>
          <w:sz w:val="21"/>
          <w:szCs w:val="21"/>
          <w14:ligatures w14:val="none"/>
        </w:rPr>
        <w:t>1.签订合同15天内能够交付租赁标的及相关物业配套服务。</w:t>
      </w:r>
    </w:p>
    <w:p w14:paraId="72148122"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hint="eastAsia"/>
          <w:bCs/>
          <w:color w:val="000000"/>
          <w:sz w:val="21"/>
          <w:szCs w:val="21"/>
          <w14:ligatures w14:val="none"/>
        </w:rPr>
        <w:t>2.签订合同后提供物业产权证明。</w:t>
      </w:r>
    </w:p>
    <w:p w14:paraId="17AADEA1"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hint="eastAsia"/>
          <w:bCs/>
          <w:color w:val="000000"/>
          <w:sz w:val="21"/>
          <w:szCs w:val="21"/>
          <w14:ligatures w14:val="none"/>
        </w:rPr>
        <w:t>3.付款方式：按照采购人内控制度进行支付，具体以合同签订为准。</w:t>
      </w:r>
    </w:p>
    <w:p w14:paraId="112B81E9" w14:textId="77777777" w:rsidR="00DB21A5" w:rsidRPr="00DB21A5" w:rsidRDefault="00DB21A5" w:rsidP="00DB21A5">
      <w:pPr>
        <w:spacing w:after="0" w:line="360" w:lineRule="auto"/>
        <w:ind w:firstLineChars="200" w:firstLine="420"/>
        <w:jc w:val="both"/>
        <w:rPr>
          <w:rFonts w:ascii="宋体" w:eastAsia="宋体" w:hAnsi="宋体" w:cs="宋体"/>
          <w:bCs/>
          <w:color w:val="000000"/>
          <w:sz w:val="21"/>
          <w:szCs w:val="21"/>
          <w14:ligatures w14:val="none"/>
        </w:rPr>
      </w:pPr>
      <w:r w:rsidRPr="00DB21A5">
        <w:rPr>
          <w:rFonts w:ascii="宋体" w:eastAsia="宋体" w:hAnsi="宋体" w:cs="宋体" w:hint="eastAsia"/>
          <w:bCs/>
          <w:color w:val="000000"/>
          <w:sz w:val="21"/>
          <w:szCs w:val="21"/>
          <w14:ligatures w14:val="none"/>
        </w:rPr>
        <w:t>4.服务期：</w:t>
      </w:r>
      <w:r w:rsidRPr="00DB21A5">
        <w:rPr>
          <w:rFonts w:ascii="宋体" w:eastAsia="宋体" w:hAnsi="宋体" w:cs="宋体" w:hint="eastAsia"/>
          <w:bCs/>
          <w:sz w:val="21"/>
          <w:szCs w:val="21"/>
          <w14:ligatures w14:val="none"/>
        </w:rPr>
        <w:t>合同生效之日起三个半月（其中租赁期限三个月，以及半个月的免租期），具体以合同签订时间为准。</w:t>
      </w:r>
    </w:p>
    <w:p w14:paraId="4D237CB1" w14:textId="77777777" w:rsidR="00DB21A5" w:rsidRPr="00DB21A5" w:rsidRDefault="00DB21A5" w:rsidP="00DB21A5">
      <w:pPr>
        <w:spacing w:after="0" w:line="360" w:lineRule="auto"/>
        <w:ind w:firstLineChars="200" w:firstLine="420"/>
        <w:jc w:val="both"/>
        <w:rPr>
          <w:rFonts w:ascii="宋体" w:eastAsia="宋体" w:hAnsi="宋体" w:cs="宋体"/>
          <w:bCs/>
          <w:color w:val="000000"/>
          <w:sz w:val="21"/>
          <w:szCs w:val="21"/>
          <w14:ligatures w14:val="none"/>
        </w:rPr>
      </w:pPr>
      <w:r w:rsidRPr="00DB21A5">
        <w:rPr>
          <w:rFonts w:ascii="宋体" w:eastAsia="宋体" w:hAnsi="宋体" w:cs="宋体" w:hint="eastAsia"/>
          <w:bCs/>
          <w:color w:val="000000"/>
          <w:sz w:val="21"/>
          <w:szCs w:val="21"/>
          <w14:ligatures w14:val="none"/>
        </w:rPr>
        <w:lastRenderedPageBreak/>
        <w:t>5.其他要求：</w:t>
      </w:r>
    </w:p>
    <w:p w14:paraId="65738337"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hint="eastAsia"/>
          <w:sz w:val="21"/>
          <w:szCs w:val="21"/>
          <w14:ligatures w14:val="none"/>
        </w:rPr>
        <w:t>必须为权属清晰的现楼，保证在交接时无出让、查封、担保等事项，没有其他法律纠纷。</w:t>
      </w:r>
    </w:p>
    <w:p w14:paraId="1B7DCAEC" w14:textId="77777777" w:rsidR="00DB21A5" w:rsidRPr="00DB21A5" w:rsidRDefault="00DB21A5" w:rsidP="00DB21A5">
      <w:pPr>
        <w:tabs>
          <w:tab w:val="left" w:pos="3045"/>
        </w:tabs>
        <w:spacing w:after="0" w:line="360" w:lineRule="auto"/>
        <w:ind w:firstLineChars="196" w:firstLine="412"/>
        <w:jc w:val="both"/>
        <w:rPr>
          <w:rFonts w:ascii="宋体" w:eastAsia="宋体" w:hAnsi="宋体" w:cs="Times New Roman" w:hint="eastAsia"/>
          <w:color w:val="000000"/>
          <w:sz w:val="21"/>
          <w:szCs w:val="21"/>
          <w14:ligatures w14:val="none"/>
        </w:rPr>
      </w:pPr>
      <w:r w:rsidRPr="00DB21A5">
        <w:rPr>
          <w:rFonts w:ascii="宋体" w:eastAsia="宋体" w:hAnsi="宋体" w:cs="Times New Roman"/>
          <w:color w:val="000000"/>
          <w:sz w:val="21"/>
          <w:szCs w:val="21"/>
          <w14:ligatures w14:val="none"/>
        </w:rPr>
        <w:t>6</w:t>
      </w:r>
      <w:r w:rsidRPr="00DB21A5">
        <w:rPr>
          <w:rFonts w:ascii="宋体" w:eastAsia="宋体" w:hAnsi="宋体" w:cs="Times New Roman" w:hint="eastAsia"/>
          <w:color w:val="000000"/>
          <w:sz w:val="21"/>
          <w:szCs w:val="21"/>
          <w14:ligatures w14:val="none"/>
        </w:rPr>
        <w:t>.本次采购预算金额为人民币</w:t>
      </w:r>
      <w:r w:rsidRPr="00DB21A5">
        <w:rPr>
          <w:rFonts w:ascii="宋体" w:eastAsia="宋体" w:hAnsi="宋体" w:cs="宋体" w:hint="eastAsia"/>
          <w:bCs/>
          <w:sz w:val="21"/>
          <w:szCs w:val="21"/>
          <w14:ligatures w14:val="none"/>
        </w:rPr>
        <w:t>99万元，除房租外的其他费用（包括但不限于物业费、水电燃气费、宽带费等）由实际入住人支付。</w:t>
      </w:r>
      <w:r w:rsidRPr="00DB21A5">
        <w:rPr>
          <w:rFonts w:ascii="宋体" w:eastAsia="宋体" w:hAnsi="宋体" w:cs="Times New Roman" w:hint="eastAsia"/>
          <w:color w:val="000000"/>
          <w:sz w:val="21"/>
          <w:szCs w:val="21"/>
          <w14:ligatures w14:val="none"/>
        </w:rPr>
        <w:t>投标人报价不得超过预算金额，否则视为投标无效。</w:t>
      </w:r>
    </w:p>
    <w:p w14:paraId="43DE6F77" w14:textId="77777777" w:rsidR="00DB21A5" w:rsidRPr="00DB21A5" w:rsidRDefault="00DB21A5" w:rsidP="00DB21A5">
      <w:pPr>
        <w:tabs>
          <w:tab w:val="left" w:pos="3045"/>
        </w:tabs>
        <w:spacing w:after="0" w:line="360" w:lineRule="auto"/>
        <w:ind w:firstLineChars="196" w:firstLine="412"/>
        <w:jc w:val="both"/>
        <w:rPr>
          <w:rFonts w:ascii="宋体" w:eastAsia="宋体" w:hAnsi="宋体" w:cs="Times New Roman" w:hint="eastAsia"/>
          <w:color w:val="000000"/>
          <w:sz w:val="21"/>
          <w:szCs w:val="21"/>
          <w14:ligatures w14:val="none"/>
        </w:rPr>
      </w:pPr>
      <w:r w:rsidRPr="00DB21A5">
        <w:rPr>
          <w:rFonts w:ascii="宋体" w:eastAsia="宋体" w:hAnsi="宋体" w:cs="Times New Roman" w:hint="eastAsia"/>
          <w:color w:val="000000"/>
          <w:sz w:val="21"/>
          <w:szCs w:val="21"/>
          <w14:ligatures w14:val="none"/>
        </w:rPr>
        <w:t>投标人应根据本企业的成本自行决定报价，但不得以低于其企业成本的报价投标；评标时，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4766F6C1" w14:textId="77777777" w:rsidR="00DB21A5" w:rsidRPr="00DB21A5" w:rsidRDefault="00DB21A5" w:rsidP="00DB21A5">
      <w:pPr>
        <w:spacing w:after="0" w:line="360" w:lineRule="auto"/>
        <w:ind w:firstLineChars="200" w:firstLine="420"/>
        <w:jc w:val="both"/>
        <w:rPr>
          <w:rFonts w:ascii="宋体" w:eastAsia="宋体" w:hAnsi="宋体" w:cs="Times New Roman" w:hint="eastAsia"/>
          <w:bCs/>
          <w:sz w:val="21"/>
          <w:szCs w:val="21"/>
          <w14:ligatures w14:val="none"/>
        </w:rPr>
      </w:pPr>
      <w:bookmarkStart w:id="1" w:name="_Hlk54863973"/>
      <w:r w:rsidRPr="00DB21A5">
        <w:rPr>
          <w:rFonts w:ascii="宋体" w:eastAsia="宋体" w:hAnsi="宋体" w:cs="Times New Roman" w:hint="eastAsia"/>
          <w:bCs/>
          <w:sz w:val="21"/>
          <w:szCs w:val="21"/>
          <w14:ligatures w14:val="none"/>
        </w:rPr>
        <w:t>7</w:t>
      </w:r>
      <w:r w:rsidRPr="00DB21A5">
        <w:rPr>
          <w:rFonts w:ascii="宋体" w:eastAsia="宋体" w:hAnsi="宋体" w:cs="Times New Roman"/>
          <w:bCs/>
          <w:sz w:val="21"/>
          <w:szCs w:val="21"/>
          <w14:ligatures w14:val="none"/>
        </w:rPr>
        <w:t>.</w:t>
      </w:r>
      <w:r w:rsidRPr="00DB21A5">
        <w:rPr>
          <w:rFonts w:ascii="宋体" w:eastAsia="宋体" w:hAnsi="宋体" w:cs="Times New Roman" w:hint="eastAsia"/>
          <w:bCs/>
          <w:sz w:val="21"/>
          <w:szCs w:val="21"/>
          <w14:ligatures w14:val="none"/>
        </w:rPr>
        <w:t>其他商务条款</w:t>
      </w:r>
    </w:p>
    <w:bookmarkEnd w:id="1"/>
    <w:p w14:paraId="541531BD"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1.合同的变更</w:t>
      </w:r>
    </w:p>
    <w:p w14:paraId="4C220184"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1.1在合同履行过程中，采购人、中标人双方可就合同履行的时间、地点和方式等协商进行变更。协商一致后，双方应签订书面的补充协议。</w:t>
      </w:r>
    </w:p>
    <w:p w14:paraId="4FA10755"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1.2除了双方签署书面协议，并成为合同不可分割的一部分之外，合同条件不得有任何变更。</w:t>
      </w:r>
    </w:p>
    <w:p w14:paraId="6FA334AC"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2.合同转让和分包</w:t>
      </w:r>
    </w:p>
    <w:p w14:paraId="6328A0CB"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2.1中标人不得以任何形式部分或全部转让其应履行的合同义务。</w:t>
      </w:r>
    </w:p>
    <w:p w14:paraId="28AD84C2"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3.解决争议的方法</w:t>
      </w:r>
    </w:p>
    <w:p w14:paraId="23CAC75E"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3.1合同各方应通过友好协商，解决在执行合同过程中所发生的或与合同有关的一切争端。</w:t>
      </w:r>
    </w:p>
    <w:p w14:paraId="354F202A"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3.2如从协商开始28天内仍不能解决，任一方可向采购人所在地的人民法院提起诉讼。</w:t>
      </w:r>
    </w:p>
    <w:p w14:paraId="3791BBE2"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3.3在诉讼期间，除正在进行诉讼的部分外，合同的其他部分应继续执行。</w:t>
      </w:r>
    </w:p>
    <w:p w14:paraId="6CE191A9"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4.合同语言</w:t>
      </w:r>
    </w:p>
    <w:p w14:paraId="249DE1F4"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4.1合同以及双方来住的与合同有关的信件、传真和其它文件应用中文书写。</w:t>
      </w:r>
    </w:p>
    <w:p w14:paraId="57F2144C"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5.法律适用</w:t>
      </w:r>
    </w:p>
    <w:p w14:paraId="7D018C76"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5.1合同适用中华人民共和国现行法律、行政法规和规章，如合同条款与法律、行政法规和规章不一致的，按照法律、行政法规和规章修改合同。</w:t>
      </w:r>
    </w:p>
    <w:p w14:paraId="3F767770"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6.通知</w:t>
      </w:r>
    </w:p>
    <w:p w14:paraId="3ED0E52B"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lastRenderedPageBreak/>
        <w:t>7.</w:t>
      </w:r>
      <w:r w:rsidRPr="00DB21A5">
        <w:rPr>
          <w:rFonts w:ascii="宋体" w:eastAsia="宋体" w:hAnsi="宋体" w:cs="宋体" w:hint="eastAsia"/>
          <w:bCs/>
          <w:color w:val="000000"/>
          <w:sz w:val="21"/>
          <w:szCs w:val="21"/>
          <w14:ligatures w14:val="none"/>
        </w:rPr>
        <w:t>6.1合同一方给另一方的通知均应采用书面形式，传真或快递送到对方的地址和办理签收手续。</w:t>
      </w:r>
    </w:p>
    <w:p w14:paraId="6EF48885"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6.2通知以送到之日或通知书中规定的生效之日起生效，两者中以较迟之日为准。</w:t>
      </w:r>
    </w:p>
    <w:p w14:paraId="362657B8"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7.知识产权</w:t>
      </w:r>
    </w:p>
    <w:p w14:paraId="77FFFBFE"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7.1中标人应保证采购人在使用该货物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32732A6C"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8.合同解除和终止</w:t>
      </w:r>
    </w:p>
    <w:p w14:paraId="072F417D"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8.1如果中标人未能在协议规定的限期或采购人同意延长的限期内提供部分或全部货物/服务，采购人可向中标人发出书面的违约通知书，提出</w:t>
      </w:r>
      <w:proofErr w:type="gramStart"/>
      <w:r w:rsidRPr="00DB21A5">
        <w:rPr>
          <w:rFonts w:ascii="宋体" w:eastAsia="宋体" w:hAnsi="宋体" w:cs="宋体" w:hint="eastAsia"/>
          <w:bCs/>
          <w:color w:val="000000"/>
          <w:sz w:val="21"/>
          <w:szCs w:val="21"/>
          <w14:ligatures w14:val="none"/>
        </w:rPr>
        <w:t>终止部</w:t>
      </w:r>
      <w:proofErr w:type="gramEnd"/>
      <w:r w:rsidRPr="00DB21A5">
        <w:rPr>
          <w:rFonts w:ascii="宋体" w:eastAsia="宋体" w:hAnsi="宋体" w:cs="宋体" w:hint="eastAsia"/>
          <w:bCs/>
          <w:color w:val="000000"/>
          <w:sz w:val="21"/>
          <w:szCs w:val="21"/>
          <w14:ligatures w14:val="none"/>
        </w:rPr>
        <w:t>份或全部协议。采购人可在任何时候出于自身的</w:t>
      </w:r>
      <w:proofErr w:type="gramStart"/>
      <w:r w:rsidRPr="00DB21A5">
        <w:rPr>
          <w:rFonts w:ascii="宋体" w:eastAsia="宋体" w:hAnsi="宋体" w:cs="宋体" w:hint="eastAsia"/>
          <w:bCs/>
          <w:color w:val="000000"/>
          <w:sz w:val="21"/>
          <w:szCs w:val="21"/>
          <w14:ligatures w14:val="none"/>
        </w:rPr>
        <w:t>便利向</w:t>
      </w:r>
      <w:proofErr w:type="gramEnd"/>
      <w:r w:rsidRPr="00DB21A5">
        <w:rPr>
          <w:rFonts w:ascii="宋体" w:eastAsia="宋体" w:hAnsi="宋体" w:cs="宋体" w:hint="eastAsia"/>
          <w:bCs/>
          <w:color w:val="000000"/>
          <w:sz w:val="21"/>
          <w:szCs w:val="21"/>
          <w14:ligatures w14:val="none"/>
        </w:rPr>
        <w:t>中标人发出书面通知终止部分合同，采购人在合同总价中扣除该终止部分货物/服务的价款，并不再对中标人</w:t>
      </w:r>
      <w:proofErr w:type="gramStart"/>
      <w:r w:rsidRPr="00DB21A5">
        <w:rPr>
          <w:rFonts w:ascii="宋体" w:eastAsia="宋体" w:hAnsi="宋体" w:cs="宋体" w:hint="eastAsia"/>
          <w:bCs/>
          <w:color w:val="000000"/>
          <w:sz w:val="21"/>
          <w:szCs w:val="21"/>
          <w14:ligatures w14:val="none"/>
        </w:rPr>
        <w:t>作出</w:t>
      </w:r>
      <w:proofErr w:type="gramEnd"/>
      <w:r w:rsidRPr="00DB21A5">
        <w:rPr>
          <w:rFonts w:ascii="宋体" w:eastAsia="宋体" w:hAnsi="宋体" w:cs="宋体" w:hint="eastAsia"/>
          <w:bCs/>
          <w:color w:val="000000"/>
          <w:sz w:val="21"/>
          <w:szCs w:val="21"/>
          <w14:ligatures w14:val="none"/>
        </w:rPr>
        <w:t>额外赔偿。</w:t>
      </w:r>
    </w:p>
    <w:p w14:paraId="3AEFFA21"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9.税费</w:t>
      </w:r>
    </w:p>
    <w:p w14:paraId="235B93CA" w14:textId="77777777" w:rsidR="00DB21A5" w:rsidRPr="00DB21A5" w:rsidRDefault="00DB21A5" w:rsidP="00DB21A5">
      <w:pPr>
        <w:spacing w:after="0" w:line="360" w:lineRule="auto"/>
        <w:ind w:firstLineChars="200" w:firstLine="420"/>
        <w:jc w:val="both"/>
        <w:rPr>
          <w:rFonts w:ascii="宋体" w:eastAsia="宋体" w:hAnsi="宋体" w:cs="宋体" w:hint="eastAsia"/>
          <w:bCs/>
          <w:color w:val="000000"/>
          <w:sz w:val="21"/>
          <w:szCs w:val="21"/>
          <w14:ligatures w14:val="none"/>
        </w:rPr>
      </w:pPr>
      <w:r w:rsidRPr="00DB21A5">
        <w:rPr>
          <w:rFonts w:ascii="宋体" w:eastAsia="宋体" w:hAnsi="宋体" w:cs="宋体"/>
          <w:bCs/>
          <w:color w:val="000000"/>
          <w:sz w:val="21"/>
          <w:szCs w:val="21"/>
          <w14:ligatures w14:val="none"/>
        </w:rPr>
        <w:t>7.</w:t>
      </w:r>
      <w:r w:rsidRPr="00DB21A5">
        <w:rPr>
          <w:rFonts w:ascii="宋体" w:eastAsia="宋体" w:hAnsi="宋体" w:cs="宋体" w:hint="eastAsia"/>
          <w:bCs/>
          <w:color w:val="000000"/>
          <w:sz w:val="21"/>
          <w:szCs w:val="21"/>
          <w14:ligatures w14:val="none"/>
        </w:rPr>
        <w:t>9.1中国政府根据现行税法向中标人征收的与合同有关的一切税费均由中标人负责。</w:t>
      </w:r>
    </w:p>
    <w:p w14:paraId="097D8820" w14:textId="77777777" w:rsidR="003B678C" w:rsidRPr="00DB21A5" w:rsidRDefault="003B678C"/>
    <w:sectPr w:rsidR="003B678C" w:rsidRPr="00DB21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2B88" w14:textId="77777777" w:rsidR="00574A92" w:rsidRDefault="00574A92" w:rsidP="00DB21A5">
      <w:pPr>
        <w:spacing w:after="0" w:line="240" w:lineRule="auto"/>
        <w:rPr>
          <w:rFonts w:hint="eastAsia"/>
        </w:rPr>
      </w:pPr>
      <w:r>
        <w:separator/>
      </w:r>
    </w:p>
  </w:endnote>
  <w:endnote w:type="continuationSeparator" w:id="0">
    <w:p w14:paraId="2479A11B" w14:textId="77777777" w:rsidR="00574A92" w:rsidRDefault="00574A92" w:rsidP="00DB21A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3BBA" w14:textId="77777777" w:rsidR="00574A92" w:rsidRDefault="00574A92" w:rsidP="00DB21A5">
      <w:pPr>
        <w:spacing w:after="0" w:line="240" w:lineRule="auto"/>
        <w:rPr>
          <w:rFonts w:hint="eastAsia"/>
        </w:rPr>
      </w:pPr>
      <w:r>
        <w:separator/>
      </w:r>
    </w:p>
  </w:footnote>
  <w:footnote w:type="continuationSeparator" w:id="0">
    <w:p w14:paraId="7633EA31" w14:textId="77777777" w:rsidR="00574A92" w:rsidRDefault="00574A92" w:rsidP="00DB21A5">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8C"/>
    <w:rsid w:val="003B678C"/>
    <w:rsid w:val="00574A92"/>
    <w:rsid w:val="00D807C5"/>
    <w:rsid w:val="00DB2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138A033-98DD-40CE-AB53-F65A79A5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7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7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7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7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7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7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7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7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7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7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7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7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78C"/>
    <w:rPr>
      <w:rFonts w:cstheme="majorBidi"/>
      <w:color w:val="2F5496" w:themeColor="accent1" w:themeShade="BF"/>
      <w:sz w:val="28"/>
      <w:szCs w:val="28"/>
    </w:rPr>
  </w:style>
  <w:style w:type="character" w:customStyle="1" w:styleId="50">
    <w:name w:val="标题 5 字符"/>
    <w:basedOn w:val="a0"/>
    <w:link w:val="5"/>
    <w:uiPriority w:val="9"/>
    <w:semiHidden/>
    <w:rsid w:val="003B678C"/>
    <w:rPr>
      <w:rFonts w:cstheme="majorBidi"/>
      <w:color w:val="2F5496" w:themeColor="accent1" w:themeShade="BF"/>
      <w:sz w:val="24"/>
    </w:rPr>
  </w:style>
  <w:style w:type="character" w:customStyle="1" w:styleId="60">
    <w:name w:val="标题 6 字符"/>
    <w:basedOn w:val="a0"/>
    <w:link w:val="6"/>
    <w:uiPriority w:val="9"/>
    <w:semiHidden/>
    <w:rsid w:val="003B678C"/>
    <w:rPr>
      <w:rFonts w:cstheme="majorBidi"/>
      <w:b/>
      <w:bCs/>
      <w:color w:val="2F5496" w:themeColor="accent1" w:themeShade="BF"/>
    </w:rPr>
  </w:style>
  <w:style w:type="character" w:customStyle="1" w:styleId="70">
    <w:name w:val="标题 7 字符"/>
    <w:basedOn w:val="a0"/>
    <w:link w:val="7"/>
    <w:uiPriority w:val="9"/>
    <w:semiHidden/>
    <w:rsid w:val="003B678C"/>
    <w:rPr>
      <w:rFonts w:cstheme="majorBidi"/>
      <w:b/>
      <w:bCs/>
      <w:color w:val="595959" w:themeColor="text1" w:themeTint="A6"/>
    </w:rPr>
  </w:style>
  <w:style w:type="character" w:customStyle="1" w:styleId="80">
    <w:name w:val="标题 8 字符"/>
    <w:basedOn w:val="a0"/>
    <w:link w:val="8"/>
    <w:uiPriority w:val="9"/>
    <w:semiHidden/>
    <w:rsid w:val="003B678C"/>
    <w:rPr>
      <w:rFonts w:cstheme="majorBidi"/>
      <w:color w:val="595959" w:themeColor="text1" w:themeTint="A6"/>
    </w:rPr>
  </w:style>
  <w:style w:type="character" w:customStyle="1" w:styleId="90">
    <w:name w:val="标题 9 字符"/>
    <w:basedOn w:val="a0"/>
    <w:link w:val="9"/>
    <w:uiPriority w:val="9"/>
    <w:semiHidden/>
    <w:rsid w:val="003B678C"/>
    <w:rPr>
      <w:rFonts w:eastAsiaTheme="majorEastAsia" w:cstheme="majorBidi"/>
      <w:color w:val="595959" w:themeColor="text1" w:themeTint="A6"/>
    </w:rPr>
  </w:style>
  <w:style w:type="paragraph" w:styleId="a3">
    <w:name w:val="Title"/>
    <w:basedOn w:val="a"/>
    <w:next w:val="a"/>
    <w:link w:val="a4"/>
    <w:uiPriority w:val="10"/>
    <w:qFormat/>
    <w:rsid w:val="003B67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7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7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7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78C"/>
    <w:pPr>
      <w:spacing w:before="160"/>
      <w:jc w:val="center"/>
    </w:pPr>
    <w:rPr>
      <w:i/>
      <w:iCs/>
      <w:color w:val="404040" w:themeColor="text1" w:themeTint="BF"/>
    </w:rPr>
  </w:style>
  <w:style w:type="character" w:customStyle="1" w:styleId="a8">
    <w:name w:val="引用 字符"/>
    <w:basedOn w:val="a0"/>
    <w:link w:val="a7"/>
    <w:uiPriority w:val="29"/>
    <w:rsid w:val="003B678C"/>
    <w:rPr>
      <w:i/>
      <w:iCs/>
      <w:color w:val="404040" w:themeColor="text1" w:themeTint="BF"/>
    </w:rPr>
  </w:style>
  <w:style w:type="paragraph" w:styleId="a9">
    <w:name w:val="List Paragraph"/>
    <w:basedOn w:val="a"/>
    <w:uiPriority w:val="34"/>
    <w:qFormat/>
    <w:rsid w:val="003B678C"/>
    <w:pPr>
      <w:ind w:left="720"/>
      <w:contextualSpacing/>
    </w:pPr>
  </w:style>
  <w:style w:type="character" w:styleId="aa">
    <w:name w:val="Intense Emphasis"/>
    <w:basedOn w:val="a0"/>
    <w:uiPriority w:val="21"/>
    <w:qFormat/>
    <w:rsid w:val="003B678C"/>
    <w:rPr>
      <w:i/>
      <w:iCs/>
      <w:color w:val="2F5496" w:themeColor="accent1" w:themeShade="BF"/>
    </w:rPr>
  </w:style>
  <w:style w:type="paragraph" w:styleId="ab">
    <w:name w:val="Intense Quote"/>
    <w:basedOn w:val="a"/>
    <w:next w:val="a"/>
    <w:link w:val="ac"/>
    <w:uiPriority w:val="30"/>
    <w:qFormat/>
    <w:rsid w:val="003B6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78C"/>
    <w:rPr>
      <w:i/>
      <w:iCs/>
      <w:color w:val="2F5496" w:themeColor="accent1" w:themeShade="BF"/>
    </w:rPr>
  </w:style>
  <w:style w:type="character" w:styleId="ad">
    <w:name w:val="Intense Reference"/>
    <w:basedOn w:val="a0"/>
    <w:uiPriority w:val="32"/>
    <w:qFormat/>
    <w:rsid w:val="003B678C"/>
    <w:rPr>
      <w:b/>
      <w:bCs/>
      <w:smallCaps/>
      <w:color w:val="2F5496" w:themeColor="accent1" w:themeShade="BF"/>
      <w:spacing w:val="5"/>
    </w:rPr>
  </w:style>
  <w:style w:type="paragraph" w:styleId="ae">
    <w:name w:val="header"/>
    <w:basedOn w:val="a"/>
    <w:link w:val="af"/>
    <w:uiPriority w:val="99"/>
    <w:unhideWhenUsed/>
    <w:rsid w:val="00DB21A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B21A5"/>
    <w:rPr>
      <w:sz w:val="18"/>
      <w:szCs w:val="18"/>
    </w:rPr>
  </w:style>
  <w:style w:type="paragraph" w:styleId="af0">
    <w:name w:val="footer"/>
    <w:basedOn w:val="a"/>
    <w:link w:val="af1"/>
    <w:uiPriority w:val="99"/>
    <w:unhideWhenUsed/>
    <w:rsid w:val="00DB21A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B21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2025-09-30T10:02:00Z</dcterms:created>
  <dcterms:modified xsi:type="dcterms:W3CDTF">2025-09-30T10:02:00Z</dcterms:modified>
</cp:coreProperties>
</file>