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31B6" w14:textId="77777777" w:rsidR="00277F84" w:rsidRPr="00277F84" w:rsidRDefault="00277F84" w:rsidP="008210A4">
      <w:pPr>
        <w:keepNext/>
        <w:keepLines/>
        <w:numPr>
          <w:ilvl w:val="0"/>
          <w:numId w:val="1"/>
        </w:numPr>
        <w:spacing w:after="0" w:line="240" w:lineRule="auto"/>
        <w:outlineLvl w:val="0"/>
        <w:rPr>
          <w:rFonts w:ascii="黑体" w:eastAsia="黑体" w:hAnsi="黑体" w:cs="Times New Roman"/>
          <w:bCs/>
          <w:kern w:val="44"/>
          <w:sz w:val="44"/>
          <w:szCs w:val="44"/>
          <w14:ligatures w14:val="none"/>
        </w:rPr>
      </w:pPr>
      <w:bookmarkStart w:id="0" w:name="_Toc212643150"/>
      <w:r w:rsidRPr="00277F84">
        <w:rPr>
          <w:rFonts w:ascii="黑体" w:eastAsia="黑体" w:hAnsi="黑体" w:cs="Times New Roman" w:hint="eastAsia"/>
          <w:bCs/>
          <w:kern w:val="44"/>
          <w:sz w:val="44"/>
          <w:szCs w:val="44"/>
          <w14:ligatures w14:val="none"/>
        </w:rPr>
        <w:t>征集项目需求</w:t>
      </w:r>
      <w:bookmarkEnd w:id="0"/>
    </w:p>
    <w:p w14:paraId="374DF6D9" w14:textId="77777777" w:rsidR="00277F84" w:rsidRPr="00277F84" w:rsidRDefault="00277F84" w:rsidP="00277F84">
      <w:pPr>
        <w:widowControl/>
        <w:spacing w:after="0" w:line="360" w:lineRule="auto"/>
        <w:rPr>
          <w:rFonts w:ascii="宋体" w:eastAsia="宋体" w:hAnsi="宋体" w:cs="Times New Roman" w:hint="eastAsia"/>
          <w:b/>
          <w:sz w:val="21"/>
          <w14:ligatures w14:val="none"/>
        </w:rPr>
      </w:pPr>
    </w:p>
    <w:p w14:paraId="4503B39B" w14:textId="77777777" w:rsidR="00277F84" w:rsidRPr="00277F84" w:rsidRDefault="00277F84" w:rsidP="00277F84">
      <w:pPr>
        <w:adjustRightInd w:val="0"/>
        <w:spacing w:after="0" w:line="360" w:lineRule="auto"/>
        <w:ind w:firstLineChars="196" w:firstLine="413"/>
        <w:rPr>
          <w:rFonts w:ascii="宋体" w:eastAsia="宋体" w:hAnsi="宋体" w:cs="Times New Roman" w:hint="eastAsia"/>
          <w:kern w:val="0"/>
          <w:sz w:val="21"/>
          <w:szCs w:val="21"/>
          <w14:ligatures w14:val="none"/>
        </w:rPr>
      </w:pPr>
      <w:r w:rsidRPr="00277F84">
        <w:rPr>
          <w:rFonts w:ascii="宋体" w:eastAsia="宋体" w:hAnsi="宋体" w:cs="Times New Roman" w:hint="eastAsia"/>
          <w:b/>
          <w:kern w:val="0"/>
          <w:sz w:val="21"/>
          <w:szCs w:val="21"/>
          <w14:ligatures w14:val="none"/>
        </w:rPr>
        <w:t>一、</w:t>
      </w:r>
      <w:r w:rsidRPr="00277F84">
        <w:rPr>
          <w:rFonts w:ascii="宋体" w:eastAsia="宋体" w:hAnsi="宋体" w:cs="宋体" w:hint="eastAsia"/>
          <w:b/>
          <w:kern w:val="0"/>
          <w:sz w:val="21"/>
          <w:szCs w:val="21"/>
          <w14:ligatures w14:val="none"/>
        </w:rPr>
        <w:t>项目简介</w:t>
      </w:r>
    </w:p>
    <w:p w14:paraId="3A0E13CE"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（一）介绍项目的背景</w:t>
      </w:r>
    </w:p>
    <w:p w14:paraId="491A9F26"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福南社区嘉汇新城架空</w:t>
      </w:r>
      <w:proofErr w:type="gramStart"/>
      <w:r w:rsidRPr="00277F84">
        <w:rPr>
          <w:rFonts w:ascii="宋体" w:eastAsia="宋体" w:hAnsi="宋体" w:cs="Times New Roman" w:hint="eastAsia"/>
          <w:sz w:val="21"/>
          <w:szCs w:val="21"/>
          <w14:ligatures w14:val="none"/>
        </w:rPr>
        <w:t>层儿童</w:t>
      </w:r>
      <w:proofErr w:type="gramEnd"/>
      <w:r w:rsidRPr="00277F84">
        <w:rPr>
          <w:rFonts w:ascii="宋体" w:eastAsia="宋体" w:hAnsi="宋体" w:cs="Times New Roman" w:hint="eastAsia"/>
          <w:sz w:val="21"/>
          <w:szCs w:val="21"/>
          <w14:ligatures w14:val="none"/>
        </w:rPr>
        <w:t>游乐场地年久失修、功能及样式老旧，且存在安全隐患。</w:t>
      </w:r>
      <w:proofErr w:type="gramStart"/>
      <w:r w:rsidRPr="00277F84">
        <w:rPr>
          <w:rFonts w:ascii="宋体" w:eastAsia="宋体" w:hAnsi="宋体" w:cs="Times New Roman" w:hint="eastAsia"/>
          <w:sz w:val="21"/>
          <w:szCs w:val="21"/>
          <w14:ligatures w14:val="none"/>
        </w:rPr>
        <w:t>经现实</w:t>
      </w:r>
      <w:proofErr w:type="gramEnd"/>
      <w:r w:rsidRPr="00277F84">
        <w:rPr>
          <w:rFonts w:ascii="宋体" w:eastAsia="宋体" w:hAnsi="宋体" w:cs="Times New Roman" w:hint="eastAsia"/>
          <w:sz w:val="21"/>
          <w:szCs w:val="21"/>
          <w14:ligatures w14:val="none"/>
        </w:rPr>
        <w:t>地考察，拟申请拆除原有游乐设备，整体场地美化提升，重新配置游乐设备，主要包括地面增加EPDM防护地胶，墙面做软包保护及艺术彩绘美化，新做防护栏方便管理及防止大龄儿童攀越，定制组合儿童游乐设备供儿童玩耍。该项目旨在为辖区儿童提供一个良好的、安全的游乐空间。</w:t>
      </w:r>
    </w:p>
    <w:p w14:paraId="1D58626D"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（二）项目实施内容</w:t>
      </w:r>
    </w:p>
    <w:p w14:paraId="62C4BF78"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拆除部分：</w:t>
      </w:r>
    </w:p>
    <w:p w14:paraId="30F25090"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拆除原拆除格栅天花约30平方米；拆除金属门及门框约8.19平方米；柱</w:t>
      </w:r>
      <w:proofErr w:type="gramStart"/>
      <w:r w:rsidRPr="00277F84">
        <w:rPr>
          <w:rFonts w:ascii="宋体" w:eastAsia="宋体" w:hAnsi="宋体" w:cs="Times New Roman" w:hint="eastAsia"/>
          <w:sz w:val="21"/>
          <w:szCs w:val="21"/>
          <w14:ligatures w14:val="none"/>
        </w:rPr>
        <w:t>油漆面铲除</w:t>
      </w:r>
      <w:proofErr w:type="gramEnd"/>
      <w:r w:rsidRPr="00277F84">
        <w:rPr>
          <w:rFonts w:ascii="宋体" w:eastAsia="宋体" w:hAnsi="宋体" w:cs="Times New Roman" w:hint="eastAsia"/>
          <w:sz w:val="21"/>
          <w:szCs w:val="21"/>
          <w14:ligatures w14:val="none"/>
        </w:rPr>
        <w:t>88.48平方米。</w:t>
      </w:r>
    </w:p>
    <w:p w14:paraId="5B09625A"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新做部分：</w:t>
      </w:r>
    </w:p>
    <w:p w14:paraId="120EFFD3"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恢复木格栅天花约30平方米；恢复金属门及门框3套约8.19平方米，新做1.2*1.0m木</w:t>
      </w:r>
      <w:proofErr w:type="gramStart"/>
      <w:r w:rsidRPr="00277F84">
        <w:rPr>
          <w:rFonts w:ascii="宋体" w:eastAsia="宋体" w:hAnsi="宋体" w:cs="Times New Roman" w:hint="eastAsia"/>
          <w:sz w:val="21"/>
          <w:szCs w:val="21"/>
          <w14:ligatures w14:val="none"/>
        </w:rPr>
        <w:t>栏栅门</w:t>
      </w:r>
      <w:proofErr w:type="gramEnd"/>
      <w:r w:rsidRPr="00277F84">
        <w:rPr>
          <w:rFonts w:ascii="宋体" w:eastAsia="宋体" w:hAnsi="宋体" w:cs="Times New Roman" w:hint="eastAsia"/>
          <w:sz w:val="21"/>
          <w:szCs w:val="21"/>
          <w14:ligatures w14:val="none"/>
        </w:rPr>
        <w:t>2套，新做5m*4m封窗隔断，新做木质矮隔断21.7平方米，新做防护网隔断98.8平方米，新做30mm厚成品人造皮革软包45平方米，新做墙面油漆及艺术彩绘173.14平方米，新做30mm厚EPDM地面114.2平方米，新做组合滑梯（现场测量定制，约19m长）。其他零星修补、标识牌、监控布置等，具体实施内容详见图纸清单。</w:t>
      </w:r>
    </w:p>
    <w:p w14:paraId="6478EF0F"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（三）项目管理及执行标准</w:t>
      </w:r>
    </w:p>
    <w:p w14:paraId="0E77EF24"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中华人民共和国征集投标法》《中华人民共和国建筑法》《中华人民共和国民法典》《建设工程质量管理条例》《深圳市建设工程质量管理条例(2003修订)》《深圳市建设现场文明施工管理办法》《深圳市员工工资支付条例》《建设工程安全生产管理条例》以及深圳市制定的其他有关建设方面的法律、法规、规章、制度和规范性文件</w:t>
      </w:r>
    </w:p>
    <w:p w14:paraId="2A1DDFA4"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所有适用于本工程的最新国家、行业及地方(含广东省、深圳市)标准和规范，以及由发包人制定的相关标准和规范，如上述标准和规范之间存在差异，承包人应按较严格者为准。</w:t>
      </w:r>
    </w:p>
    <w:p w14:paraId="57196CD2" w14:textId="77777777" w:rsidR="00277F84" w:rsidRPr="00277F84" w:rsidRDefault="00277F84" w:rsidP="00277F84">
      <w:pPr>
        <w:adjustRightInd w:val="0"/>
        <w:spacing w:after="0" w:line="360" w:lineRule="auto"/>
        <w:ind w:firstLineChars="196" w:firstLine="413"/>
        <w:rPr>
          <w:rFonts w:ascii="宋体" w:eastAsia="宋体" w:hAnsi="宋体" w:cs="Times New Roman" w:hint="eastAsia"/>
          <w:b/>
          <w:kern w:val="0"/>
          <w:sz w:val="21"/>
          <w:szCs w:val="21"/>
          <w14:ligatures w14:val="none"/>
        </w:rPr>
      </w:pPr>
    </w:p>
    <w:p w14:paraId="057090C1" w14:textId="77777777" w:rsidR="00277F84" w:rsidRPr="00277F84" w:rsidRDefault="00277F84" w:rsidP="00277F84">
      <w:pPr>
        <w:adjustRightInd w:val="0"/>
        <w:spacing w:after="0" w:line="360" w:lineRule="auto"/>
        <w:ind w:firstLineChars="196" w:firstLine="413"/>
        <w:rPr>
          <w:rFonts w:ascii="宋体" w:eastAsia="宋体" w:hAnsi="宋体" w:cs="Times New Roman" w:hint="eastAsia"/>
          <w:b/>
          <w:kern w:val="0"/>
          <w:sz w:val="21"/>
          <w:szCs w:val="21"/>
          <w14:ligatures w14:val="none"/>
        </w:rPr>
      </w:pPr>
      <w:r w:rsidRPr="00277F84">
        <w:rPr>
          <w:rFonts w:ascii="宋体" w:eastAsia="宋体" w:hAnsi="宋体" w:cs="Times New Roman" w:hint="eastAsia"/>
          <w:b/>
          <w:kern w:val="0"/>
          <w:sz w:val="21"/>
          <w:szCs w:val="21"/>
          <w14:ligatures w14:val="none"/>
        </w:rPr>
        <w:t>二、技术要求（注：以下技术要求均为实质性条款，供应商投标时均不得负偏离，否则按投标无效处理）</w:t>
      </w:r>
    </w:p>
    <w:p w14:paraId="4A6DF522" w14:textId="77777777" w:rsidR="00277F84" w:rsidRPr="00277F84" w:rsidRDefault="00277F84" w:rsidP="00277F84">
      <w:pPr>
        <w:spacing w:after="0" w:line="360" w:lineRule="auto"/>
        <w:ind w:firstLineChars="200" w:firstLine="422"/>
        <w:jc w:val="both"/>
        <w:rPr>
          <w:rFonts w:ascii="宋体" w:eastAsia="宋体" w:hAnsi="宋体" w:cs="Times New Roman" w:hint="eastAsia"/>
          <w:sz w:val="21"/>
          <w14:ligatures w14:val="none"/>
        </w:rPr>
      </w:pPr>
      <w:r w:rsidRPr="00277F84">
        <w:rPr>
          <w:rFonts w:ascii="宋体" w:eastAsia="宋体" w:hAnsi="宋体" w:cs="Times New Roman" w:hint="eastAsia"/>
          <w:b/>
          <w:sz w:val="21"/>
          <w:szCs w:val="21"/>
          <w14:ligatures w14:val="none"/>
        </w:rPr>
        <w:lastRenderedPageBreak/>
        <w:t>（一）施工地点：</w:t>
      </w:r>
      <w:r w:rsidRPr="00277F84">
        <w:rPr>
          <w:rFonts w:ascii="宋体" w:eastAsia="宋体" w:hAnsi="宋体" w:cs="Times New Roman" w:hint="eastAsia"/>
          <w:sz w:val="21"/>
          <w14:ligatures w14:val="none"/>
        </w:rPr>
        <w:t>采购人指定地点。</w:t>
      </w:r>
    </w:p>
    <w:p w14:paraId="7761FBF4"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p>
    <w:p w14:paraId="050BC158" w14:textId="77777777" w:rsidR="00277F84" w:rsidRPr="00277F84" w:rsidRDefault="00277F84" w:rsidP="00277F84">
      <w:pPr>
        <w:widowControl/>
        <w:spacing w:after="0" w:line="360" w:lineRule="auto"/>
        <w:ind w:firstLineChars="196" w:firstLine="413"/>
        <w:rPr>
          <w:rFonts w:ascii="宋体" w:eastAsia="宋体" w:hAnsi="宋体" w:cs="Times New Roman" w:hint="eastAsia"/>
          <w:sz w:val="21"/>
          <w14:ligatures w14:val="none"/>
        </w:rPr>
      </w:pPr>
      <w:r w:rsidRPr="00277F84">
        <w:rPr>
          <w:rFonts w:ascii="宋体" w:eastAsia="宋体" w:hAnsi="宋体" w:cs="Times New Roman" w:hint="eastAsia"/>
          <w:b/>
          <w:sz w:val="21"/>
          <w:szCs w:val="21"/>
          <w14:ligatures w14:val="none"/>
        </w:rPr>
        <w:t>（二）</w:t>
      </w:r>
      <w:r w:rsidRPr="00277F84">
        <w:rPr>
          <w:rFonts w:ascii="宋体" w:eastAsia="宋体" w:hAnsi="宋体" w:cs="Times New Roman" w:hint="eastAsia"/>
          <w:b/>
          <w:sz w:val="21"/>
          <w14:ligatures w14:val="none"/>
        </w:rPr>
        <w:t>工程量清单</w:t>
      </w:r>
      <w:r w:rsidRPr="00277F84">
        <w:rPr>
          <w:rFonts w:ascii="宋体" w:eastAsia="宋体" w:hAnsi="宋体" w:cs="Times New Roman" w:hint="eastAsia"/>
          <w:sz w:val="21"/>
          <w14:ligatures w14:val="none"/>
        </w:rPr>
        <w:t>：详见附件。</w:t>
      </w:r>
    </w:p>
    <w:p w14:paraId="2F0510A1" w14:textId="77777777" w:rsidR="00277F84" w:rsidRPr="00277F84" w:rsidRDefault="00277F84" w:rsidP="00277F84">
      <w:pPr>
        <w:spacing w:after="0" w:line="360" w:lineRule="auto"/>
        <w:ind w:firstLineChars="200" w:firstLine="422"/>
        <w:jc w:val="both"/>
        <w:rPr>
          <w:rFonts w:ascii="宋体" w:eastAsia="宋体" w:hAnsi="宋体" w:cs="Times New Roman" w:hint="eastAsia"/>
          <w:b/>
          <w:sz w:val="21"/>
          <w:szCs w:val="21"/>
          <w14:ligatures w14:val="none"/>
        </w:rPr>
      </w:pPr>
    </w:p>
    <w:p w14:paraId="705BCB26" w14:textId="77777777" w:rsidR="00277F84" w:rsidRPr="00277F84" w:rsidRDefault="00277F84" w:rsidP="00277F84">
      <w:pPr>
        <w:spacing w:after="0" w:line="360" w:lineRule="auto"/>
        <w:ind w:firstLineChars="200" w:firstLine="422"/>
        <w:jc w:val="both"/>
        <w:rPr>
          <w:rFonts w:ascii="宋体" w:eastAsia="宋体" w:hAnsi="宋体" w:cs="Times New Roman" w:hint="eastAsia"/>
          <w:b/>
          <w:sz w:val="21"/>
          <w:szCs w:val="21"/>
          <w14:ligatures w14:val="none"/>
        </w:rPr>
      </w:pPr>
      <w:r w:rsidRPr="00277F84">
        <w:rPr>
          <w:rFonts w:ascii="宋体" w:eastAsia="宋体" w:hAnsi="宋体" w:cs="Times New Roman" w:hint="eastAsia"/>
          <w:b/>
          <w:sz w:val="21"/>
          <w:szCs w:val="21"/>
          <w14:ligatures w14:val="none"/>
        </w:rPr>
        <w:t>（三）工程预算书、工程量清单、图纸要求</w:t>
      </w:r>
    </w:p>
    <w:p w14:paraId="0C8D68C5"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本项目需供应商填报一个统一的折扣率，报价阶段不要求提交工程预算书、工程量清单、图纸。</w:t>
      </w:r>
    </w:p>
    <w:p w14:paraId="27F8F9B3"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工程准备及开展阶段需提交以下相应资料</w:t>
      </w:r>
    </w:p>
    <w:p w14:paraId="15902158"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（1）工程预算书应为 .</w:t>
      </w:r>
      <w:proofErr w:type="spellStart"/>
      <w:r w:rsidRPr="00277F84">
        <w:rPr>
          <w:rFonts w:ascii="宋体" w:eastAsia="宋体" w:hAnsi="宋体" w:cs="Times New Roman" w:hint="eastAsia"/>
          <w:sz w:val="21"/>
          <w:szCs w:val="21"/>
          <w14:ligatures w14:val="none"/>
        </w:rPr>
        <w:t>spj</w:t>
      </w:r>
      <w:proofErr w:type="spellEnd"/>
      <w:r w:rsidRPr="00277F84">
        <w:rPr>
          <w:rFonts w:ascii="宋体" w:eastAsia="宋体" w:hAnsi="宋体" w:cs="Times New Roman" w:hint="eastAsia"/>
          <w:sz w:val="21"/>
          <w:szCs w:val="21"/>
          <w14:ligatures w14:val="none"/>
        </w:rPr>
        <w:t xml:space="preserve"> 格式、</w:t>
      </w:r>
      <w:proofErr w:type="spellStart"/>
      <w:r w:rsidRPr="00277F84">
        <w:rPr>
          <w:rFonts w:ascii="宋体" w:eastAsia="宋体" w:hAnsi="宋体" w:cs="Times New Roman" w:hint="eastAsia"/>
          <w:sz w:val="21"/>
          <w:szCs w:val="21"/>
          <w14:ligatures w14:val="none"/>
        </w:rPr>
        <w:t>xls</w:t>
      </w:r>
      <w:proofErr w:type="spellEnd"/>
      <w:r w:rsidRPr="00277F84">
        <w:rPr>
          <w:rFonts w:ascii="宋体" w:eastAsia="宋体" w:hAnsi="宋体" w:cs="Times New Roman" w:hint="eastAsia"/>
          <w:sz w:val="21"/>
          <w:szCs w:val="21"/>
          <w14:ligatures w14:val="none"/>
        </w:rPr>
        <w:t xml:space="preserve"> 或 dos 格式文件（用清华斯维尔软件、Excel、或 word 软件编制）。</w:t>
      </w:r>
    </w:p>
    <w:p w14:paraId="555BF439"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（2）拆除及改造提升工程工程量清单应以国标清单形式提供。</w:t>
      </w:r>
    </w:p>
    <w:p w14:paraId="43B524F2"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（3）拆除及改造提升工程施工图以 .dwg 格式提供。</w:t>
      </w:r>
    </w:p>
    <w:p w14:paraId="17572385"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（4）其他图纸以 .jpg 或 .bmp 格式提供。涉及本项目相关的设计变更及现场签证资料。</w:t>
      </w:r>
    </w:p>
    <w:p w14:paraId="04FA635C"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（5）</w:t>
      </w:r>
      <w:proofErr w:type="gramStart"/>
      <w:r w:rsidRPr="00277F84">
        <w:rPr>
          <w:rFonts w:ascii="宋体" w:eastAsia="宋体" w:hAnsi="宋体" w:cs="Times New Roman" w:hint="eastAsia"/>
          <w:sz w:val="21"/>
          <w:szCs w:val="21"/>
          <w14:ligatures w14:val="none"/>
        </w:rPr>
        <w:t>若项目</w:t>
      </w:r>
      <w:proofErr w:type="gramEnd"/>
      <w:r w:rsidRPr="00277F84">
        <w:rPr>
          <w:rFonts w:ascii="宋体" w:eastAsia="宋体" w:hAnsi="宋体" w:cs="Times New Roman" w:hint="eastAsia"/>
          <w:sz w:val="21"/>
          <w:szCs w:val="21"/>
          <w14:ligatures w14:val="none"/>
        </w:rPr>
        <w:t>涉及建筑结构安全，需提交施工图原件（</w:t>
      </w:r>
      <w:proofErr w:type="gramStart"/>
      <w:r w:rsidRPr="00277F84">
        <w:rPr>
          <w:rFonts w:ascii="宋体" w:eastAsia="宋体" w:hAnsi="宋体" w:cs="Times New Roman" w:hint="eastAsia"/>
          <w:sz w:val="21"/>
          <w:szCs w:val="21"/>
          <w14:ligatures w14:val="none"/>
        </w:rPr>
        <w:t>盖相应</w:t>
      </w:r>
      <w:proofErr w:type="gramEnd"/>
      <w:r w:rsidRPr="00277F84">
        <w:rPr>
          <w:rFonts w:ascii="宋体" w:eastAsia="宋体" w:hAnsi="宋体" w:cs="Times New Roman" w:hint="eastAsia"/>
          <w:sz w:val="21"/>
          <w:szCs w:val="21"/>
          <w14:ligatures w14:val="none"/>
        </w:rPr>
        <w:t>资质设计人员执业章、设计单位、采购单位公章）备案。</w:t>
      </w:r>
    </w:p>
    <w:p w14:paraId="14C28330"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（6）根据当期所需的深圳建设工程价格信息及市场询价资料：</w:t>
      </w:r>
    </w:p>
    <w:p w14:paraId="052F75D9"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工程计价办法：深圳市国标清单计价方式，综合单价法。</w:t>
      </w:r>
    </w:p>
    <w:p w14:paraId="08C8BC29"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（7）项目所依据及参考的标准</w:t>
      </w:r>
    </w:p>
    <w:p w14:paraId="17E71876"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1.《建设工程工程量清单计价规范》GB/T50856-2024；</w:t>
      </w:r>
    </w:p>
    <w:p w14:paraId="17A216C0"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2.深圳市工程造价管理站发布的有关计价文件。</w:t>
      </w:r>
    </w:p>
    <w:p w14:paraId="404F79D9" w14:textId="77777777" w:rsidR="00277F84" w:rsidRPr="00277F84" w:rsidRDefault="00277F84" w:rsidP="00277F84">
      <w:pPr>
        <w:spacing w:after="0" w:line="360" w:lineRule="auto"/>
        <w:jc w:val="both"/>
        <w:rPr>
          <w:rFonts w:ascii="宋体" w:eastAsia="宋体" w:hAnsi="宋体" w:cs="Times New Roman" w:hint="eastAsia"/>
          <w:sz w:val="21"/>
          <w:szCs w:val="21"/>
          <w14:ligatures w14:val="none"/>
        </w:rPr>
      </w:pPr>
    </w:p>
    <w:p w14:paraId="44025937" w14:textId="77777777" w:rsidR="00277F84" w:rsidRPr="00277F84" w:rsidRDefault="00277F84" w:rsidP="00277F84">
      <w:pPr>
        <w:spacing w:after="0" w:line="360" w:lineRule="auto"/>
        <w:ind w:firstLine="422"/>
        <w:jc w:val="both"/>
        <w:rPr>
          <w:rFonts w:ascii="宋体" w:eastAsia="宋体" w:hAnsi="宋体" w:cs="Times New Roman" w:hint="eastAsia"/>
          <w:b/>
          <w:sz w:val="21"/>
          <w:szCs w:val="21"/>
          <w14:ligatures w14:val="none"/>
        </w:rPr>
      </w:pPr>
      <w:r w:rsidRPr="00277F84">
        <w:rPr>
          <w:rFonts w:ascii="宋体" w:eastAsia="宋体" w:hAnsi="宋体" w:cs="Times New Roman" w:hint="eastAsia"/>
          <w:b/>
          <w:sz w:val="21"/>
          <w:szCs w:val="21"/>
          <w14:ligatures w14:val="none"/>
        </w:rPr>
        <w:t>（四）人员要求</w:t>
      </w:r>
    </w:p>
    <w:p w14:paraId="29257596" w14:textId="77777777" w:rsidR="00277F84" w:rsidRPr="00277F84" w:rsidRDefault="00277F84" w:rsidP="00277F84">
      <w:pPr>
        <w:spacing w:after="0" w:line="360" w:lineRule="auto"/>
        <w:ind w:firstLine="422"/>
        <w:jc w:val="both"/>
        <w:rPr>
          <w:rFonts w:ascii="宋体" w:eastAsia="宋体" w:hAnsi="宋体" w:cs="Times New Roman" w:hint="eastAsia"/>
          <w:bCs/>
          <w:sz w:val="21"/>
          <w:szCs w:val="21"/>
          <w14:ligatures w14:val="none"/>
        </w:rPr>
      </w:pPr>
      <w:r w:rsidRPr="00277F84">
        <w:rPr>
          <w:rFonts w:ascii="宋体" w:eastAsia="宋体" w:hAnsi="宋体" w:cs="Times New Roman" w:hint="eastAsia"/>
          <w:bCs/>
          <w:sz w:val="21"/>
          <w:szCs w:val="21"/>
          <w14:ligatures w14:val="none"/>
        </w:rPr>
        <w:t>中标单位中标后配备的项目经理，须具备有效的市政工程专业贰级及以上注册建造师执业证书和建筑施工企业项目负责人安全生产考核合格证书(B证)，以及符合政府部门的相关规定。中标人拟派本项目的人员必须有相应经验，能充分胜任从事工程事项对应工作，中标后未经征集人同意，不得随意更换项目负责人。如中标人派出人员不能胜任工作，征集人保留更换人员及中标人的权利。</w:t>
      </w:r>
    </w:p>
    <w:p w14:paraId="1D1CD6D5" w14:textId="77777777" w:rsidR="00277F84" w:rsidRPr="00277F84" w:rsidRDefault="00277F84" w:rsidP="00277F84">
      <w:pPr>
        <w:spacing w:after="0" w:line="360" w:lineRule="auto"/>
        <w:ind w:firstLine="422"/>
        <w:jc w:val="both"/>
        <w:rPr>
          <w:rFonts w:ascii="Calibri" w:eastAsia="宋体" w:hAnsi="Calibri" w:cs="Times New Roman"/>
          <w:b/>
          <w:bCs/>
          <w:sz w:val="21"/>
          <w14:ligatures w14:val="none"/>
        </w:rPr>
      </w:pPr>
    </w:p>
    <w:p w14:paraId="766A6CF6"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p>
    <w:p w14:paraId="6BE3136C" w14:textId="77777777" w:rsidR="00277F84" w:rsidRPr="00277F84" w:rsidRDefault="00277F84" w:rsidP="00277F84">
      <w:pPr>
        <w:widowControl/>
        <w:adjustRightInd w:val="0"/>
        <w:spacing w:after="0" w:line="360" w:lineRule="auto"/>
        <w:ind w:firstLineChars="196" w:firstLine="413"/>
        <w:rPr>
          <w:rFonts w:ascii="宋体" w:eastAsia="宋体" w:hAnsi="宋体" w:cs="Times New Roman" w:hint="eastAsia"/>
          <w:b/>
          <w:kern w:val="0"/>
          <w:sz w:val="21"/>
          <w:szCs w:val="21"/>
          <w14:ligatures w14:val="none"/>
        </w:rPr>
      </w:pPr>
    </w:p>
    <w:p w14:paraId="016D1265" w14:textId="77777777" w:rsidR="00277F84" w:rsidRPr="00277F84" w:rsidRDefault="00277F84" w:rsidP="00277F84">
      <w:pPr>
        <w:widowControl/>
        <w:adjustRightInd w:val="0"/>
        <w:spacing w:after="0" w:line="360" w:lineRule="auto"/>
        <w:ind w:firstLineChars="196" w:firstLine="413"/>
        <w:rPr>
          <w:rFonts w:ascii="宋体" w:eastAsia="宋体" w:hAnsi="宋体" w:cs="Times New Roman" w:hint="eastAsia"/>
          <w:b/>
          <w:kern w:val="0"/>
          <w:sz w:val="21"/>
          <w:szCs w:val="21"/>
          <w14:ligatures w14:val="none"/>
        </w:rPr>
      </w:pPr>
      <w:r w:rsidRPr="00277F84">
        <w:rPr>
          <w:rFonts w:ascii="宋体" w:eastAsia="宋体" w:hAnsi="宋体" w:cs="Times New Roman" w:hint="eastAsia"/>
          <w:b/>
          <w:kern w:val="0"/>
          <w:sz w:val="21"/>
          <w:szCs w:val="21"/>
          <w14:ligatures w14:val="none"/>
        </w:rPr>
        <w:t>三、商务要求（注：以下商务要求均为实质性条款，供应商投标时均不得负偏离，否则按投标无效处理）</w:t>
      </w:r>
    </w:p>
    <w:p w14:paraId="50675F6B" w14:textId="77777777" w:rsidR="00277F84" w:rsidRPr="00277F84" w:rsidRDefault="00277F84" w:rsidP="00277F84">
      <w:pPr>
        <w:spacing w:after="0" w:line="360" w:lineRule="auto"/>
        <w:ind w:firstLineChars="200" w:firstLine="422"/>
        <w:rPr>
          <w:rFonts w:ascii="宋体" w:eastAsia="宋体" w:hAnsi="宋体" w:cs="Times New Roman" w:hint="eastAsia"/>
          <w:sz w:val="21"/>
          <w14:ligatures w14:val="none"/>
        </w:rPr>
      </w:pPr>
      <w:r w:rsidRPr="00277F84">
        <w:rPr>
          <w:rFonts w:ascii="宋体" w:eastAsia="宋体" w:hAnsi="宋体" w:cs="Times New Roman" w:hint="eastAsia"/>
          <w:b/>
          <w:sz w:val="21"/>
          <w14:ligatures w14:val="none"/>
        </w:rPr>
        <w:t>（一）工期：</w:t>
      </w:r>
      <w:r w:rsidRPr="00277F84">
        <w:rPr>
          <w:rFonts w:ascii="宋体" w:eastAsia="宋体" w:hAnsi="宋体" w:cs="Times New Roman" w:hint="eastAsia"/>
          <w:sz w:val="21"/>
          <w14:ligatures w14:val="none"/>
        </w:rPr>
        <w:t>本项目开工之日起90日内完成，具体以合同签订为准。售后服务期为项目竣工验收合格后2年。</w:t>
      </w:r>
    </w:p>
    <w:p w14:paraId="28C46497" w14:textId="77777777" w:rsidR="00277F84" w:rsidRPr="00277F84" w:rsidRDefault="00277F84" w:rsidP="00277F84">
      <w:pPr>
        <w:widowControl/>
        <w:spacing w:after="0" w:line="360" w:lineRule="auto"/>
        <w:ind w:firstLineChars="200" w:firstLine="420"/>
        <w:rPr>
          <w:rFonts w:ascii="宋体" w:eastAsia="宋体" w:hAnsi="宋体" w:cs="Times New Roman" w:hint="eastAsia"/>
          <w:sz w:val="21"/>
          <w14:ligatures w14:val="none"/>
        </w:rPr>
      </w:pPr>
    </w:p>
    <w:p w14:paraId="1153B632" w14:textId="77777777" w:rsidR="00277F84" w:rsidRPr="00277F84" w:rsidRDefault="00277F84" w:rsidP="00277F84">
      <w:pPr>
        <w:widowControl/>
        <w:spacing w:after="0" w:line="360" w:lineRule="auto"/>
        <w:ind w:firstLineChars="200" w:firstLine="422"/>
        <w:rPr>
          <w:rFonts w:ascii="宋体" w:eastAsia="宋体" w:hAnsi="宋体" w:cs="Times New Roman" w:hint="eastAsia"/>
          <w:b/>
          <w:sz w:val="21"/>
          <w14:ligatures w14:val="none"/>
        </w:rPr>
      </w:pPr>
      <w:r w:rsidRPr="00277F84">
        <w:rPr>
          <w:rFonts w:ascii="宋体" w:eastAsia="宋体" w:hAnsi="宋体" w:cs="Times New Roman" w:hint="eastAsia"/>
          <w:b/>
          <w:sz w:val="21"/>
          <w14:ligatures w14:val="none"/>
        </w:rPr>
        <w:t>（二）报价要求</w:t>
      </w:r>
    </w:p>
    <w:p w14:paraId="53815EA0"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一）本项目总预算金额为人民币471,187.35元(大写:人民币</w:t>
      </w:r>
      <w:proofErr w:type="gramStart"/>
      <w:r w:rsidRPr="00277F84">
        <w:rPr>
          <w:rFonts w:ascii="宋体" w:eastAsia="宋体" w:hAnsi="宋体" w:cs="Times New Roman" w:hint="eastAsia"/>
          <w:sz w:val="21"/>
          <w14:ligatures w14:val="none"/>
        </w:rPr>
        <w:t>肆拾柒万壹仟壹佰捌拾柒</w:t>
      </w:r>
      <w:proofErr w:type="gramEnd"/>
      <w:r w:rsidRPr="00277F84">
        <w:rPr>
          <w:rFonts w:ascii="宋体" w:eastAsia="宋体" w:hAnsi="宋体" w:cs="Times New Roman" w:hint="eastAsia"/>
          <w:sz w:val="21"/>
          <w14:ligatures w14:val="none"/>
        </w:rPr>
        <w:t>元叁角伍分），要求投标供应商填报一个统一的折扣率，最终支付价格以采购人聘请的第三方审计公司审定金额为准。</w:t>
      </w:r>
    </w:p>
    <w:p w14:paraId="2517FE63"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注：本项目投标报价以折扣率报价。报价要求：折扣率大于0且小于等于1，是固定唯一值，填写的折扣率应为小数，且只填报到小数点后最多两位（如折扣率为九折填写0.90，八八折填写0.88）。投标折扣率不满足征集文件报价要求的，将作投标无效处理。</w:t>
      </w:r>
    </w:p>
    <w:p w14:paraId="2486E2C6"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proofErr w:type="gramStart"/>
      <w:r w:rsidRPr="00277F84">
        <w:rPr>
          <w:rFonts w:ascii="宋体" w:eastAsia="宋体" w:hAnsi="宋体" w:cs="Times New Roman" w:hint="eastAsia"/>
          <w:sz w:val="21"/>
          <w14:ligatures w14:val="none"/>
        </w:rPr>
        <w:t>【</w:t>
      </w:r>
      <w:proofErr w:type="gramEnd"/>
      <w:r w:rsidRPr="00277F84">
        <w:rPr>
          <w:rFonts w:ascii="宋体" w:eastAsia="宋体" w:hAnsi="宋体" w:cs="Times New Roman" w:hint="eastAsia"/>
          <w:sz w:val="21"/>
          <w14:ligatures w14:val="none"/>
        </w:rPr>
        <w:t>注：（1）本次征集不涉及具体投标金额（投标人无须在投标文件中填报具体投标金额），投标人必须按照开标一览表中的要求进行报价，否则将作投标无效处理。</w:t>
      </w:r>
    </w:p>
    <w:p w14:paraId="65B6925B"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（2）“折扣率”填写要求：</w:t>
      </w:r>
    </w:p>
    <w:p w14:paraId="28199164"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1）填写的“折扣率”为小数，如0.90、0.88、0.77（保留小数点后两位）；</w:t>
      </w:r>
    </w:p>
    <w:p w14:paraId="77EB651E"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2）不得报区间值（如0.88-0.99），否则将作投标无效处理；</w:t>
      </w:r>
    </w:p>
    <w:p w14:paraId="1C932E28"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3）0＜折扣率≤1。</w:t>
      </w:r>
    </w:p>
    <w:p w14:paraId="555E6A8E"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4）投标人参与投标只允许填报唯一1个“折扣率”，不允许填报2个（或以上）的“折扣率”；填报了2个或以上“折扣率”的，其投标将直接作为无效标处理；</w:t>
      </w:r>
    </w:p>
    <w:p w14:paraId="222AA201"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5）“折扣率”缺填、</w:t>
      </w:r>
      <w:proofErr w:type="gramStart"/>
      <w:r w:rsidRPr="00277F84">
        <w:rPr>
          <w:rFonts w:ascii="宋体" w:eastAsia="宋体" w:hAnsi="宋体" w:cs="Times New Roman" w:hint="eastAsia"/>
          <w:sz w:val="21"/>
          <w14:ligatures w14:val="none"/>
        </w:rPr>
        <w:t>漏填将直接</w:t>
      </w:r>
      <w:proofErr w:type="gramEnd"/>
      <w:r w:rsidRPr="00277F84">
        <w:rPr>
          <w:rFonts w:ascii="宋体" w:eastAsia="宋体" w:hAnsi="宋体" w:cs="Times New Roman" w:hint="eastAsia"/>
          <w:sz w:val="21"/>
          <w14:ligatures w14:val="none"/>
        </w:rPr>
        <w:t>作无效标处理。】</w:t>
      </w:r>
    </w:p>
    <w:p w14:paraId="5895C0BA"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二）本项目服务费包括成本、法定税费和企业的利润。由投标供应商根据采购文件所提供的资料自行测算投标报价（折扣率）；一经中标，折扣率作为中标供应商与采购人签订的合同金额，最终金额不得超过预算金额且据实结算。</w:t>
      </w:r>
    </w:p>
    <w:p w14:paraId="040F7A8A"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三）投标供应商的报价，应当是本项目采购范围和采购件及合同条款上所列的各项内容中所述的全部，不得以任何理由予以重复。</w:t>
      </w:r>
    </w:p>
    <w:p w14:paraId="60DCA0E0"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14:ligatures w14:val="none"/>
        </w:rPr>
      </w:pPr>
      <w:r w:rsidRPr="00277F84">
        <w:rPr>
          <w:rFonts w:ascii="宋体" w:eastAsia="宋体" w:hAnsi="宋体" w:cs="Times New Roman" w:hint="eastAsia"/>
          <w:sz w:val="21"/>
          <w14:ligatures w14:val="none"/>
        </w:rPr>
        <w:t>四）投标供应商应先到项目地点踏勘以充分了解项目的位置、情况、道路及任何其它足以影响投标报价的情况，任何因忽视或误解项目情况而导致的索赔或服务期限延长申请将不获批准。</w:t>
      </w:r>
    </w:p>
    <w:p w14:paraId="0B1499AE" w14:textId="77777777" w:rsidR="00277F84" w:rsidRPr="00277F84" w:rsidRDefault="00277F84" w:rsidP="00277F84">
      <w:pPr>
        <w:spacing w:after="0" w:line="360" w:lineRule="auto"/>
        <w:ind w:firstLineChars="200" w:firstLine="420"/>
        <w:jc w:val="both"/>
        <w:rPr>
          <w:rFonts w:ascii="宋体" w:eastAsia="宋体" w:hAnsi="宋体" w:cs="Times New Roman" w:hint="eastAsia"/>
          <w:sz w:val="21"/>
          <w:szCs w:val="21"/>
          <w14:ligatures w14:val="none"/>
        </w:rPr>
      </w:pPr>
      <w:r w:rsidRPr="00277F84">
        <w:rPr>
          <w:rFonts w:ascii="宋体" w:eastAsia="宋体" w:hAnsi="宋体" w:cs="Times New Roman" w:hint="eastAsia"/>
          <w:sz w:val="21"/>
          <w14:ligatures w14:val="none"/>
        </w:rPr>
        <w:lastRenderedPageBreak/>
        <w:t>五）投标供应商不得期望通过索赔等方式获取补偿，否则，除可能遭到拒绝外，还可能将被作为不良行为记录在案，并可能影响其以后参加政府采购的项目投标。各投标供应商在报价时，应充分考虑报价的风险。</w:t>
      </w:r>
    </w:p>
    <w:p w14:paraId="305855B2" w14:textId="77777777" w:rsidR="00277F84" w:rsidRPr="00277F84" w:rsidRDefault="00277F84" w:rsidP="00277F84">
      <w:pPr>
        <w:widowControl/>
        <w:spacing w:after="0" w:line="360" w:lineRule="auto"/>
        <w:ind w:firstLineChars="200" w:firstLine="422"/>
        <w:rPr>
          <w:rFonts w:ascii="宋体" w:eastAsia="宋体" w:hAnsi="宋体" w:cs="Times New Roman" w:hint="eastAsia"/>
          <w:b/>
          <w:bCs/>
          <w:sz w:val="21"/>
          <w14:ligatures w14:val="none"/>
        </w:rPr>
      </w:pPr>
      <w:r w:rsidRPr="00277F84">
        <w:rPr>
          <w:rFonts w:ascii="宋体" w:eastAsia="宋体" w:hAnsi="宋体" w:cs="Times New Roman" w:hint="eastAsia"/>
          <w:b/>
          <w:bCs/>
          <w:sz w:val="21"/>
          <w14:ligatures w14:val="none"/>
        </w:rPr>
        <w:t>（三）项目验收程序、质量标准及期限：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3199"/>
      </w:tblGrid>
      <w:tr w:rsidR="00277F84" w:rsidRPr="00277F84" w14:paraId="19BF75D2" w14:textId="77777777" w:rsidTr="00390063">
        <w:trPr>
          <w:trHeight w:val="449"/>
        </w:trPr>
        <w:tc>
          <w:tcPr>
            <w:tcW w:w="3072" w:type="pct"/>
            <w:tcBorders>
              <w:top w:val="single" w:sz="4" w:space="0" w:color="auto"/>
              <w:left w:val="single" w:sz="4" w:space="0" w:color="auto"/>
              <w:bottom w:val="single" w:sz="4" w:space="0" w:color="auto"/>
              <w:right w:val="single" w:sz="4" w:space="0" w:color="auto"/>
            </w:tcBorders>
          </w:tcPr>
          <w:p w14:paraId="47DC4AF5" w14:textId="77777777" w:rsidR="00277F84" w:rsidRPr="00277F84" w:rsidRDefault="00277F84" w:rsidP="00277F84">
            <w:pPr>
              <w:spacing w:after="0" w:line="579" w:lineRule="exact"/>
              <w:ind w:firstLineChars="200" w:firstLine="420"/>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项目内容</w:t>
            </w:r>
          </w:p>
        </w:tc>
        <w:tc>
          <w:tcPr>
            <w:tcW w:w="1928" w:type="pct"/>
            <w:tcBorders>
              <w:top w:val="single" w:sz="4" w:space="0" w:color="auto"/>
              <w:left w:val="single" w:sz="4" w:space="0" w:color="auto"/>
              <w:bottom w:val="single" w:sz="4" w:space="0" w:color="auto"/>
              <w:right w:val="single" w:sz="4" w:space="0" w:color="auto"/>
            </w:tcBorders>
          </w:tcPr>
          <w:p w14:paraId="693462CE" w14:textId="77777777" w:rsidR="00277F84" w:rsidRPr="00277F84" w:rsidRDefault="00277F84" w:rsidP="00277F84">
            <w:pPr>
              <w:spacing w:after="0" w:line="579" w:lineRule="exact"/>
              <w:ind w:firstLineChars="200" w:firstLine="420"/>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验收评价</w:t>
            </w:r>
          </w:p>
        </w:tc>
      </w:tr>
      <w:tr w:rsidR="00277F84" w:rsidRPr="00277F84" w14:paraId="1AE6F014" w14:textId="77777777" w:rsidTr="00390063">
        <w:trPr>
          <w:trHeight w:val="494"/>
        </w:trPr>
        <w:tc>
          <w:tcPr>
            <w:tcW w:w="3072" w:type="pct"/>
            <w:tcBorders>
              <w:top w:val="single" w:sz="4" w:space="0" w:color="auto"/>
              <w:left w:val="single" w:sz="4" w:space="0" w:color="auto"/>
              <w:bottom w:val="single" w:sz="4" w:space="0" w:color="auto"/>
              <w:right w:val="single" w:sz="4" w:space="0" w:color="auto"/>
            </w:tcBorders>
          </w:tcPr>
          <w:p w14:paraId="6117ABDD" w14:textId="77777777" w:rsidR="00277F84" w:rsidRPr="00277F84" w:rsidRDefault="00277F84" w:rsidP="00277F84">
            <w:pPr>
              <w:spacing w:after="0" w:line="579" w:lineRule="exact"/>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完成工程设计和合同约定的情况</w:t>
            </w:r>
          </w:p>
        </w:tc>
        <w:tc>
          <w:tcPr>
            <w:tcW w:w="1928" w:type="pct"/>
            <w:tcBorders>
              <w:top w:val="single" w:sz="4" w:space="0" w:color="auto"/>
              <w:left w:val="single" w:sz="4" w:space="0" w:color="auto"/>
              <w:bottom w:val="single" w:sz="4" w:space="0" w:color="auto"/>
              <w:right w:val="single" w:sz="4" w:space="0" w:color="auto"/>
            </w:tcBorders>
          </w:tcPr>
          <w:p w14:paraId="64292E6D" w14:textId="77777777" w:rsidR="00277F84" w:rsidRPr="00277F84" w:rsidRDefault="00277F84" w:rsidP="00277F84">
            <w:pPr>
              <w:spacing w:after="0" w:line="579" w:lineRule="exact"/>
              <w:ind w:firstLineChars="200" w:firstLine="420"/>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合格   不合格</w:t>
            </w:r>
          </w:p>
        </w:tc>
      </w:tr>
      <w:tr w:rsidR="00277F84" w:rsidRPr="00277F84" w14:paraId="6F93B394" w14:textId="77777777" w:rsidTr="00390063">
        <w:trPr>
          <w:trHeight w:val="509"/>
        </w:trPr>
        <w:tc>
          <w:tcPr>
            <w:tcW w:w="3072" w:type="pct"/>
            <w:tcBorders>
              <w:top w:val="single" w:sz="4" w:space="0" w:color="auto"/>
              <w:left w:val="single" w:sz="4" w:space="0" w:color="auto"/>
              <w:bottom w:val="single" w:sz="4" w:space="0" w:color="auto"/>
              <w:right w:val="single" w:sz="4" w:space="0" w:color="auto"/>
            </w:tcBorders>
          </w:tcPr>
          <w:p w14:paraId="2894F8FF" w14:textId="77777777" w:rsidR="00277F84" w:rsidRPr="00277F84" w:rsidRDefault="00277F84" w:rsidP="00277F84">
            <w:pPr>
              <w:spacing w:after="0" w:line="579" w:lineRule="exact"/>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进场开工及竣工日期情况</w:t>
            </w:r>
          </w:p>
        </w:tc>
        <w:tc>
          <w:tcPr>
            <w:tcW w:w="1928" w:type="pct"/>
            <w:tcBorders>
              <w:top w:val="single" w:sz="4" w:space="0" w:color="auto"/>
              <w:left w:val="single" w:sz="4" w:space="0" w:color="auto"/>
              <w:bottom w:val="single" w:sz="4" w:space="0" w:color="auto"/>
              <w:right w:val="single" w:sz="4" w:space="0" w:color="auto"/>
            </w:tcBorders>
          </w:tcPr>
          <w:p w14:paraId="76211E48" w14:textId="77777777" w:rsidR="00277F84" w:rsidRPr="00277F84" w:rsidRDefault="00277F84" w:rsidP="00277F84">
            <w:pPr>
              <w:spacing w:after="0" w:line="579" w:lineRule="exact"/>
              <w:ind w:firstLineChars="200" w:firstLine="420"/>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合格   不合格</w:t>
            </w:r>
          </w:p>
        </w:tc>
      </w:tr>
      <w:tr w:rsidR="00277F84" w:rsidRPr="00277F84" w14:paraId="7C0CB9C4" w14:textId="77777777" w:rsidTr="00390063">
        <w:tc>
          <w:tcPr>
            <w:tcW w:w="3072" w:type="pct"/>
            <w:tcBorders>
              <w:top w:val="single" w:sz="4" w:space="0" w:color="auto"/>
              <w:left w:val="single" w:sz="4" w:space="0" w:color="auto"/>
              <w:bottom w:val="single" w:sz="4" w:space="0" w:color="auto"/>
              <w:right w:val="single" w:sz="4" w:space="0" w:color="auto"/>
            </w:tcBorders>
          </w:tcPr>
          <w:p w14:paraId="105D25B0" w14:textId="77777777" w:rsidR="00277F84" w:rsidRPr="00277F84" w:rsidRDefault="00277F84" w:rsidP="00277F84">
            <w:pPr>
              <w:spacing w:after="0" w:line="579" w:lineRule="exact"/>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现场安全设施情况</w:t>
            </w:r>
          </w:p>
        </w:tc>
        <w:tc>
          <w:tcPr>
            <w:tcW w:w="1928" w:type="pct"/>
            <w:tcBorders>
              <w:top w:val="single" w:sz="4" w:space="0" w:color="auto"/>
              <w:left w:val="single" w:sz="4" w:space="0" w:color="auto"/>
              <w:bottom w:val="single" w:sz="4" w:space="0" w:color="auto"/>
              <w:right w:val="single" w:sz="4" w:space="0" w:color="auto"/>
            </w:tcBorders>
          </w:tcPr>
          <w:p w14:paraId="607B7A39" w14:textId="77777777" w:rsidR="00277F84" w:rsidRPr="00277F84" w:rsidRDefault="00277F84" w:rsidP="00277F84">
            <w:pPr>
              <w:spacing w:after="0" w:line="579" w:lineRule="exact"/>
              <w:ind w:firstLineChars="200" w:firstLine="420"/>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合格   不合格</w:t>
            </w:r>
          </w:p>
        </w:tc>
      </w:tr>
      <w:tr w:rsidR="00277F84" w:rsidRPr="00277F84" w14:paraId="444284ED" w14:textId="77777777" w:rsidTr="00390063">
        <w:tc>
          <w:tcPr>
            <w:tcW w:w="3072" w:type="pct"/>
            <w:tcBorders>
              <w:top w:val="single" w:sz="4" w:space="0" w:color="auto"/>
              <w:left w:val="single" w:sz="4" w:space="0" w:color="auto"/>
              <w:bottom w:val="single" w:sz="4" w:space="0" w:color="auto"/>
              <w:right w:val="single" w:sz="4" w:space="0" w:color="auto"/>
            </w:tcBorders>
          </w:tcPr>
          <w:p w14:paraId="0F3F84F9" w14:textId="77777777" w:rsidR="00277F84" w:rsidRPr="00277F84" w:rsidRDefault="00277F84" w:rsidP="00277F84">
            <w:pPr>
              <w:spacing w:after="0" w:line="579" w:lineRule="exact"/>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现场施工管理情况</w:t>
            </w:r>
          </w:p>
        </w:tc>
        <w:tc>
          <w:tcPr>
            <w:tcW w:w="1928" w:type="pct"/>
            <w:tcBorders>
              <w:top w:val="single" w:sz="4" w:space="0" w:color="auto"/>
              <w:left w:val="single" w:sz="4" w:space="0" w:color="auto"/>
              <w:bottom w:val="single" w:sz="4" w:space="0" w:color="auto"/>
              <w:right w:val="single" w:sz="4" w:space="0" w:color="auto"/>
            </w:tcBorders>
          </w:tcPr>
          <w:p w14:paraId="12DD062C" w14:textId="77777777" w:rsidR="00277F84" w:rsidRPr="00277F84" w:rsidRDefault="00277F84" w:rsidP="00277F84">
            <w:pPr>
              <w:spacing w:after="0" w:line="579" w:lineRule="exact"/>
              <w:ind w:firstLineChars="200" w:firstLine="420"/>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合格   不合格</w:t>
            </w:r>
          </w:p>
        </w:tc>
      </w:tr>
      <w:tr w:rsidR="00277F84" w:rsidRPr="00277F84" w14:paraId="373BB9EE" w14:textId="77777777" w:rsidTr="00390063">
        <w:tc>
          <w:tcPr>
            <w:tcW w:w="3072" w:type="pct"/>
            <w:tcBorders>
              <w:top w:val="single" w:sz="4" w:space="0" w:color="auto"/>
              <w:left w:val="single" w:sz="4" w:space="0" w:color="auto"/>
              <w:bottom w:val="single" w:sz="4" w:space="0" w:color="auto"/>
              <w:right w:val="single" w:sz="4" w:space="0" w:color="auto"/>
            </w:tcBorders>
          </w:tcPr>
          <w:p w14:paraId="46F241C1" w14:textId="77777777" w:rsidR="00277F84" w:rsidRPr="00277F84" w:rsidRDefault="00277F84" w:rsidP="00277F84">
            <w:pPr>
              <w:spacing w:after="0" w:line="579" w:lineRule="exact"/>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施工记录、档案管理情况</w:t>
            </w:r>
          </w:p>
        </w:tc>
        <w:tc>
          <w:tcPr>
            <w:tcW w:w="1928" w:type="pct"/>
            <w:tcBorders>
              <w:top w:val="single" w:sz="4" w:space="0" w:color="auto"/>
              <w:left w:val="single" w:sz="4" w:space="0" w:color="auto"/>
              <w:bottom w:val="single" w:sz="4" w:space="0" w:color="auto"/>
              <w:right w:val="single" w:sz="4" w:space="0" w:color="auto"/>
            </w:tcBorders>
          </w:tcPr>
          <w:p w14:paraId="56D151CB" w14:textId="77777777" w:rsidR="00277F84" w:rsidRPr="00277F84" w:rsidRDefault="00277F84" w:rsidP="00277F84">
            <w:pPr>
              <w:spacing w:after="0" w:line="579" w:lineRule="exact"/>
              <w:ind w:firstLineChars="200" w:firstLine="420"/>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合格   不合格</w:t>
            </w:r>
          </w:p>
        </w:tc>
      </w:tr>
      <w:tr w:rsidR="00277F84" w:rsidRPr="00277F84" w14:paraId="0AB59C68" w14:textId="77777777" w:rsidTr="00390063">
        <w:tc>
          <w:tcPr>
            <w:tcW w:w="3072" w:type="pct"/>
            <w:tcBorders>
              <w:top w:val="single" w:sz="4" w:space="0" w:color="auto"/>
              <w:left w:val="single" w:sz="4" w:space="0" w:color="auto"/>
              <w:bottom w:val="single" w:sz="4" w:space="0" w:color="auto"/>
              <w:right w:val="single" w:sz="4" w:space="0" w:color="auto"/>
            </w:tcBorders>
          </w:tcPr>
          <w:p w14:paraId="0958A97E" w14:textId="77777777" w:rsidR="00277F84" w:rsidRPr="00277F84" w:rsidRDefault="00277F84" w:rsidP="00277F84">
            <w:pPr>
              <w:spacing w:after="0" w:line="579" w:lineRule="exact"/>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工程售后服务方案及措施</w:t>
            </w:r>
          </w:p>
        </w:tc>
        <w:tc>
          <w:tcPr>
            <w:tcW w:w="1928" w:type="pct"/>
            <w:tcBorders>
              <w:top w:val="single" w:sz="4" w:space="0" w:color="auto"/>
              <w:left w:val="single" w:sz="4" w:space="0" w:color="auto"/>
              <w:bottom w:val="single" w:sz="4" w:space="0" w:color="auto"/>
              <w:right w:val="single" w:sz="4" w:space="0" w:color="auto"/>
            </w:tcBorders>
          </w:tcPr>
          <w:p w14:paraId="296B0BEF" w14:textId="77777777" w:rsidR="00277F84" w:rsidRPr="00277F84" w:rsidRDefault="00277F84" w:rsidP="00277F84">
            <w:pPr>
              <w:spacing w:after="0" w:line="579" w:lineRule="exact"/>
              <w:ind w:firstLineChars="200" w:firstLine="420"/>
              <w:jc w:val="both"/>
              <w:rPr>
                <w:rFonts w:ascii="宋体" w:eastAsia="宋体" w:hAnsi="宋体" w:cs="方正仿宋_GB2312" w:hint="eastAsia"/>
                <w:sz w:val="21"/>
                <w:szCs w:val="21"/>
                <w14:ligatures w14:val="none"/>
              </w:rPr>
            </w:pPr>
            <w:r w:rsidRPr="00277F84">
              <w:rPr>
                <w:rFonts w:ascii="宋体" w:eastAsia="宋体" w:hAnsi="宋体" w:cs="方正仿宋_GB2312" w:hint="eastAsia"/>
                <w:sz w:val="21"/>
                <w:szCs w:val="21"/>
                <w:lang w:bidi="ar"/>
                <w14:ligatures w14:val="none"/>
              </w:rPr>
              <w:t>合格   不合格</w:t>
            </w:r>
          </w:p>
        </w:tc>
      </w:tr>
    </w:tbl>
    <w:p w14:paraId="743DE751" w14:textId="77777777" w:rsidR="00277F84" w:rsidRPr="00277F84" w:rsidRDefault="00277F84" w:rsidP="00277F84">
      <w:pPr>
        <w:widowControl/>
        <w:spacing w:after="0" w:line="360" w:lineRule="auto"/>
        <w:rPr>
          <w:rFonts w:ascii="宋体" w:eastAsia="宋体" w:hAnsi="宋体" w:cs="Times New Roman" w:hint="eastAsia"/>
          <w:sz w:val="21"/>
          <w14:ligatures w14:val="none"/>
        </w:rPr>
      </w:pPr>
    </w:p>
    <w:p w14:paraId="05E00EB5" w14:textId="77777777" w:rsidR="00277F84" w:rsidRPr="00277F84" w:rsidRDefault="00277F84" w:rsidP="00277F84">
      <w:pPr>
        <w:spacing w:after="0" w:line="360" w:lineRule="auto"/>
        <w:ind w:firstLineChars="200" w:firstLine="422"/>
        <w:rPr>
          <w:rFonts w:ascii="宋体" w:eastAsia="宋体" w:hAnsi="宋体" w:cs="Times New Roman" w:hint="eastAsia"/>
          <w:b/>
          <w:sz w:val="21"/>
          <w14:ligatures w14:val="none"/>
        </w:rPr>
      </w:pPr>
      <w:r w:rsidRPr="00277F84">
        <w:rPr>
          <w:rFonts w:ascii="宋体" w:eastAsia="宋体" w:hAnsi="宋体" w:cs="Times New Roman" w:hint="eastAsia"/>
          <w:b/>
          <w:sz w:val="21"/>
          <w14:ligatures w14:val="none"/>
        </w:rPr>
        <w:t>（四）付款方式：</w:t>
      </w:r>
    </w:p>
    <w:p w14:paraId="7FA0E807" w14:textId="77777777" w:rsidR="00277F84" w:rsidRPr="00277F84" w:rsidRDefault="00277F84" w:rsidP="00277F84">
      <w:pPr>
        <w:spacing w:after="0" w:line="360" w:lineRule="auto"/>
        <w:ind w:firstLineChars="200" w:firstLine="420"/>
        <w:rPr>
          <w:rFonts w:ascii="宋体" w:eastAsia="宋体" w:hAnsi="宋体" w:cs="Times New Roman" w:hint="eastAsia"/>
          <w:bCs/>
          <w:sz w:val="21"/>
          <w14:ligatures w14:val="none"/>
        </w:rPr>
      </w:pPr>
      <w:r w:rsidRPr="00277F84">
        <w:rPr>
          <w:rFonts w:ascii="宋体" w:eastAsia="宋体" w:hAnsi="宋体" w:cs="Times New Roman" w:hint="eastAsia"/>
          <w:bCs/>
          <w:sz w:val="21"/>
          <w14:ligatures w14:val="none"/>
        </w:rPr>
        <w:t>合同签订并收到发票后10个工作日内支付50%首款，竣工验收合格，收到发票后10个工作日内支付至最终审定价款的97%，剩余3%尾款在售后服务期结束后支付。支付金额以我单位聘请的第三方审计公司审定金额为准，但不得超过征集控制价。本采购系以财政资金支付，需相应的行政审批流程，如因此导致支付延迟，可顺延支付期限，</w:t>
      </w:r>
      <w:proofErr w:type="gramStart"/>
      <w:r w:rsidRPr="00277F84">
        <w:rPr>
          <w:rFonts w:ascii="宋体" w:eastAsia="宋体" w:hAnsi="宋体" w:cs="Times New Roman" w:hint="eastAsia"/>
          <w:bCs/>
          <w:sz w:val="21"/>
          <w14:ligatures w14:val="none"/>
        </w:rPr>
        <w:t>不</w:t>
      </w:r>
      <w:proofErr w:type="gramEnd"/>
      <w:r w:rsidRPr="00277F84">
        <w:rPr>
          <w:rFonts w:ascii="宋体" w:eastAsia="宋体" w:hAnsi="宋体" w:cs="Times New Roman" w:hint="eastAsia"/>
          <w:bCs/>
          <w:sz w:val="21"/>
          <w14:ligatures w14:val="none"/>
        </w:rPr>
        <w:t>视为采购方违约。</w:t>
      </w:r>
    </w:p>
    <w:p w14:paraId="5AF2502C" w14:textId="77777777" w:rsidR="00277F84" w:rsidRPr="00277F84" w:rsidRDefault="00277F84" w:rsidP="00277F84">
      <w:pPr>
        <w:spacing w:after="0" w:line="360" w:lineRule="auto"/>
        <w:ind w:firstLineChars="200" w:firstLine="422"/>
        <w:rPr>
          <w:rFonts w:ascii="宋体" w:eastAsia="宋体" w:hAnsi="宋体" w:cs="Times New Roman" w:hint="eastAsia"/>
          <w:b/>
          <w:sz w:val="21"/>
          <w14:ligatures w14:val="none"/>
        </w:rPr>
      </w:pPr>
    </w:p>
    <w:p w14:paraId="1CFA9D1A" w14:textId="77777777" w:rsidR="00277F84" w:rsidRPr="00277F84" w:rsidRDefault="00277F84" w:rsidP="00277F84">
      <w:pPr>
        <w:spacing w:after="0" w:line="360" w:lineRule="auto"/>
        <w:ind w:firstLineChars="200" w:firstLine="422"/>
        <w:jc w:val="both"/>
        <w:rPr>
          <w:rFonts w:ascii="宋体" w:eastAsia="宋体" w:hAnsi="宋体" w:cs="Times New Roman" w:hint="eastAsia"/>
          <w:b/>
          <w:sz w:val="21"/>
          <w:szCs w:val="21"/>
          <w14:ligatures w14:val="none"/>
        </w:rPr>
      </w:pPr>
      <w:r w:rsidRPr="00277F84">
        <w:rPr>
          <w:rFonts w:ascii="宋体" w:eastAsia="宋体" w:hAnsi="宋体" w:cs="Times New Roman" w:hint="eastAsia"/>
          <w:b/>
          <w:sz w:val="21"/>
          <w:szCs w:val="21"/>
          <w14:ligatures w14:val="none"/>
        </w:rPr>
        <w:t>（五）违约责任：</w:t>
      </w:r>
    </w:p>
    <w:p w14:paraId="55699E40" w14:textId="77777777" w:rsidR="00277F84" w:rsidRPr="00277F84" w:rsidRDefault="00277F84" w:rsidP="00277F84">
      <w:pPr>
        <w:widowControl/>
        <w:spacing w:after="0" w:line="360" w:lineRule="auto"/>
        <w:ind w:firstLineChars="196" w:firstLine="412"/>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供应商有下列情形之一的，甲方有权解除本项目合同、取消其供应商资格或将其列入“黑名单”，由此产生的全部责任由供应商承担。</w:t>
      </w:r>
    </w:p>
    <w:p w14:paraId="4FE8D2BE" w14:textId="77777777" w:rsidR="00277F84" w:rsidRPr="00277F84" w:rsidRDefault="00277F84" w:rsidP="00277F84">
      <w:pPr>
        <w:widowControl/>
        <w:spacing w:after="0" w:line="360" w:lineRule="auto"/>
        <w:ind w:firstLineChars="196" w:firstLine="412"/>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（1）供应商擅自将本项目服务转包或分包给其他单位或个人的；</w:t>
      </w:r>
    </w:p>
    <w:p w14:paraId="31E9A688" w14:textId="77777777" w:rsidR="00277F84" w:rsidRPr="00277F84" w:rsidRDefault="00277F84" w:rsidP="00277F84">
      <w:pPr>
        <w:widowControl/>
        <w:spacing w:after="0" w:line="360" w:lineRule="auto"/>
        <w:ind w:firstLineChars="196" w:firstLine="412"/>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（2）供应商的不当行为造成严重后果或恶劣影响的；</w:t>
      </w:r>
    </w:p>
    <w:p w14:paraId="6BA66B46" w14:textId="77777777" w:rsidR="00277F84" w:rsidRPr="00277F84" w:rsidRDefault="00277F84" w:rsidP="00277F84">
      <w:pPr>
        <w:widowControl/>
        <w:spacing w:after="0" w:line="360" w:lineRule="auto"/>
        <w:ind w:firstLineChars="196" w:firstLine="412"/>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（3）营业执照被吊销或失效的；</w:t>
      </w:r>
    </w:p>
    <w:p w14:paraId="6A6E3B49" w14:textId="77777777" w:rsidR="00277F84" w:rsidRPr="00277F84" w:rsidRDefault="00277F84" w:rsidP="00277F84">
      <w:pPr>
        <w:widowControl/>
        <w:spacing w:after="0" w:line="360" w:lineRule="auto"/>
        <w:ind w:firstLineChars="196" w:firstLine="412"/>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（4）中标供应商不能交货的，需偿付不能交货部分货款的 20 %的违约金并按主管部门相关规定处理。</w:t>
      </w:r>
    </w:p>
    <w:p w14:paraId="21E55E3A" w14:textId="77777777" w:rsidR="00277F84" w:rsidRPr="00277F84" w:rsidRDefault="00277F84" w:rsidP="00277F84">
      <w:pPr>
        <w:widowControl/>
        <w:spacing w:after="0" w:line="360" w:lineRule="auto"/>
        <w:ind w:firstLineChars="196" w:firstLine="412"/>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lastRenderedPageBreak/>
        <w:t>（5）中标供应商所交付产品、工程或服务不符合其投标承诺的，或在投标阶段为了中标而盲目虚假承诺、低价恶性竞争，在履约阶段则通过偷工减料、以次充好而获取利润的，将</w:t>
      </w:r>
      <w:proofErr w:type="gramStart"/>
      <w:r w:rsidRPr="00277F84">
        <w:rPr>
          <w:rFonts w:ascii="宋体" w:eastAsia="宋体" w:hAnsi="宋体" w:cs="Times New Roman" w:hint="eastAsia"/>
          <w:sz w:val="21"/>
          <w:szCs w:val="21"/>
          <w14:ligatures w14:val="none"/>
        </w:rPr>
        <w:t>被履约评价</w:t>
      </w:r>
      <w:proofErr w:type="gramEnd"/>
      <w:r w:rsidRPr="00277F84">
        <w:rPr>
          <w:rFonts w:ascii="宋体" w:eastAsia="宋体" w:hAnsi="宋体" w:cs="Times New Roman" w:hint="eastAsia"/>
          <w:sz w:val="21"/>
          <w:szCs w:val="21"/>
          <w14:ligatures w14:val="none"/>
        </w:rPr>
        <w:t>工作实施机构评为履约等级“差”并按主管部门相关规定处理。</w:t>
      </w:r>
    </w:p>
    <w:p w14:paraId="775C9076" w14:textId="77777777" w:rsidR="00277F84" w:rsidRPr="00277F84" w:rsidRDefault="00277F84" w:rsidP="00277F84">
      <w:pPr>
        <w:widowControl/>
        <w:spacing w:after="0" w:line="360" w:lineRule="auto"/>
        <w:ind w:firstLineChars="196" w:firstLine="412"/>
        <w:rPr>
          <w:rFonts w:ascii="宋体" w:eastAsia="宋体" w:hAnsi="宋体" w:cs="Times New Roman" w:hint="eastAsia"/>
          <w:sz w:val="21"/>
          <w:szCs w:val="21"/>
          <w14:ligatures w14:val="none"/>
        </w:rPr>
      </w:pPr>
      <w:r w:rsidRPr="00277F84">
        <w:rPr>
          <w:rFonts w:ascii="宋体" w:eastAsia="宋体" w:hAnsi="宋体" w:cs="Times New Roman" w:hint="eastAsia"/>
          <w:sz w:val="21"/>
          <w:szCs w:val="21"/>
          <w14:ligatures w14:val="none"/>
        </w:rPr>
        <w:t>（6）违反法律规定而实质性影响</w:t>
      </w:r>
      <w:proofErr w:type="gramStart"/>
      <w:r w:rsidRPr="00277F84">
        <w:rPr>
          <w:rFonts w:ascii="宋体" w:eastAsia="宋体" w:hAnsi="宋体" w:cs="Times New Roman" w:hint="eastAsia"/>
          <w:sz w:val="21"/>
          <w:szCs w:val="21"/>
          <w14:ligatures w14:val="none"/>
        </w:rPr>
        <w:t>本服务</w:t>
      </w:r>
      <w:proofErr w:type="gramEnd"/>
      <w:r w:rsidRPr="00277F84">
        <w:rPr>
          <w:rFonts w:ascii="宋体" w:eastAsia="宋体" w:hAnsi="宋体" w:cs="Times New Roman" w:hint="eastAsia"/>
          <w:sz w:val="21"/>
          <w:szCs w:val="21"/>
          <w14:ligatures w14:val="none"/>
        </w:rPr>
        <w:t>项目履行的。其他情形导致违约的，以合同签署为准。</w:t>
      </w:r>
    </w:p>
    <w:p w14:paraId="6D7860E8" w14:textId="77777777" w:rsidR="00251D0A" w:rsidRPr="00277F84" w:rsidRDefault="00251D0A"/>
    <w:sectPr w:rsidR="00251D0A" w:rsidRPr="00277F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D24E" w14:textId="77777777" w:rsidR="005D22BA" w:rsidRDefault="005D22BA" w:rsidP="00277F84">
      <w:pPr>
        <w:spacing w:after="0" w:line="240" w:lineRule="auto"/>
        <w:rPr>
          <w:rFonts w:hint="eastAsia"/>
        </w:rPr>
      </w:pPr>
      <w:r>
        <w:separator/>
      </w:r>
    </w:p>
  </w:endnote>
  <w:endnote w:type="continuationSeparator" w:id="0">
    <w:p w14:paraId="7536FCF2" w14:textId="77777777" w:rsidR="005D22BA" w:rsidRDefault="005D22BA" w:rsidP="00277F8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_GB2312">
    <w:altName w:val="微软雅黑"/>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32B8" w14:textId="77777777" w:rsidR="005D22BA" w:rsidRDefault="005D22BA" w:rsidP="00277F84">
      <w:pPr>
        <w:spacing w:after="0" w:line="240" w:lineRule="auto"/>
        <w:rPr>
          <w:rFonts w:hint="eastAsia"/>
        </w:rPr>
      </w:pPr>
      <w:r>
        <w:separator/>
      </w:r>
    </w:p>
  </w:footnote>
  <w:footnote w:type="continuationSeparator" w:id="0">
    <w:p w14:paraId="5F40D3CB" w14:textId="77777777" w:rsidR="005D22BA" w:rsidRDefault="005D22BA" w:rsidP="00277F8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A66B5"/>
    <w:multiLevelType w:val="multilevel"/>
    <w:tmpl w:val="7BFA66B5"/>
    <w:lvl w:ilvl="0">
      <w:start w:val="5"/>
      <w:numFmt w:val="chineseCountingThousand"/>
      <w:lvlText w:val="第%1部分"/>
      <w:lvlJc w:val="center"/>
      <w:pPr>
        <w:ind w:left="3886" w:hanging="1050"/>
      </w:pPr>
      <w:rPr>
        <w:rFonts w:hint="eastAsia"/>
      </w:rPr>
    </w:lvl>
    <w:lvl w:ilvl="1">
      <w:start w:val="1"/>
      <w:numFmt w:val="lowerLetter"/>
      <w:lvlText w:val="%2)"/>
      <w:lvlJc w:val="left"/>
      <w:pPr>
        <w:ind w:left="2258" w:hanging="420"/>
      </w:pPr>
      <w:rPr>
        <w:rFonts w:hint="eastAsia"/>
      </w:rPr>
    </w:lvl>
    <w:lvl w:ilvl="2">
      <w:start w:val="1"/>
      <w:numFmt w:val="lowerRoman"/>
      <w:lvlText w:val="%3."/>
      <w:lvlJc w:val="right"/>
      <w:pPr>
        <w:ind w:left="2678" w:hanging="420"/>
      </w:pPr>
      <w:rPr>
        <w:rFonts w:hint="eastAsia"/>
      </w:rPr>
    </w:lvl>
    <w:lvl w:ilvl="3">
      <w:start w:val="1"/>
      <w:numFmt w:val="decimal"/>
      <w:lvlText w:val="%4."/>
      <w:lvlJc w:val="left"/>
      <w:pPr>
        <w:ind w:left="3098" w:hanging="420"/>
      </w:pPr>
      <w:rPr>
        <w:rFonts w:hint="eastAsia"/>
      </w:rPr>
    </w:lvl>
    <w:lvl w:ilvl="4">
      <w:start w:val="1"/>
      <w:numFmt w:val="lowerLetter"/>
      <w:lvlText w:val="%5)"/>
      <w:lvlJc w:val="left"/>
      <w:pPr>
        <w:ind w:left="3518" w:hanging="420"/>
      </w:pPr>
      <w:rPr>
        <w:rFonts w:hint="eastAsia"/>
      </w:rPr>
    </w:lvl>
    <w:lvl w:ilvl="5">
      <w:start w:val="1"/>
      <w:numFmt w:val="lowerRoman"/>
      <w:lvlText w:val="%6."/>
      <w:lvlJc w:val="right"/>
      <w:pPr>
        <w:ind w:left="3938" w:hanging="420"/>
      </w:pPr>
      <w:rPr>
        <w:rFonts w:hint="eastAsia"/>
      </w:rPr>
    </w:lvl>
    <w:lvl w:ilvl="6">
      <w:start w:val="1"/>
      <w:numFmt w:val="decimal"/>
      <w:lvlText w:val="%7."/>
      <w:lvlJc w:val="left"/>
      <w:pPr>
        <w:ind w:left="4358" w:hanging="420"/>
      </w:pPr>
      <w:rPr>
        <w:rFonts w:hint="eastAsia"/>
      </w:rPr>
    </w:lvl>
    <w:lvl w:ilvl="7">
      <w:start w:val="1"/>
      <w:numFmt w:val="lowerLetter"/>
      <w:lvlText w:val="%8)"/>
      <w:lvlJc w:val="left"/>
      <w:pPr>
        <w:ind w:left="4778" w:hanging="420"/>
      </w:pPr>
      <w:rPr>
        <w:rFonts w:hint="eastAsia"/>
      </w:rPr>
    </w:lvl>
    <w:lvl w:ilvl="8">
      <w:start w:val="1"/>
      <w:numFmt w:val="lowerRoman"/>
      <w:lvlText w:val="%9."/>
      <w:lvlJc w:val="right"/>
      <w:pPr>
        <w:ind w:left="5198" w:hanging="420"/>
      </w:pPr>
      <w:rPr>
        <w:rFonts w:hint="eastAsia"/>
      </w:rPr>
    </w:lvl>
  </w:abstractNum>
  <w:num w:numId="1" w16cid:durableId="166335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0A"/>
    <w:rsid w:val="00251D0A"/>
    <w:rsid w:val="00277F84"/>
    <w:rsid w:val="005D22BA"/>
    <w:rsid w:val="008210A4"/>
    <w:rsid w:val="00DE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F8272F4-C52D-4238-8B93-D2614CAA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D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1D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1D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1D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1D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1D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1D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1D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1D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1D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1D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1D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1D0A"/>
    <w:rPr>
      <w:rFonts w:cstheme="majorBidi"/>
      <w:color w:val="2F5496" w:themeColor="accent1" w:themeShade="BF"/>
      <w:sz w:val="28"/>
      <w:szCs w:val="28"/>
    </w:rPr>
  </w:style>
  <w:style w:type="character" w:customStyle="1" w:styleId="50">
    <w:name w:val="标题 5 字符"/>
    <w:basedOn w:val="a0"/>
    <w:link w:val="5"/>
    <w:uiPriority w:val="9"/>
    <w:semiHidden/>
    <w:rsid w:val="00251D0A"/>
    <w:rPr>
      <w:rFonts w:cstheme="majorBidi"/>
      <w:color w:val="2F5496" w:themeColor="accent1" w:themeShade="BF"/>
      <w:sz w:val="24"/>
    </w:rPr>
  </w:style>
  <w:style w:type="character" w:customStyle="1" w:styleId="60">
    <w:name w:val="标题 6 字符"/>
    <w:basedOn w:val="a0"/>
    <w:link w:val="6"/>
    <w:uiPriority w:val="9"/>
    <w:semiHidden/>
    <w:rsid w:val="00251D0A"/>
    <w:rPr>
      <w:rFonts w:cstheme="majorBidi"/>
      <w:b/>
      <w:bCs/>
      <w:color w:val="2F5496" w:themeColor="accent1" w:themeShade="BF"/>
    </w:rPr>
  </w:style>
  <w:style w:type="character" w:customStyle="1" w:styleId="70">
    <w:name w:val="标题 7 字符"/>
    <w:basedOn w:val="a0"/>
    <w:link w:val="7"/>
    <w:uiPriority w:val="9"/>
    <w:semiHidden/>
    <w:rsid w:val="00251D0A"/>
    <w:rPr>
      <w:rFonts w:cstheme="majorBidi"/>
      <w:b/>
      <w:bCs/>
      <w:color w:val="595959" w:themeColor="text1" w:themeTint="A6"/>
    </w:rPr>
  </w:style>
  <w:style w:type="character" w:customStyle="1" w:styleId="80">
    <w:name w:val="标题 8 字符"/>
    <w:basedOn w:val="a0"/>
    <w:link w:val="8"/>
    <w:uiPriority w:val="9"/>
    <w:semiHidden/>
    <w:rsid w:val="00251D0A"/>
    <w:rPr>
      <w:rFonts w:cstheme="majorBidi"/>
      <w:color w:val="595959" w:themeColor="text1" w:themeTint="A6"/>
    </w:rPr>
  </w:style>
  <w:style w:type="character" w:customStyle="1" w:styleId="90">
    <w:name w:val="标题 9 字符"/>
    <w:basedOn w:val="a0"/>
    <w:link w:val="9"/>
    <w:uiPriority w:val="9"/>
    <w:semiHidden/>
    <w:rsid w:val="00251D0A"/>
    <w:rPr>
      <w:rFonts w:eastAsiaTheme="majorEastAsia" w:cstheme="majorBidi"/>
      <w:color w:val="595959" w:themeColor="text1" w:themeTint="A6"/>
    </w:rPr>
  </w:style>
  <w:style w:type="paragraph" w:styleId="a3">
    <w:name w:val="Title"/>
    <w:basedOn w:val="a"/>
    <w:next w:val="a"/>
    <w:link w:val="a4"/>
    <w:uiPriority w:val="10"/>
    <w:qFormat/>
    <w:rsid w:val="00251D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1D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D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1D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D0A"/>
    <w:pPr>
      <w:spacing w:before="160"/>
      <w:jc w:val="center"/>
    </w:pPr>
    <w:rPr>
      <w:i/>
      <w:iCs/>
      <w:color w:val="404040" w:themeColor="text1" w:themeTint="BF"/>
    </w:rPr>
  </w:style>
  <w:style w:type="character" w:customStyle="1" w:styleId="a8">
    <w:name w:val="引用 字符"/>
    <w:basedOn w:val="a0"/>
    <w:link w:val="a7"/>
    <w:uiPriority w:val="29"/>
    <w:rsid w:val="00251D0A"/>
    <w:rPr>
      <w:i/>
      <w:iCs/>
      <w:color w:val="404040" w:themeColor="text1" w:themeTint="BF"/>
    </w:rPr>
  </w:style>
  <w:style w:type="paragraph" w:styleId="a9">
    <w:name w:val="List Paragraph"/>
    <w:basedOn w:val="a"/>
    <w:uiPriority w:val="34"/>
    <w:qFormat/>
    <w:rsid w:val="00251D0A"/>
    <w:pPr>
      <w:ind w:left="720"/>
      <w:contextualSpacing/>
    </w:pPr>
  </w:style>
  <w:style w:type="character" w:styleId="aa">
    <w:name w:val="Intense Emphasis"/>
    <w:basedOn w:val="a0"/>
    <w:uiPriority w:val="21"/>
    <w:qFormat/>
    <w:rsid w:val="00251D0A"/>
    <w:rPr>
      <w:i/>
      <w:iCs/>
      <w:color w:val="2F5496" w:themeColor="accent1" w:themeShade="BF"/>
    </w:rPr>
  </w:style>
  <w:style w:type="paragraph" w:styleId="ab">
    <w:name w:val="Intense Quote"/>
    <w:basedOn w:val="a"/>
    <w:next w:val="a"/>
    <w:link w:val="ac"/>
    <w:uiPriority w:val="30"/>
    <w:qFormat/>
    <w:rsid w:val="00251D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1D0A"/>
    <w:rPr>
      <w:i/>
      <w:iCs/>
      <w:color w:val="2F5496" w:themeColor="accent1" w:themeShade="BF"/>
    </w:rPr>
  </w:style>
  <w:style w:type="character" w:styleId="ad">
    <w:name w:val="Intense Reference"/>
    <w:basedOn w:val="a0"/>
    <w:uiPriority w:val="32"/>
    <w:qFormat/>
    <w:rsid w:val="00251D0A"/>
    <w:rPr>
      <w:b/>
      <w:bCs/>
      <w:smallCaps/>
      <w:color w:val="2F5496" w:themeColor="accent1" w:themeShade="BF"/>
      <w:spacing w:val="5"/>
    </w:rPr>
  </w:style>
  <w:style w:type="paragraph" w:styleId="ae">
    <w:name w:val="header"/>
    <w:basedOn w:val="a"/>
    <w:link w:val="af"/>
    <w:uiPriority w:val="99"/>
    <w:unhideWhenUsed/>
    <w:rsid w:val="00277F84"/>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277F84"/>
    <w:rPr>
      <w:sz w:val="18"/>
      <w:szCs w:val="18"/>
    </w:rPr>
  </w:style>
  <w:style w:type="paragraph" w:styleId="af0">
    <w:name w:val="footer"/>
    <w:basedOn w:val="a"/>
    <w:link w:val="af1"/>
    <w:uiPriority w:val="99"/>
    <w:unhideWhenUsed/>
    <w:rsid w:val="00277F84"/>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277F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yichun xie</dc:creator>
  <cp:keywords/>
  <dc:description/>
  <cp:lastModifiedBy>yichun xie</cp:lastModifiedBy>
  <cp:revision>3</cp:revision>
  <dcterms:created xsi:type="dcterms:W3CDTF">2025-10-29T09:41:00Z</dcterms:created>
  <dcterms:modified xsi:type="dcterms:W3CDTF">2025-10-29T09:41:00Z</dcterms:modified>
</cp:coreProperties>
</file>