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32F0D">
      <w:pPr>
        <w:pStyle w:val="2"/>
        <w:numPr>
          <w:numId w:val="0"/>
        </w:numPr>
        <w:spacing w:before="0" w:after="0" w:line="360" w:lineRule="auto"/>
        <w:ind w:leftChars="0"/>
        <w:jc w:val="center"/>
        <w:rPr>
          <w:rFonts w:hint="eastAsia" w:ascii="黑体" w:hAnsi="黑体" w:eastAsia="黑体"/>
          <w:color w:val="000000"/>
        </w:rPr>
      </w:pPr>
      <w:bookmarkStart w:id="0" w:name="_Toc12420"/>
      <w:bookmarkStart w:id="8" w:name="_GoBack"/>
      <w:bookmarkEnd w:id="8"/>
      <w:r>
        <w:rPr>
          <w:rFonts w:ascii="黑体" w:hAnsi="黑体" w:eastAsia="黑体"/>
          <w:color w:val="000000"/>
        </w:rPr>
        <w:fldChar w:fldCharType="begin"/>
      </w:r>
      <w:r>
        <w:rPr>
          <w:rFonts w:ascii="黑体" w:hAnsi="黑体" w:eastAsia="黑体"/>
          <w:color w:val="000000"/>
        </w:rPr>
        <w:instrText xml:space="preserve"> HYPERLINK \l "_Toc488762883" </w:instrText>
      </w:r>
      <w:r>
        <w:rPr>
          <w:rFonts w:ascii="黑体" w:hAnsi="黑体" w:eastAsia="黑体"/>
          <w:color w:val="000000"/>
        </w:rPr>
        <w:fldChar w:fldCharType="separate"/>
      </w:r>
      <w:r>
        <w:rPr>
          <w:rFonts w:hint="eastAsia" w:ascii="黑体" w:hAnsi="黑体" w:eastAsia="黑体"/>
          <w:color w:val="000000"/>
        </w:rPr>
        <w:t>招标项目需求</w:t>
      </w:r>
      <w:r>
        <w:rPr>
          <w:rFonts w:ascii="黑体" w:hAnsi="黑体" w:eastAsia="黑体"/>
          <w:color w:val="000000"/>
        </w:rPr>
        <w:fldChar w:fldCharType="end"/>
      </w:r>
      <w:bookmarkEnd w:id="0"/>
    </w:p>
    <w:p w14:paraId="60B3AA0C">
      <w:pPr>
        <w:pStyle w:val="3"/>
        <w:adjustRightInd/>
        <w:spacing w:line="360" w:lineRule="auto"/>
        <w:jc w:val="both"/>
        <w:textAlignment w:val="auto"/>
        <w:rPr>
          <w:rFonts w:hint="eastAsia"/>
          <w:sz w:val="28"/>
          <w:szCs w:val="28"/>
        </w:rPr>
      </w:pPr>
      <w:bookmarkStart w:id="1" w:name="sixxiangmugaisu"/>
      <w:bookmarkEnd w:id="1"/>
      <w:bookmarkStart w:id="2" w:name="_Toc13"/>
      <w:r>
        <w:rPr>
          <w:rFonts w:hint="eastAsia"/>
          <w:sz w:val="28"/>
          <w:szCs w:val="28"/>
        </w:rPr>
        <w:t>一、项目概况</w:t>
      </w:r>
      <w:bookmarkEnd w:id="2"/>
    </w:p>
    <w:p w14:paraId="0730190B">
      <w:pPr>
        <w:spacing w:line="360" w:lineRule="auto"/>
        <w:ind w:firstLine="565" w:firstLineChars="202"/>
        <w:rPr>
          <w:rFonts w:hint="eastAsia" w:ascii="仿宋" w:hAnsi="仿宋" w:eastAsia="仿宋"/>
          <w:sz w:val="28"/>
          <w:szCs w:val="28"/>
        </w:rPr>
      </w:pPr>
      <w:r>
        <w:rPr>
          <w:rFonts w:hint="eastAsia" w:ascii="仿宋" w:hAnsi="仿宋" w:eastAsia="仿宋"/>
          <w:sz w:val="28"/>
          <w:szCs w:val="28"/>
        </w:rPr>
        <w:t>为适应人民群众高品质居住需要，落实深圳市“优民生、增居住、强工业、稳商办”的建设用地供应原则，加大龙岗区居住用地供应规模，促进龙岗区居住用地资源的节约集约利用和优化配置，打造安全、舒适、绿色、智慧的“好房子”标杆。根据区委区政府工作部署，本次拟开展[回龙埔及龙城公园地区]04-02-02地块（回龙埔非农政府收储用地）规划调整研究工作，规划调整用地面积46291平方米，研究范围面积约133.05公顷。项目预算金额28万元。</w:t>
      </w:r>
    </w:p>
    <w:p w14:paraId="3A5AD148">
      <w:pPr>
        <w:pStyle w:val="3"/>
        <w:adjustRightInd/>
        <w:spacing w:line="360" w:lineRule="auto"/>
        <w:jc w:val="both"/>
        <w:textAlignment w:val="auto"/>
        <w:rPr>
          <w:rFonts w:hint="eastAsia"/>
          <w:sz w:val="28"/>
          <w:szCs w:val="28"/>
        </w:rPr>
      </w:pPr>
      <w:bookmarkStart w:id="3" w:name="_Toc27589"/>
      <w:r>
        <w:rPr>
          <w:rFonts w:hint="eastAsia"/>
          <w:sz w:val="28"/>
          <w:szCs w:val="28"/>
        </w:rPr>
        <w:t>二、服务内容及要求</w:t>
      </w:r>
      <w:bookmarkEnd w:id="3"/>
    </w:p>
    <w:p w14:paraId="59C80859">
      <w:pPr>
        <w:adjustRightInd w:val="0"/>
        <w:spacing w:line="360" w:lineRule="auto"/>
        <w:ind w:firstLine="560" w:firstLineChars="200"/>
        <w:textAlignment w:val="baseline"/>
        <w:rPr>
          <w:rFonts w:ascii="楷体" w:hAnsi="楷体" w:eastAsia="楷体" w:cs="楷体"/>
          <w:sz w:val="28"/>
          <w:szCs w:val="28"/>
        </w:rPr>
      </w:pPr>
      <w:r>
        <w:rPr>
          <w:rFonts w:hint="eastAsia" w:ascii="楷体" w:hAnsi="楷体" w:eastAsia="楷体" w:cs="楷体"/>
          <w:sz w:val="28"/>
          <w:szCs w:val="28"/>
        </w:rPr>
        <w:t>（一）工作目标</w:t>
      </w:r>
    </w:p>
    <w:p w14:paraId="1ECF3300">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为响应区委区政府工作要求，落实年度居住用地出让任务，保障如期完成深圳市对龙岗区居住用地及地价任务安排，打造安全、舒适、绿色、智慧的“好房子”标杆，开展[回龙埔及龙城公园地区]04-02-02地块（回龙埔非农政府收储用地）规划调整研究工作，为后续招拍挂居住用地供应奠定坚实基础。</w:t>
      </w:r>
    </w:p>
    <w:p w14:paraId="767E881F">
      <w:pPr>
        <w:adjustRightInd w:val="0"/>
        <w:spacing w:line="360" w:lineRule="auto"/>
        <w:ind w:firstLine="560" w:firstLineChars="200"/>
        <w:textAlignment w:val="baseline"/>
        <w:rPr>
          <w:rFonts w:ascii="仿宋" w:hAnsi="仿宋" w:eastAsia="仿宋"/>
          <w:sz w:val="28"/>
          <w:szCs w:val="28"/>
        </w:rPr>
      </w:pPr>
      <w:r>
        <w:rPr>
          <w:rFonts w:hint="eastAsia" w:ascii="楷体" w:hAnsi="楷体" w:eastAsia="楷体" w:cs="楷体"/>
          <w:sz w:val="28"/>
          <w:szCs w:val="28"/>
        </w:rPr>
        <w:t>（二）工作内容</w:t>
      </w:r>
      <w:bookmarkStart w:id="4" w:name="_Toc258276190"/>
      <w:bookmarkStart w:id="5" w:name="_Toc258276192"/>
    </w:p>
    <w:p w14:paraId="4ADB412D">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1.规划调整研究</w:t>
      </w:r>
    </w:p>
    <w:p w14:paraId="3C64B283">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现状调查研究</w:t>
      </w:r>
      <w:bookmarkEnd w:id="4"/>
      <w:bookmarkStart w:id="6" w:name="_Toc258276191"/>
      <w:r>
        <w:rPr>
          <w:rFonts w:hint="eastAsia" w:ascii="仿宋" w:hAnsi="仿宋" w:eastAsia="仿宋"/>
          <w:sz w:val="28"/>
          <w:szCs w:val="28"/>
        </w:rPr>
        <w:t>及资料收集。包括项目背景梳理、现状条件分析和相关规划研究，通过实地调查、踏勘和部门访谈等方式收集用地相关资料，核查规划范围内现状发展条件，为规划调整提供支撑分析。</w:t>
      </w:r>
    </w:p>
    <w:p w14:paraId="21B95C45">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片区整体规划研究。以标准单元为片区整体研究范围，对研究范围上位规划逐层分析，梳理周边建设现状情况，结合片区上层次规划，对规划研究范围内用地进行研究，从而指导地块规划调整的进行。</w:t>
      </w:r>
    </w:p>
    <w:p w14:paraId="7C01AD9D">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调整可行性及合理性研究</w:t>
      </w:r>
      <w:bookmarkEnd w:id="6"/>
      <w:r>
        <w:rPr>
          <w:rFonts w:hint="eastAsia" w:ascii="仿宋" w:hAnsi="仿宋" w:eastAsia="仿宋"/>
          <w:sz w:val="28"/>
          <w:szCs w:val="28"/>
        </w:rPr>
        <w:t>。针对法定图则功能调整、指标调整、配套设施调整及建筑布局的合理性进行充分论证。</w:t>
      </w:r>
    </w:p>
    <w:p w14:paraId="22079F3D">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规划调整方案。开展用地方案编制包含土地利用及地块指标规划、空间控制规划、出入口设计，交通组织规划、总平面布局设计、日照分析、空间形态意向设计、慢行系统研究等内容。</w:t>
      </w:r>
    </w:p>
    <w:p w14:paraId="762F82A3">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公共配套支撑研究。从相关规范要求、上层次规划情况以及自身需求等方面进行考虑，对用地周边公共服务设施配套的落实提出建议。</w:t>
      </w:r>
    </w:p>
    <w:p w14:paraId="6F3046C1">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2.交通专题研究</w:t>
      </w:r>
    </w:p>
    <w:p w14:paraId="0072C7AC">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交通专题主要内容为交通影响评价。分析规划调整地块产生的交通需求，科学、合理的评价项目开发建设对周边道路交通系统的影响程度，理顺项目主要出入口与周边路网交通组织关系，通过一定的交通改善措施使项目建成后对周围道路交通系统的影响程度降至最低，使得项目建成后周边交通设施仍能保持一定的服务水平。同时提出对周边道路影响最小的地块出入口方案。</w:t>
      </w:r>
    </w:p>
    <w:p w14:paraId="78D7414E">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3.市政专题研究</w:t>
      </w:r>
    </w:p>
    <w:p w14:paraId="69CD09E4">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市政专题主要内容为市政影响评价。研究对象为给水、雨水及防洪排涝、污水（含生活污水和工业废水）、再生水、电力、通信、燃气、环卫、消防工程等市政工程设施。考虑到项目的重要性、紧迫性和特殊性。本次专题研究将从两个层面开展以保障片区市政支撑需求：①是龙城街道范围内各市政工程系统研究。②是本项目范围内市政基础设施的详细规划。</w:t>
      </w:r>
    </w:p>
    <w:p w14:paraId="49055145">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4.实景三维专题展示</w:t>
      </w:r>
    </w:p>
    <w:p w14:paraId="0730AB1C">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使用新技术，新建规划调整地块所在片区现状情况大数据模型，做出片区实景情况进行三维展示，增加城市设计相关内容，直观表达片区风貌情况。</w:t>
      </w:r>
    </w:p>
    <w:p w14:paraId="708E56B6">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5.工业区块线局部调整研究</w:t>
      </w:r>
    </w:p>
    <w:bookmarkEnd w:id="5"/>
    <w:p w14:paraId="177C4431">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搜集相关资料，明确本次工业区块线调整的背景及缘由。从规划调整建设招拍挂商品房背景出发，结合工业区块线相关规范要求，对开展工业区块线调整的必要性予以分析论证，编制工业区块线局部调整方案，筛选符合条件的调入地块，确保补入地块符合政策及规范要求。</w:t>
      </w:r>
    </w:p>
    <w:p w14:paraId="09BF597F">
      <w:pPr>
        <w:numPr>
          <w:ilvl w:val="0"/>
          <w:numId w:val="1"/>
        </w:numPr>
        <w:adjustRightInd w:val="0"/>
        <w:spacing w:line="360" w:lineRule="auto"/>
        <w:ind w:firstLine="560" w:firstLineChars="200"/>
        <w:textAlignment w:val="baseline"/>
        <w:rPr>
          <w:rFonts w:ascii="楷体" w:hAnsi="楷体" w:eastAsia="楷体" w:cs="楷体"/>
          <w:sz w:val="28"/>
          <w:szCs w:val="28"/>
        </w:rPr>
      </w:pPr>
      <w:r>
        <w:rPr>
          <w:rFonts w:hint="eastAsia" w:ascii="楷体" w:hAnsi="楷体" w:eastAsia="楷体" w:cs="楷体"/>
          <w:sz w:val="28"/>
          <w:szCs w:val="28"/>
        </w:rPr>
        <w:t>成果构成</w:t>
      </w:r>
    </w:p>
    <w:p w14:paraId="7B6C91DB">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成果为《[回龙埔及龙城公园地区]04-02-02地块（回龙埔非农政府收储用地）规划调整研究》研究报告，纸质版4份，电子版2份（PPT格式汇报系统）。</w:t>
      </w:r>
    </w:p>
    <w:p w14:paraId="010D5B50">
      <w:pPr>
        <w:numPr>
          <w:ilvl w:val="0"/>
          <w:numId w:val="1"/>
        </w:numPr>
        <w:adjustRightInd w:val="0"/>
        <w:spacing w:line="360" w:lineRule="auto"/>
        <w:ind w:firstLine="560" w:firstLineChars="200"/>
        <w:textAlignment w:val="baseline"/>
        <w:rPr>
          <w:rFonts w:ascii="楷体" w:hAnsi="楷体" w:eastAsia="楷体" w:cs="楷体"/>
          <w:sz w:val="28"/>
          <w:szCs w:val="28"/>
        </w:rPr>
      </w:pPr>
      <w:r>
        <w:rPr>
          <w:rFonts w:hint="eastAsia" w:ascii="楷体" w:hAnsi="楷体" w:eastAsia="楷体" w:cs="楷体"/>
          <w:sz w:val="28"/>
          <w:szCs w:val="28"/>
        </w:rPr>
        <w:t>人员组织</w:t>
      </w:r>
    </w:p>
    <w:p w14:paraId="54A7B1D2">
      <w:pPr>
        <w:spacing w:line="360" w:lineRule="auto"/>
        <w:ind w:firstLine="560" w:firstLineChars="200"/>
        <w:rPr>
          <w:rFonts w:hint="eastAsia" w:ascii="宋体" w:hAnsi="宋体" w:cs="宋体"/>
          <w:bCs/>
          <w:color w:val="000000"/>
          <w:sz w:val="28"/>
          <w:szCs w:val="28"/>
        </w:rPr>
      </w:pPr>
      <w:r>
        <w:rPr>
          <w:rFonts w:hint="eastAsia" w:ascii="仿宋" w:hAnsi="仿宋" w:eastAsia="仿宋"/>
          <w:sz w:val="28"/>
          <w:szCs w:val="28"/>
        </w:rPr>
        <w:t>本项目要求城市规划、市政工程、交通工程等相关专业技术人员组成项目组，项目组人数不少于6人，其中高级工程师不少于1人</w:t>
      </w:r>
      <w:r>
        <w:rPr>
          <w:rFonts w:hint="eastAsia" w:ascii="宋体" w:hAnsi="宋体" w:cs="宋体"/>
          <w:bCs/>
          <w:color w:val="000000"/>
          <w:sz w:val="28"/>
          <w:szCs w:val="28"/>
        </w:rPr>
        <w:t>。</w:t>
      </w:r>
    </w:p>
    <w:p w14:paraId="19E0CBEB">
      <w:pPr>
        <w:pStyle w:val="3"/>
        <w:adjustRightInd/>
        <w:spacing w:line="360" w:lineRule="auto"/>
        <w:jc w:val="both"/>
        <w:textAlignment w:val="auto"/>
        <w:rPr>
          <w:rFonts w:hint="eastAsia"/>
          <w:sz w:val="28"/>
          <w:szCs w:val="28"/>
        </w:rPr>
      </w:pPr>
      <w:bookmarkStart w:id="7" w:name="_Toc15639"/>
      <w:r>
        <w:rPr>
          <w:rFonts w:hint="eastAsia"/>
          <w:sz w:val="28"/>
          <w:szCs w:val="28"/>
          <w:lang w:val="en-GB"/>
        </w:rPr>
        <w:t>★</w:t>
      </w:r>
      <w:r>
        <w:rPr>
          <w:rFonts w:hint="eastAsia"/>
          <w:sz w:val="28"/>
          <w:szCs w:val="28"/>
        </w:rPr>
        <w:t>三、商务要求</w:t>
      </w:r>
      <w:bookmarkEnd w:id="7"/>
    </w:p>
    <w:p w14:paraId="616ADF88">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（一）服务期</w:t>
      </w:r>
    </w:p>
    <w:p w14:paraId="1E1A548D">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本项目合同履行期限为自合同签订之日起6个月内。在该项目完成后的1年内与委托单位保持全面沟通，随时跟进。</w:t>
      </w:r>
    </w:p>
    <w:p w14:paraId="4FE0EB06">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（二）服务地点</w:t>
      </w:r>
    </w:p>
    <w:p w14:paraId="13F7AA19">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深圳市龙岗区。</w:t>
      </w:r>
    </w:p>
    <w:p w14:paraId="509C33A2">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（三）服务进度安排</w:t>
      </w:r>
    </w:p>
    <w:p w14:paraId="4D5CCA89">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具体工作和时间安排结合区政府及管理局要求推进。对于过程进度与质量形成审查机制。实际进度视项目沟通情况确定。</w:t>
      </w:r>
    </w:p>
    <w:p w14:paraId="569F3F49">
      <w:pPr>
        <w:spacing w:line="360" w:lineRule="auto"/>
        <w:jc w:val="center"/>
        <w:rPr>
          <w:rFonts w:ascii="仿宋" w:hAnsi="仿宋" w:eastAsia="仿宋"/>
          <w:sz w:val="30"/>
          <w:szCs w:val="30"/>
        </w:rPr>
      </w:pPr>
      <w:r>
        <w:rPr>
          <w:rFonts w:hint="eastAsia" w:ascii="仿宋" w:hAnsi="仿宋" w:eastAsia="仿宋"/>
          <w:sz w:val="30"/>
          <w:szCs w:val="30"/>
        </w:rPr>
        <w:t>工作内容及</w:t>
      </w:r>
      <w:r>
        <w:rPr>
          <w:rFonts w:ascii="仿宋" w:hAnsi="仿宋" w:eastAsia="仿宋"/>
          <w:sz w:val="30"/>
          <w:szCs w:val="30"/>
        </w:rPr>
        <w:t>进度安排表</w:t>
      </w:r>
    </w:p>
    <w:tbl>
      <w:tblPr>
        <w:tblStyle w:val="4"/>
        <w:tblW w:w="8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503"/>
        <w:gridCol w:w="4263"/>
        <w:gridCol w:w="1209"/>
      </w:tblGrid>
      <w:tr w14:paraId="1319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26" w:type="dxa"/>
            <w:noWrap w:val="0"/>
            <w:vAlign w:val="center"/>
          </w:tcPr>
          <w:p w14:paraId="092C6382">
            <w:pPr>
              <w:adjustRightInd w:val="0"/>
              <w:spacing w:line="276" w:lineRule="auto"/>
              <w:jc w:val="center"/>
              <w:textAlignment w:val="baseline"/>
              <w:rPr>
                <w:rFonts w:ascii="仿宋" w:hAnsi="仿宋" w:eastAsia="仿宋"/>
                <w:color w:val="000000"/>
                <w:sz w:val="24"/>
              </w:rPr>
            </w:pPr>
            <w:r>
              <w:rPr>
                <w:rFonts w:hint="eastAsia" w:ascii="仿宋" w:hAnsi="仿宋" w:eastAsia="仿宋"/>
                <w:color w:val="000000"/>
                <w:sz w:val="24"/>
              </w:rPr>
              <w:t>序号</w:t>
            </w:r>
          </w:p>
        </w:tc>
        <w:tc>
          <w:tcPr>
            <w:tcW w:w="1503" w:type="dxa"/>
            <w:noWrap w:val="0"/>
            <w:vAlign w:val="center"/>
          </w:tcPr>
          <w:p w14:paraId="42E213E5">
            <w:pPr>
              <w:adjustRightInd w:val="0"/>
              <w:spacing w:line="276" w:lineRule="auto"/>
              <w:jc w:val="center"/>
              <w:textAlignment w:val="baseline"/>
              <w:rPr>
                <w:rFonts w:ascii="仿宋" w:hAnsi="仿宋" w:eastAsia="仿宋"/>
                <w:color w:val="000000"/>
                <w:sz w:val="24"/>
              </w:rPr>
            </w:pPr>
            <w:r>
              <w:rPr>
                <w:rFonts w:hint="eastAsia" w:ascii="仿宋" w:hAnsi="仿宋" w:eastAsia="仿宋"/>
                <w:color w:val="000000"/>
                <w:sz w:val="24"/>
              </w:rPr>
              <w:t>项目进度</w:t>
            </w:r>
          </w:p>
        </w:tc>
        <w:tc>
          <w:tcPr>
            <w:tcW w:w="4263" w:type="dxa"/>
            <w:noWrap w:val="0"/>
            <w:vAlign w:val="center"/>
          </w:tcPr>
          <w:p w14:paraId="41CAC50E">
            <w:pPr>
              <w:adjustRightInd w:val="0"/>
              <w:spacing w:line="276" w:lineRule="auto"/>
              <w:jc w:val="center"/>
              <w:textAlignment w:val="baseline"/>
              <w:rPr>
                <w:rFonts w:ascii="仿宋" w:hAnsi="仿宋" w:eastAsia="仿宋"/>
                <w:color w:val="000000"/>
                <w:sz w:val="24"/>
              </w:rPr>
            </w:pPr>
            <w:r>
              <w:rPr>
                <w:rFonts w:hint="eastAsia" w:ascii="仿宋" w:hAnsi="仿宋" w:eastAsia="仿宋"/>
                <w:color w:val="000000"/>
                <w:sz w:val="24"/>
              </w:rPr>
              <w:t>工作内容及具体安排</w:t>
            </w:r>
          </w:p>
        </w:tc>
        <w:tc>
          <w:tcPr>
            <w:tcW w:w="1209" w:type="dxa"/>
            <w:noWrap w:val="0"/>
            <w:vAlign w:val="center"/>
          </w:tcPr>
          <w:p w14:paraId="520CC6CB">
            <w:pPr>
              <w:adjustRightInd w:val="0"/>
              <w:spacing w:line="276" w:lineRule="auto"/>
              <w:jc w:val="center"/>
              <w:textAlignment w:val="baseline"/>
              <w:rPr>
                <w:rFonts w:ascii="仿宋" w:hAnsi="仿宋" w:eastAsia="仿宋"/>
                <w:color w:val="000000"/>
                <w:sz w:val="24"/>
              </w:rPr>
            </w:pPr>
            <w:r>
              <w:rPr>
                <w:rFonts w:hint="eastAsia" w:ascii="仿宋" w:hAnsi="仿宋" w:eastAsia="仿宋"/>
                <w:color w:val="000000"/>
                <w:sz w:val="24"/>
              </w:rPr>
              <w:t>时间安排</w:t>
            </w:r>
          </w:p>
        </w:tc>
      </w:tr>
      <w:tr w14:paraId="401E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26" w:type="dxa"/>
            <w:noWrap w:val="0"/>
            <w:vAlign w:val="center"/>
          </w:tcPr>
          <w:p w14:paraId="78B2A40C">
            <w:pPr>
              <w:adjustRightInd w:val="0"/>
              <w:spacing w:line="276" w:lineRule="auto"/>
              <w:jc w:val="center"/>
              <w:textAlignment w:val="baseline"/>
              <w:rPr>
                <w:rFonts w:ascii="仿宋" w:hAnsi="仿宋" w:eastAsia="仿宋"/>
                <w:color w:val="000000"/>
                <w:sz w:val="24"/>
              </w:rPr>
            </w:pPr>
            <w:r>
              <w:rPr>
                <w:rFonts w:hint="eastAsia" w:ascii="仿宋" w:hAnsi="仿宋" w:eastAsia="仿宋"/>
                <w:color w:val="000000"/>
                <w:sz w:val="24"/>
              </w:rPr>
              <w:t>01</w:t>
            </w:r>
          </w:p>
        </w:tc>
        <w:tc>
          <w:tcPr>
            <w:tcW w:w="1503" w:type="dxa"/>
            <w:noWrap w:val="0"/>
            <w:vAlign w:val="center"/>
          </w:tcPr>
          <w:p w14:paraId="55F695E5">
            <w:pPr>
              <w:spacing w:line="276" w:lineRule="auto"/>
              <w:jc w:val="center"/>
              <w:rPr>
                <w:rFonts w:ascii="仿宋" w:hAnsi="仿宋" w:eastAsia="仿宋"/>
                <w:color w:val="000000"/>
                <w:sz w:val="24"/>
              </w:rPr>
            </w:pPr>
            <w:r>
              <w:rPr>
                <w:rFonts w:hint="eastAsia" w:ascii="仿宋" w:hAnsi="仿宋" w:eastAsia="仿宋"/>
                <w:sz w:val="24"/>
              </w:rPr>
              <w:t>初步成果阶段</w:t>
            </w:r>
          </w:p>
        </w:tc>
        <w:tc>
          <w:tcPr>
            <w:tcW w:w="4263" w:type="dxa"/>
            <w:noWrap w:val="0"/>
            <w:vAlign w:val="center"/>
          </w:tcPr>
          <w:p w14:paraId="681BE0FA">
            <w:pPr>
              <w:spacing w:line="276" w:lineRule="auto"/>
              <w:jc w:val="left"/>
              <w:rPr>
                <w:rFonts w:ascii="仿宋" w:hAnsi="仿宋" w:eastAsia="仿宋"/>
                <w:sz w:val="24"/>
              </w:rPr>
            </w:pPr>
            <w:r>
              <w:rPr>
                <w:rFonts w:hint="eastAsia" w:ascii="仿宋" w:hAnsi="仿宋" w:eastAsia="仿宋"/>
                <w:sz w:val="24"/>
              </w:rPr>
              <w:t>1、实地调研、资料搜集整理，编制初步成果；</w:t>
            </w:r>
          </w:p>
          <w:p w14:paraId="50FA5A41">
            <w:pPr>
              <w:spacing w:line="276" w:lineRule="auto"/>
              <w:jc w:val="left"/>
              <w:rPr>
                <w:rFonts w:ascii="仿宋" w:hAnsi="仿宋" w:eastAsia="仿宋"/>
                <w:color w:val="000000"/>
                <w:sz w:val="24"/>
              </w:rPr>
            </w:pPr>
            <w:r>
              <w:rPr>
                <w:rFonts w:hint="eastAsia" w:ascii="仿宋" w:hAnsi="仿宋" w:eastAsia="仿宋"/>
                <w:sz w:val="24"/>
              </w:rPr>
              <w:t>2、初步成果报采购方审查。</w:t>
            </w:r>
          </w:p>
        </w:tc>
        <w:tc>
          <w:tcPr>
            <w:tcW w:w="1209" w:type="dxa"/>
            <w:noWrap w:val="0"/>
            <w:vAlign w:val="center"/>
          </w:tcPr>
          <w:p w14:paraId="4C075279">
            <w:pPr>
              <w:spacing w:line="276" w:lineRule="auto"/>
              <w:jc w:val="center"/>
              <w:rPr>
                <w:rFonts w:ascii="仿宋" w:hAnsi="仿宋" w:eastAsia="仿宋"/>
                <w:color w:val="000000"/>
                <w:sz w:val="24"/>
              </w:rPr>
            </w:pPr>
            <w:r>
              <w:rPr>
                <w:rFonts w:hint="eastAsia" w:ascii="仿宋" w:hAnsi="仿宋" w:eastAsia="仿宋"/>
                <w:sz w:val="24"/>
              </w:rPr>
              <w:t>1个月内</w:t>
            </w:r>
          </w:p>
        </w:tc>
      </w:tr>
      <w:tr w14:paraId="13DA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26" w:type="dxa"/>
            <w:noWrap w:val="0"/>
            <w:vAlign w:val="center"/>
          </w:tcPr>
          <w:p w14:paraId="13F0F597">
            <w:pPr>
              <w:adjustRightInd w:val="0"/>
              <w:spacing w:line="276" w:lineRule="auto"/>
              <w:jc w:val="center"/>
              <w:textAlignment w:val="baseline"/>
              <w:rPr>
                <w:rFonts w:ascii="仿宋" w:hAnsi="仿宋" w:eastAsia="仿宋"/>
                <w:color w:val="000000"/>
                <w:sz w:val="24"/>
              </w:rPr>
            </w:pPr>
            <w:r>
              <w:rPr>
                <w:rFonts w:hint="eastAsia" w:ascii="仿宋" w:hAnsi="仿宋" w:eastAsia="仿宋"/>
                <w:color w:val="000000"/>
                <w:sz w:val="24"/>
              </w:rPr>
              <w:t>02</w:t>
            </w:r>
          </w:p>
        </w:tc>
        <w:tc>
          <w:tcPr>
            <w:tcW w:w="1503" w:type="dxa"/>
            <w:noWrap w:val="0"/>
            <w:vAlign w:val="center"/>
          </w:tcPr>
          <w:p w14:paraId="6BC1C670">
            <w:pPr>
              <w:spacing w:line="276" w:lineRule="auto"/>
              <w:jc w:val="center"/>
              <w:rPr>
                <w:rFonts w:ascii="仿宋" w:hAnsi="仿宋" w:eastAsia="仿宋"/>
                <w:color w:val="000000"/>
                <w:sz w:val="24"/>
              </w:rPr>
            </w:pPr>
            <w:r>
              <w:rPr>
                <w:rFonts w:hint="eastAsia" w:ascii="仿宋" w:hAnsi="仿宋" w:eastAsia="仿宋"/>
                <w:sz w:val="24"/>
              </w:rPr>
              <w:t>中期成果阶段</w:t>
            </w:r>
          </w:p>
        </w:tc>
        <w:tc>
          <w:tcPr>
            <w:tcW w:w="4263" w:type="dxa"/>
            <w:noWrap w:val="0"/>
            <w:vAlign w:val="center"/>
          </w:tcPr>
          <w:p w14:paraId="23756E07">
            <w:pPr>
              <w:spacing w:line="276" w:lineRule="auto"/>
              <w:rPr>
                <w:rFonts w:ascii="仿宋" w:hAnsi="仿宋" w:eastAsia="仿宋"/>
                <w:sz w:val="24"/>
              </w:rPr>
            </w:pPr>
            <w:r>
              <w:rPr>
                <w:rFonts w:hint="eastAsia" w:ascii="仿宋" w:hAnsi="仿宋" w:eastAsia="仿宋"/>
                <w:sz w:val="24"/>
              </w:rPr>
              <w:t>1、根据</w:t>
            </w:r>
            <w:r>
              <w:rPr>
                <w:rFonts w:ascii="仿宋" w:hAnsi="仿宋" w:eastAsia="仿宋"/>
                <w:sz w:val="24"/>
              </w:rPr>
              <w:t>初步</w:t>
            </w:r>
            <w:r>
              <w:rPr>
                <w:rFonts w:hint="eastAsia" w:ascii="仿宋" w:hAnsi="仿宋" w:eastAsia="仿宋"/>
                <w:sz w:val="24"/>
              </w:rPr>
              <w:t>成果</w:t>
            </w:r>
            <w:r>
              <w:rPr>
                <w:rFonts w:ascii="仿宋" w:hAnsi="仿宋" w:eastAsia="仿宋"/>
                <w:sz w:val="24"/>
              </w:rPr>
              <w:t>意见，修改完善，</w:t>
            </w:r>
            <w:r>
              <w:rPr>
                <w:rFonts w:hint="eastAsia" w:ascii="仿宋" w:hAnsi="仿宋" w:eastAsia="仿宋"/>
                <w:sz w:val="24"/>
              </w:rPr>
              <w:t>形成《[回龙埔及龙城公园地区]04-02-02地块（回龙埔非农政府收储用地）规划调整研究》</w:t>
            </w:r>
            <w:r>
              <w:rPr>
                <w:rFonts w:ascii="仿宋" w:hAnsi="仿宋" w:eastAsia="仿宋"/>
                <w:sz w:val="24"/>
              </w:rPr>
              <w:t>中期</w:t>
            </w:r>
            <w:r>
              <w:rPr>
                <w:rFonts w:hint="eastAsia" w:ascii="仿宋" w:hAnsi="仿宋" w:eastAsia="仿宋"/>
                <w:sz w:val="24"/>
              </w:rPr>
              <w:t>成果；</w:t>
            </w:r>
          </w:p>
          <w:p w14:paraId="4FB8E960">
            <w:pPr>
              <w:spacing w:line="276" w:lineRule="auto"/>
              <w:jc w:val="left"/>
              <w:rPr>
                <w:rFonts w:ascii="仿宋" w:hAnsi="仿宋" w:eastAsia="仿宋"/>
                <w:color w:val="000000"/>
                <w:sz w:val="24"/>
              </w:rPr>
            </w:pPr>
            <w:r>
              <w:rPr>
                <w:rFonts w:hint="eastAsia" w:ascii="仿宋" w:hAnsi="仿宋" w:eastAsia="仿宋"/>
                <w:sz w:val="24"/>
              </w:rPr>
              <w:t>2、《[回龙埔及龙城公园地区]04-02-02地块（回龙埔非农政府收储用地）规划调整研究》中期成果</w:t>
            </w:r>
            <w:r>
              <w:rPr>
                <w:rFonts w:ascii="仿宋" w:hAnsi="仿宋" w:eastAsia="仿宋"/>
                <w:sz w:val="24"/>
              </w:rPr>
              <w:t>提</w:t>
            </w:r>
            <w:r>
              <w:rPr>
                <w:rFonts w:hint="eastAsia" w:ascii="仿宋" w:hAnsi="仿宋" w:eastAsia="仿宋"/>
                <w:sz w:val="24"/>
              </w:rPr>
              <w:t>请采购方</w:t>
            </w:r>
            <w:r>
              <w:rPr>
                <w:rFonts w:ascii="仿宋" w:hAnsi="仿宋" w:eastAsia="仿宋"/>
                <w:sz w:val="24"/>
              </w:rPr>
              <w:t>审查</w:t>
            </w:r>
            <w:r>
              <w:rPr>
                <w:rFonts w:hint="eastAsia" w:ascii="仿宋" w:hAnsi="仿宋" w:eastAsia="仿宋"/>
                <w:sz w:val="24"/>
              </w:rPr>
              <w:t>。</w:t>
            </w:r>
          </w:p>
        </w:tc>
        <w:tc>
          <w:tcPr>
            <w:tcW w:w="1209" w:type="dxa"/>
            <w:noWrap w:val="0"/>
            <w:vAlign w:val="center"/>
          </w:tcPr>
          <w:p w14:paraId="18C324DD">
            <w:pPr>
              <w:spacing w:line="276" w:lineRule="auto"/>
              <w:jc w:val="center"/>
              <w:rPr>
                <w:rFonts w:ascii="仿宋" w:hAnsi="仿宋" w:eastAsia="仿宋"/>
                <w:color w:val="000000"/>
                <w:sz w:val="24"/>
              </w:rPr>
            </w:pPr>
            <w:r>
              <w:rPr>
                <w:rFonts w:hint="eastAsia" w:ascii="仿宋" w:hAnsi="仿宋" w:eastAsia="仿宋"/>
                <w:sz w:val="24"/>
              </w:rPr>
              <w:t>2个月内</w:t>
            </w:r>
          </w:p>
        </w:tc>
      </w:tr>
      <w:tr w14:paraId="5881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26" w:type="dxa"/>
            <w:noWrap w:val="0"/>
            <w:vAlign w:val="center"/>
          </w:tcPr>
          <w:p w14:paraId="13462AC9">
            <w:pPr>
              <w:adjustRightInd w:val="0"/>
              <w:spacing w:line="276" w:lineRule="auto"/>
              <w:jc w:val="center"/>
              <w:textAlignment w:val="baseline"/>
              <w:rPr>
                <w:rFonts w:ascii="仿宋" w:hAnsi="仿宋" w:eastAsia="仿宋"/>
                <w:color w:val="000000"/>
                <w:sz w:val="24"/>
              </w:rPr>
            </w:pPr>
            <w:r>
              <w:rPr>
                <w:rFonts w:hint="eastAsia" w:ascii="仿宋" w:hAnsi="仿宋" w:eastAsia="仿宋"/>
                <w:color w:val="000000"/>
                <w:sz w:val="24"/>
              </w:rPr>
              <w:t>03</w:t>
            </w:r>
          </w:p>
        </w:tc>
        <w:tc>
          <w:tcPr>
            <w:tcW w:w="1503" w:type="dxa"/>
            <w:noWrap w:val="0"/>
            <w:vAlign w:val="center"/>
          </w:tcPr>
          <w:p w14:paraId="0C6626E6">
            <w:pPr>
              <w:spacing w:line="276" w:lineRule="auto"/>
              <w:jc w:val="center"/>
              <w:rPr>
                <w:rFonts w:ascii="仿宋" w:hAnsi="仿宋" w:eastAsia="仿宋"/>
                <w:color w:val="000000"/>
                <w:sz w:val="24"/>
              </w:rPr>
            </w:pPr>
            <w:r>
              <w:rPr>
                <w:rFonts w:hint="eastAsia" w:ascii="仿宋" w:hAnsi="仿宋" w:eastAsia="仿宋"/>
                <w:sz w:val="24"/>
              </w:rPr>
              <w:t>最终成果阶段</w:t>
            </w:r>
          </w:p>
        </w:tc>
        <w:tc>
          <w:tcPr>
            <w:tcW w:w="4263" w:type="dxa"/>
            <w:noWrap w:val="0"/>
            <w:vAlign w:val="center"/>
          </w:tcPr>
          <w:p w14:paraId="4324318E">
            <w:pPr>
              <w:spacing w:line="276" w:lineRule="auto"/>
              <w:jc w:val="left"/>
              <w:rPr>
                <w:rFonts w:ascii="仿宋" w:hAnsi="仿宋" w:eastAsia="仿宋"/>
                <w:sz w:val="24"/>
              </w:rPr>
            </w:pPr>
            <w:r>
              <w:rPr>
                <w:rFonts w:hint="eastAsia" w:ascii="仿宋" w:hAnsi="仿宋" w:eastAsia="仿宋"/>
                <w:sz w:val="24"/>
              </w:rPr>
              <w:t>1、根据各职能部门意见修改，编制《[回龙埔及龙城公园地区]04-02-02地块（回龙埔非农政府收储用地）规划调整研究》最终成果；</w:t>
            </w:r>
          </w:p>
          <w:p w14:paraId="00BAF3D5">
            <w:pPr>
              <w:spacing w:line="276" w:lineRule="auto"/>
              <w:jc w:val="left"/>
              <w:rPr>
                <w:rFonts w:ascii="仿宋" w:hAnsi="仿宋" w:eastAsia="仿宋"/>
                <w:sz w:val="24"/>
              </w:rPr>
            </w:pPr>
            <w:r>
              <w:rPr>
                <w:rFonts w:hint="eastAsia" w:ascii="仿宋" w:hAnsi="仿宋" w:eastAsia="仿宋"/>
                <w:sz w:val="24"/>
              </w:rPr>
              <w:t>2、《[回龙埔及龙城公园地区]04-02-02地块（回龙埔非农政府收储用地）规划调整研究》最终成果报采购方审查。</w:t>
            </w:r>
          </w:p>
          <w:p w14:paraId="3416D916">
            <w:pPr>
              <w:tabs>
                <w:tab w:val="left" w:pos="426"/>
              </w:tabs>
              <w:spacing w:line="276" w:lineRule="auto"/>
              <w:rPr>
                <w:sz w:val="24"/>
              </w:rPr>
            </w:pPr>
            <w:r>
              <w:rPr>
                <w:rFonts w:hint="eastAsia" w:ascii="仿宋" w:hAnsi="仿宋" w:eastAsia="仿宋"/>
                <w:sz w:val="24"/>
              </w:rPr>
              <w:t>3.采购方归档</w:t>
            </w:r>
          </w:p>
        </w:tc>
        <w:tc>
          <w:tcPr>
            <w:tcW w:w="1209" w:type="dxa"/>
            <w:noWrap w:val="0"/>
            <w:vAlign w:val="center"/>
          </w:tcPr>
          <w:p w14:paraId="4A191C14">
            <w:pPr>
              <w:spacing w:line="276" w:lineRule="auto"/>
              <w:jc w:val="center"/>
              <w:rPr>
                <w:rFonts w:ascii="仿宋" w:hAnsi="仿宋" w:eastAsia="仿宋"/>
                <w:color w:val="000000"/>
                <w:sz w:val="24"/>
              </w:rPr>
            </w:pPr>
            <w:r>
              <w:rPr>
                <w:rFonts w:hint="eastAsia" w:ascii="仿宋" w:hAnsi="仿宋" w:eastAsia="仿宋"/>
                <w:sz w:val="24"/>
              </w:rPr>
              <w:t>3个月内</w:t>
            </w:r>
          </w:p>
        </w:tc>
      </w:tr>
    </w:tbl>
    <w:p w14:paraId="3D005861">
      <w:pPr>
        <w:rPr>
          <w:rFonts w:ascii="宋体" w:hAnsi="宋体"/>
        </w:rPr>
      </w:pPr>
    </w:p>
    <w:p w14:paraId="274ADC0D">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（四）报价要求</w:t>
      </w:r>
    </w:p>
    <w:p w14:paraId="7C2E0CD5">
      <w:pPr>
        <w:adjustRightInd w:val="0"/>
        <w:spacing w:line="360" w:lineRule="auto"/>
        <w:ind w:firstLine="560" w:firstLineChars="200"/>
        <w:textAlignment w:val="baseline"/>
        <w:rPr>
          <w:rFonts w:ascii="仿宋" w:hAnsi="仿宋" w:eastAsia="仿宋"/>
          <w:sz w:val="28"/>
          <w:szCs w:val="28"/>
        </w:rPr>
      </w:pPr>
      <w:r>
        <w:rPr>
          <w:rFonts w:hint="eastAsia" w:ascii="仿宋" w:hAnsi="仿宋" w:eastAsia="仿宋"/>
          <w:sz w:val="28"/>
          <w:szCs w:val="28"/>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6B90F26C">
      <w:pPr>
        <w:adjustRightInd w:val="0"/>
        <w:spacing w:line="360" w:lineRule="auto"/>
        <w:ind w:firstLine="560" w:firstLineChars="200"/>
        <w:textAlignment w:val="baseline"/>
        <w:rPr>
          <w:rFonts w:ascii="仿宋" w:hAnsi="仿宋" w:eastAsia="仿宋" w:cs="仿宋"/>
          <w:sz w:val="28"/>
          <w:szCs w:val="28"/>
        </w:rPr>
      </w:pPr>
      <w:r>
        <w:rPr>
          <w:rFonts w:hint="eastAsia" w:ascii="仿宋" w:hAnsi="仿宋" w:eastAsia="仿宋"/>
          <w:sz w:val="28"/>
          <w:szCs w:val="28"/>
        </w:rPr>
        <w:t>2.投标供应商应当根据本企业的成本自行决定报价，但不得</w:t>
      </w:r>
      <w:r>
        <w:rPr>
          <w:rFonts w:hint="eastAsia" w:ascii="仿宋" w:hAnsi="仿宋" w:eastAsia="仿宋" w:cs="仿宋"/>
          <w:sz w:val="28"/>
          <w:szCs w:val="28"/>
        </w:rPr>
        <w:t>以低于其企业成本的报价投标。</w:t>
      </w:r>
    </w:p>
    <w:p w14:paraId="76BA8E9C">
      <w:pPr>
        <w:adjustRightInd w:val="0"/>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3.投标供应商的报价不得超过项目预算金额。</w:t>
      </w:r>
    </w:p>
    <w:p w14:paraId="4840359D">
      <w:pPr>
        <w:adjustRightInd w:val="0"/>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4.投标供应商的报价，应当是本项目采购范围和采购文件及合同条款上所列的各项内容中所述的全部，不得以任何理由予以重复。</w:t>
      </w:r>
    </w:p>
    <w:p w14:paraId="09069A72">
      <w:pPr>
        <w:adjustRightInd w:val="0"/>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01003559">
      <w:pPr>
        <w:adjustRightInd w:val="0"/>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6.投标供应商应先到项目地点踏勘以充分了解项目的位置、情况、道路及任何其它足以影响投标报价的情况，任何因忽视或误解项目情况而导致的索赔或服务期限延长申请将不获批准。</w:t>
      </w:r>
    </w:p>
    <w:p w14:paraId="33B76526">
      <w:pPr>
        <w:adjustRightInd w:val="0"/>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7.投标供应商不得期望通过索赔等方式获取补偿，否则，除可能遭到拒绝外，还可能将被作为不良行为记录在案，并可能影响其以后参加政府采购的项目投标。各投标供应商在报价时，应充分考虑报价的风险。</w:t>
      </w:r>
    </w:p>
    <w:p w14:paraId="62F12E21">
      <w:pPr>
        <w:adjustRightInd w:val="0"/>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（五）付款方式</w:t>
      </w:r>
    </w:p>
    <w:p w14:paraId="6E113B33">
      <w:pPr>
        <w:adjustRightInd w:val="0"/>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本项目服务费用分二期支付。</w:t>
      </w:r>
    </w:p>
    <w:p w14:paraId="45DE9924">
      <w:pPr>
        <w:adjustRightInd w:val="0"/>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首期款：自双方签订合同后10个工作日内，中标方提出付款申请，采购方根据财政部门安排该项目的年度资金开展支付工作，支付合同总费用的50%作为首期款；尾款：根据合同约定中标方提交《[回龙埔及龙城公园地区]04-02-02地块（回龙埔非农政府收储用地）规划调整研究》最终成果经采购方审议通过完成成果归档后10个工作日内，中标方提出付款申请，采购方根据财政部门安排该项目的年度资金开展支付工作，支付合同总费用的50%。</w:t>
      </w:r>
    </w:p>
    <w:p w14:paraId="263A5143">
      <w:pPr>
        <w:adjustRightInd w:val="0"/>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（六）违约责任：以合同约定为准</w:t>
      </w:r>
    </w:p>
    <w:p w14:paraId="53816167">
      <w:pPr>
        <w:adjustRightInd w:val="0"/>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（七）其他</w:t>
      </w:r>
    </w:p>
    <w:p w14:paraId="44309623">
      <w:pPr>
        <w:adjustRightInd w:val="0"/>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1.投标供应商需签署《政府采购违法行为风险知悉确认书》、《政府采购投标及履约承诺函》，</w:t>
      </w:r>
      <w:r>
        <w:rPr>
          <w:rFonts w:hint="eastAsia" w:ascii="仿宋" w:hAnsi="仿宋" w:eastAsia="仿宋" w:cs="仿宋"/>
          <w:b/>
          <w:sz w:val="28"/>
          <w:szCs w:val="28"/>
          <w:highlight w:val="yellow"/>
        </w:rPr>
        <w:t>并加盖单位公章作为投标文件组成部分，未提供的投标文件作无效处理；</w:t>
      </w:r>
    </w:p>
    <w:p w14:paraId="69A67D59">
      <w:pPr>
        <w:spacing w:line="360" w:lineRule="auto"/>
        <w:ind w:firstLine="560" w:firstLineChars="200"/>
        <w:rPr>
          <w:rFonts w:hint="eastAsia" w:ascii="宋体" w:hAnsi="宋体"/>
          <w:bCs/>
          <w:sz w:val="28"/>
          <w:szCs w:val="28"/>
        </w:rPr>
      </w:pPr>
      <w:r>
        <w:rPr>
          <w:rFonts w:hint="eastAsia" w:ascii="仿宋" w:hAnsi="仿宋" w:eastAsia="仿宋" w:cs="仿宋"/>
          <w:sz w:val="28"/>
          <w:szCs w:val="28"/>
        </w:rPr>
        <w:t>2.未被列入失信被执行人、重大税收违法案件当事人名单、政府采购严重违法失信行为记录名单。通过“信用中国”、“中国政府采购网”以及“深圳市政府采购监管网”为供应商信用信息的查询渠道，以开标当日查询结果为准，相关查询截图证据与采购文件一并保存</w:t>
      </w:r>
      <w:r>
        <w:rPr>
          <w:rFonts w:hint="eastAsia" w:ascii="仿宋" w:hAnsi="仿宋" w:eastAsia="仿宋" w:cs="仿宋"/>
          <w:b/>
          <w:sz w:val="28"/>
          <w:szCs w:val="28"/>
          <w:highlight w:val="yellow"/>
        </w:rPr>
        <w:t>（投标人无需提供证明材料，由工作人员查询）</w:t>
      </w:r>
      <w:r>
        <w:rPr>
          <w:rFonts w:hint="eastAsia" w:ascii="仿宋" w:hAnsi="仿宋" w:eastAsia="仿宋" w:cs="仿宋"/>
          <w:sz w:val="28"/>
          <w:szCs w:val="28"/>
        </w:rPr>
        <w:t>。</w:t>
      </w:r>
    </w:p>
    <w:p w14:paraId="78BBF0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344F1"/>
    <w:multiLevelType w:val="singleLevel"/>
    <w:tmpl w:val="074344F1"/>
    <w:lvl w:ilvl="0" w:tentative="0">
      <w:start w:val="3"/>
      <w:numFmt w:val="chineseCounting"/>
      <w:suff w:val="nothing"/>
      <w:lvlText w:val="（%1）"/>
      <w:lvlJc w:val="left"/>
      <w:rPr>
        <w:rFonts w:hint="eastAsia" w:ascii="楷体" w:hAnsi="楷体" w:eastAsia="楷体" w:cs="楷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A28C5"/>
    <w:rsid w:val="04EA2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adjustRightInd w:val="0"/>
      <w:spacing w:line="240" w:lineRule="auto"/>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2025-10-30T09:16:00Z</dcterms:created>
  <dc:creator>过眼～云烟～</dc:creator>
  <cp:lastModifiedBy>过眼～云烟～</cp:lastModifiedBy>
  <dcterms:modified xsi:type="dcterms:W3CDTF">2025-10-30T09:17:23Z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1D1917EDAFDC4610A4AC011DBDE9FEB9_11</vt:lpwstr>
  </property>
  <property fmtid="{D5CDD505-2E9C-101B-9397-08002B2CF9AE}" pid="4" name="KSOTemplateDocerSaveRecord">
    <vt:lpwstr>eyJoZGlkIjoiYjU3ZDE5YWNkMGVkMDJjZTBmOTQ1OGE4M2ZhZjBiNTEiLCJ1c2VySWQiOiIzMjMwNDEyNDYifQ==</vt:lpwstr>
  </property>
</Properties>
</file>