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9525" w14:textId="77777777" w:rsidR="00AF070E" w:rsidRPr="0019769C" w:rsidRDefault="00AF070E" w:rsidP="00AF070E">
      <w:pPr>
        <w:numPr>
          <w:ilvl w:val="0"/>
          <w:numId w:val="1"/>
        </w:numPr>
        <w:adjustRightInd w:val="0"/>
        <w:snapToGrid w:val="0"/>
        <w:spacing w:after="160" w:line="360" w:lineRule="auto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宋体" w:hint="eastAsia"/>
          <w:bCs/>
          <w:szCs w:val="21"/>
        </w:rPr>
        <w:t>★</w:t>
      </w:r>
      <w:r w:rsidRPr="0019769C">
        <w:rPr>
          <w:rFonts w:ascii="宋体" w:hAnsi="宋体" w:cs="仿宋_GB2312" w:hint="eastAsia"/>
          <w:b/>
          <w:szCs w:val="21"/>
        </w:rPr>
        <w:t>商务要求</w:t>
      </w:r>
    </w:p>
    <w:p w14:paraId="675E951D" w14:textId="77777777" w:rsidR="00AF070E" w:rsidRPr="0019769C" w:rsidRDefault="00AF070E" w:rsidP="00AF070E">
      <w:pPr>
        <w:spacing w:after="160" w:line="360" w:lineRule="auto"/>
        <w:ind w:left="1" w:firstLineChars="201" w:firstLine="424"/>
        <w:jc w:val="left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1、交货要求：</w:t>
      </w:r>
    </w:p>
    <w:p w14:paraId="328B7039" w14:textId="77777777" w:rsidR="00AF070E" w:rsidRPr="0019769C" w:rsidRDefault="00AF070E" w:rsidP="00AF070E">
      <w:pPr>
        <w:numPr>
          <w:ilvl w:val="0"/>
          <w:numId w:val="2"/>
        </w:numPr>
        <w:spacing w:afterLines="25" w:after="78" w:line="360" w:lineRule="auto"/>
        <w:ind w:left="0" w:firstLine="426"/>
        <w:jc w:val="left"/>
        <w:rPr>
          <w:rFonts w:ascii="宋体" w:hAnsi="宋体" w:hint="eastAsia"/>
          <w:kern w:val="0"/>
          <w:szCs w:val="21"/>
        </w:rPr>
      </w:pPr>
      <w:r w:rsidRPr="0019769C">
        <w:rPr>
          <w:rFonts w:ascii="Calibri" w:hAnsi="Calibri" w:hint="eastAsia"/>
          <w:bCs/>
          <w:szCs w:val="21"/>
        </w:rPr>
        <w:t>签订合同后</w:t>
      </w:r>
      <w:r w:rsidRPr="0019769C">
        <w:rPr>
          <w:rFonts w:ascii="Calibri" w:hAnsi="Calibri" w:hint="eastAsia"/>
          <w:bCs/>
          <w:szCs w:val="21"/>
        </w:rPr>
        <w:t>30</w:t>
      </w:r>
      <w:r w:rsidRPr="0019769C">
        <w:rPr>
          <w:rFonts w:ascii="Calibri" w:hAnsi="Calibri" w:hint="eastAsia"/>
          <w:bCs/>
          <w:szCs w:val="21"/>
        </w:rPr>
        <w:t>天（日历日）内</w:t>
      </w:r>
      <w:r w:rsidRPr="0019769C">
        <w:rPr>
          <w:rFonts w:ascii="宋体" w:hAnsi="宋体" w:cs="宋体" w:hint="eastAsia"/>
          <w:bCs/>
          <w:color w:val="0C0C0C"/>
          <w:szCs w:val="21"/>
        </w:rPr>
        <w:t>交付采购单位</w:t>
      </w:r>
      <w:r w:rsidRPr="0019769C">
        <w:rPr>
          <w:rFonts w:ascii="宋体" w:hAnsi="宋体" w:cs="宋体" w:hint="eastAsia"/>
          <w:color w:val="0C0C0C"/>
          <w:szCs w:val="21"/>
        </w:rPr>
        <w:t>，交货期是指送货交付到采购人指定国内位置的日期</w:t>
      </w:r>
      <w:r w:rsidRPr="0019769C">
        <w:rPr>
          <w:rFonts w:ascii="宋体" w:hAnsi="宋体" w:hint="eastAsia"/>
          <w:kern w:val="0"/>
          <w:szCs w:val="21"/>
        </w:rPr>
        <w:t>。</w:t>
      </w:r>
    </w:p>
    <w:p w14:paraId="2A5D09C2" w14:textId="77777777" w:rsidR="00AF070E" w:rsidRPr="0019769C" w:rsidRDefault="00AF070E" w:rsidP="00AF070E">
      <w:pPr>
        <w:numPr>
          <w:ilvl w:val="0"/>
          <w:numId w:val="2"/>
        </w:numPr>
        <w:spacing w:afterLines="25" w:after="78" w:line="360" w:lineRule="auto"/>
        <w:ind w:left="0" w:firstLine="426"/>
        <w:rPr>
          <w:rFonts w:ascii="Arial" w:hAnsi="Arial" w:cs="Arial"/>
          <w:szCs w:val="21"/>
        </w:rPr>
      </w:pPr>
      <w:r w:rsidRPr="0019769C">
        <w:rPr>
          <w:rFonts w:ascii="Arial" w:hAnsi="Arial" w:cs="Arial" w:hint="eastAsia"/>
          <w:szCs w:val="21"/>
        </w:rPr>
        <w:t>投标人必须承担的家具国内运输、图纸等其他类似的义务。</w:t>
      </w:r>
    </w:p>
    <w:p w14:paraId="4E4C2327" w14:textId="77777777" w:rsidR="00AF070E" w:rsidRPr="0019769C" w:rsidRDefault="00AF070E" w:rsidP="00AF070E">
      <w:pPr>
        <w:numPr>
          <w:ilvl w:val="0"/>
          <w:numId w:val="2"/>
        </w:numPr>
        <w:spacing w:afterLines="25" w:after="78" w:line="360" w:lineRule="auto"/>
        <w:ind w:left="0" w:firstLine="426"/>
        <w:rPr>
          <w:rFonts w:ascii="Arial" w:hAnsi="Arial" w:cs="Arial"/>
          <w:bCs/>
          <w:szCs w:val="24"/>
        </w:rPr>
      </w:pPr>
      <w:r w:rsidRPr="0019769C">
        <w:rPr>
          <w:rFonts w:ascii="Arial" w:hAnsi="Arial" w:cs="Arial" w:hint="eastAsia"/>
          <w:szCs w:val="21"/>
        </w:rPr>
        <w:t>交货地点</w:t>
      </w:r>
      <w:r w:rsidRPr="0019769C">
        <w:rPr>
          <w:rFonts w:ascii="Arial" w:hAnsi="Arial" w:cs="Arial" w:hint="eastAsia"/>
          <w:szCs w:val="21"/>
        </w:rPr>
        <w:t>:</w:t>
      </w:r>
      <w:r w:rsidRPr="0019769C">
        <w:rPr>
          <w:rFonts w:ascii="宋体" w:hAnsi="Arial" w:cs="Arial" w:hint="eastAsia"/>
          <w:bCs/>
          <w:kern w:val="0"/>
          <w:szCs w:val="21"/>
        </w:rPr>
        <w:t>采购方指定位置。</w:t>
      </w:r>
    </w:p>
    <w:p w14:paraId="59ED7A8A" w14:textId="77777777" w:rsidR="00AF070E" w:rsidRPr="0019769C" w:rsidRDefault="00AF070E" w:rsidP="00AF070E">
      <w:pPr>
        <w:spacing w:after="160" w:line="360" w:lineRule="auto"/>
        <w:ind w:left="1" w:firstLineChars="200" w:firstLine="422"/>
        <w:jc w:val="left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2、</w:t>
      </w:r>
      <w:r w:rsidRPr="0019769C">
        <w:rPr>
          <w:rFonts w:ascii="宋体" w:hAnsi="宋体" w:hint="eastAsia"/>
          <w:b/>
          <w:color w:val="0C0C0C"/>
          <w:szCs w:val="21"/>
        </w:rPr>
        <w:t>运输及包装方式的要求</w:t>
      </w:r>
      <w:r w:rsidRPr="0019769C">
        <w:rPr>
          <w:rFonts w:ascii="宋体" w:hAnsi="宋体" w:cs="仿宋_GB2312" w:hint="eastAsia"/>
          <w:b/>
          <w:szCs w:val="21"/>
        </w:rPr>
        <w:t>：</w:t>
      </w:r>
      <w:r w:rsidRPr="0019769C">
        <w:rPr>
          <w:rFonts w:ascii="宋体" w:hAnsi="宋体" w:hint="eastAsia"/>
          <w:bCs/>
          <w:color w:val="0C0C0C"/>
          <w:szCs w:val="21"/>
        </w:rPr>
        <w:t>本次采购的家具和材料必须是全新的，所有家具运输到达采购人指定国内位置时的包装必须是原厂完整的。</w:t>
      </w:r>
    </w:p>
    <w:p w14:paraId="0682E524" w14:textId="77777777" w:rsidR="00AF070E" w:rsidRPr="0019769C" w:rsidRDefault="00AF070E" w:rsidP="00AF070E">
      <w:pPr>
        <w:numPr>
          <w:ilvl w:val="0"/>
          <w:numId w:val="9"/>
        </w:numPr>
        <w:spacing w:afterLines="25" w:after="78" w:line="360" w:lineRule="auto"/>
        <w:ind w:firstLine="66"/>
        <w:jc w:val="left"/>
        <w:rPr>
          <w:rFonts w:ascii="宋体" w:hAnsi="宋体" w:hint="eastAsia"/>
          <w:bCs/>
          <w:szCs w:val="21"/>
        </w:rPr>
      </w:pPr>
      <w:r w:rsidRPr="0019769C">
        <w:rPr>
          <w:rFonts w:ascii="Calibri" w:hAnsi="Calibri" w:hint="eastAsia"/>
          <w:b/>
          <w:szCs w:val="22"/>
        </w:rPr>
        <w:t>免费保修期内售后服务要求</w:t>
      </w:r>
      <w:r w:rsidRPr="0019769C">
        <w:rPr>
          <w:rFonts w:ascii="宋体" w:hAnsi="宋体" w:cs="仿宋_GB2312" w:hint="eastAsia"/>
          <w:b/>
          <w:szCs w:val="21"/>
        </w:rPr>
        <w:t>：</w:t>
      </w:r>
    </w:p>
    <w:p w14:paraId="669D43DB" w14:textId="77777777" w:rsidR="00AF070E" w:rsidRPr="0019769C" w:rsidRDefault="00AF070E" w:rsidP="00AF070E">
      <w:pPr>
        <w:numPr>
          <w:ilvl w:val="0"/>
          <w:numId w:val="3"/>
        </w:numPr>
        <w:spacing w:afterLines="25" w:after="78" w:line="360" w:lineRule="auto"/>
        <w:ind w:left="0" w:firstLine="426"/>
        <w:jc w:val="left"/>
        <w:rPr>
          <w:rFonts w:ascii="Calibri" w:hAnsi="Calibri"/>
          <w:szCs w:val="22"/>
        </w:rPr>
      </w:pPr>
      <w:r w:rsidRPr="0019769C">
        <w:rPr>
          <w:rFonts w:ascii="Calibri" w:hAnsi="Calibri" w:hint="eastAsia"/>
          <w:szCs w:val="22"/>
        </w:rPr>
        <w:t>维修响应及故障解决时间：</w:t>
      </w:r>
      <w:r w:rsidRPr="0019769C">
        <w:rPr>
          <w:rFonts w:ascii="Calibri" w:hAnsi="Calibri" w:hint="eastAsia"/>
          <w:bCs/>
          <w:szCs w:val="21"/>
        </w:rPr>
        <w:t>在保修期内，一旦发生质量问题，投标人保证在接到通知</w:t>
      </w:r>
      <w:r w:rsidRPr="0019769C">
        <w:rPr>
          <w:rFonts w:ascii="Calibri" w:hAnsi="Calibri" w:hint="eastAsia"/>
          <w:bCs/>
          <w:szCs w:val="21"/>
        </w:rPr>
        <w:t>24</w:t>
      </w:r>
      <w:r w:rsidRPr="0019769C">
        <w:rPr>
          <w:rFonts w:ascii="Calibri" w:hAnsi="Calibri" w:hint="eastAsia"/>
          <w:bCs/>
          <w:szCs w:val="21"/>
        </w:rPr>
        <w:t>小时内响应。</w:t>
      </w:r>
    </w:p>
    <w:p w14:paraId="3A412816" w14:textId="77777777" w:rsidR="00AF070E" w:rsidRPr="0019769C" w:rsidRDefault="00AF070E" w:rsidP="00AF070E">
      <w:pPr>
        <w:numPr>
          <w:ilvl w:val="0"/>
          <w:numId w:val="3"/>
        </w:numPr>
        <w:spacing w:afterLines="25" w:after="78" w:line="360" w:lineRule="auto"/>
        <w:ind w:left="0" w:firstLine="426"/>
        <w:jc w:val="left"/>
        <w:rPr>
          <w:rFonts w:ascii="Calibri" w:hAnsi="Calibri"/>
          <w:szCs w:val="22"/>
        </w:rPr>
      </w:pPr>
      <w:r w:rsidRPr="0019769C">
        <w:rPr>
          <w:rFonts w:ascii="Calibri" w:hAnsi="Calibri" w:hint="eastAsia"/>
          <w:szCs w:val="21"/>
        </w:rPr>
        <w:t>关于免费保修期：</w:t>
      </w:r>
      <w:r w:rsidRPr="0019769C">
        <w:rPr>
          <w:rFonts w:ascii="Calibri" w:hAnsi="Calibri" w:hint="eastAsia"/>
          <w:bCs/>
          <w:szCs w:val="21"/>
        </w:rPr>
        <w:t>货物免费保修期</w:t>
      </w:r>
      <w:r w:rsidRPr="0019769C">
        <w:rPr>
          <w:rFonts w:ascii="Calibri" w:hAnsi="Calibri" w:hint="eastAsia"/>
          <w:bCs/>
          <w:szCs w:val="21"/>
        </w:rPr>
        <w:t>5</w:t>
      </w:r>
      <w:r w:rsidRPr="0019769C">
        <w:rPr>
          <w:rFonts w:ascii="Calibri" w:hAnsi="Calibri" w:hint="eastAsia"/>
          <w:bCs/>
          <w:szCs w:val="21"/>
        </w:rPr>
        <w:t>年，时间</w:t>
      </w:r>
      <w:proofErr w:type="gramStart"/>
      <w:r w:rsidRPr="0019769C">
        <w:rPr>
          <w:rFonts w:ascii="Calibri" w:hAnsi="Calibri" w:hint="eastAsia"/>
          <w:bCs/>
          <w:szCs w:val="21"/>
        </w:rPr>
        <w:t>自最终</w:t>
      </w:r>
      <w:proofErr w:type="gramEnd"/>
      <w:r w:rsidRPr="0019769C">
        <w:rPr>
          <w:rFonts w:ascii="Calibri" w:hAnsi="Calibri" w:hint="eastAsia"/>
          <w:bCs/>
          <w:szCs w:val="21"/>
        </w:rPr>
        <w:t>验收合格并交付使用之日起计算。</w:t>
      </w:r>
    </w:p>
    <w:p w14:paraId="70ABB3AC" w14:textId="77777777" w:rsidR="00AF070E" w:rsidRPr="0019769C" w:rsidRDefault="00AF070E" w:rsidP="00AF070E">
      <w:pPr>
        <w:numPr>
          <w:ilvl w:val="0"/>
          <w:numId w:val="3"/>
        </w:numPr>
        <w:spacing w:afterLines="25" w:after="78" w:line="360" w:lineRule="auto"/>
        <w:ind w:left="0" w:firstLine="426"/>
        <w:rPr>
          <w:rFonts w:ascii="宋体" w:hAnsi="宋体" w:cs="Arial" w:hint="eastAsia"/>
          <w:bCs/>
          <w:color w:val="0C0C0C"/>
          <w:szCs w:val="21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配件供应：中标人需提供家具的配件供应，遇到故障通知后保证在</w:t>
      </w:r>
      <w:r w:rsidRPr="0019769C">
        <w:rPr>
          <w:rFonts w:ascii="宋体" w:hAnsi="宋体" w:cs="Arial"/>
          <w:bCs/>
          <w:color w:val="0C0C0C"/>
          <w:szCs w:val="21"/>
        </w:rPr>
        <w:t>2</w:t>
      </w:r>
      <w:r w:rsidRPr="0019769C">
        <w:rPr>
          <w:rFonts w:ascii="宋体" w:hAnsi="宋体" w:cs="Arial" w:hint="eastAsia"/>
          <w:bCs/>
          <w:color w:val="0C0C0C"/>
          <w:szCs w:val="21"/>
        </w:rPr>
        <w:t>天内供应配件（特殊定制类的配件经与甲方沟通后时间顺延）。</w:t>
      </w:r>
    </w:p>
    <w:p w14:paraId="0618CBF8" w14:textId="77777777" w:rsidR="00AF070E" w:rsidRPr="0019769C" w:rsidRDefault="00AF070E" w:rsidP="00AF070E">
      <w:pPr>
        <w:numPr>
          <w:ilvl w:val="0"/>
          <w:numId w:val="3"/>
        </w:numPr>
        <w:spacing w:afterLines="25" w:after="78" w:line="360" w:lineRule="auto"/>
        <w:ind w:left="0" w:firstLine="426"/>
        <w:rPr>
          <w:rFonts w:ascii="Arial" w:hAnsi="Arial" w:cs="Arial"/>
          <w:bCs/>
          <w:szCs w:val="24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其他：</w:t>
      </w:r>
      <w:r w:rsidRPr="0019769C">
        <w:rPr>
          <w:rFonts w:ascii="宋体" w:hAnsi="宋体" w:cs="Arial" w:hint="eastAsia"/>
          <w:color w:val="0C0C0C"/>
          <w:szCs w:val="21"/>
        </w:rPr>
        <w:t>投标人应按其投标文件中的承诺，进行其他售后服务工作。</w:t>
      </w:r>
    </w:p>
    <w:p w14:paraId="00558D97" w14:textId="77777777" w:rsidR="00AF070E" w:rsidRPr="0019769C" w:rsidRDefault="00AF070E" w:rsidP="00AF070E">
      <w:pPr>
        <w:spacing w:after="160" w:line="360" w:lineRule="auto"/>
        <w:ind w:leftChars="201" w:left="709" w:hangingChars="136" w:hanging="287"/>
        <w:jc w:val="left"/>
        <w:rPr>
          <w:rFonts w:ascii="宋体" w:hAnsi="宋体" w:cs="宋体" w:hint="eastAsia"/>
          <w:kern w:val="0"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4、</w:t>
      </w:r>
      <w:r w:rsidRPr="0019769C">
        <w:rPr>
          <w:rFonts w:ascii="宋体" w:hAnsi="宋体" w:hint="eastAsia"/>
          <w:b/>
          <w:color w:val="0C0C0C"/>
          <w:szCs w:val="21"/>
        </w:rPr>
        <w:t>售后服务支持</w:t>
      </w:r>
      <w:r w:rsidRPr="0019769C">
        <w:rPr>
          <w:rFonts w:ascii="宋体" w:hAnsi="宋体" w:cs="仿宋_GB2312" w:hint="eastAsia"/>
          <w:b/>
          <w:szCs w:val="21"/>
        </w:rPr>
        <w:t>：</w:t>
      </w:r>
    </w:p>
    <w:p w14:paraId="6D257893" w14:textId="77777777" w:rsidR="00AF070E" w:rsidRPr="0019769C" w:rsidRDefault="00AF070E" w:rsidP="00AF070E">
      <w:pPr>
        <w:numPr>
          <w:ilvl w:val="0"/>
          <w:numId w:val="4"/>
        </w:numPr>
        <w:spacing w:afterLines="25" w:after="78" w:line="360" w:lineRule="auto"/>
        <w:ind w:left="0" w:firstLine="426"/>
        <w:rPr>
          <w:rFonts w:ascii="宋体" w:hAnsi="宋体" w:cs="Arial" w:hint="eastAsia"/>
          <w:color w:val="0C0C0C"/>
          <w:szCs w:val="21"/>
        </w:rPr>
      </w:pPr>
      <w:r w:rsidRPr="0019769C">
        <w:rPr>
          <w:rFonts w:ascii="宋体" w:hAnsi="宋体" w:cs="Arial" w:hint="eastAsia"/>
          <w:bCs/>
          <w:color w:val="0C0C0C"/>
          <w:kern w:val="0"/>
          <w:szCs w:val="21"/>
          <w:lang w:val="zh-CN"/>
        </w:rPr>
        <w:t>投标人需为本项目配备足够的售后服务力</w:t>
      </w:r>
      <w:r w:rsidRPr="0019769C">
        <w:rPr>
          <w:rFonts w:ascii="宋体" w:hAnsi="宋体" w:cs="Arial" w:hint="eastAsia"/>
          <w:bCs/>
          <w:color w:val="000000"/>
          <w:kern w:val="0"/>
          <w:szCs w:val="21"/>
          <w:lang w:val="zh-CN"/>
        </w:rPr>
        <w:t>量</w:t>
      </w:r>
      <w:r w:rsidRPr="0019769C">
        <w:rPr>
          <w:rFonts w:ascii="宋体" w:hAnsi="宋体" w:cs="Arial" w:hint="eastAsia"/>
          <w:b/>
          <w:bCs/>
          <w:color w:val="FF0000"/>
          <w:szCs w:val="21"/>
        </w:rPr>
        <w:t>。</w:t>
      </w:r>
    </w:p>
    <w:p w14:paraId="518F8B60" w14:textId="77777777" w:rsidR="00AF070E" w:rsidRPr="0019769C" w:rsidRDefault="00AF070E" w:rsidP="00AF070E">
      <w:pPr>
        <w:numPr>
          <w:ilvl w:val="0"/>
          <w:numId w:val="4"/>
        </w:numPr>
        <w:spacing w:afterLines="25" w:after="78" w:line="360" w:lineRule="auto"/>
        <w:ind w:left="0" w:firstLine="426"/>
        <w:jc w:val="left"/>
        <w:rPr>
          <w:rFonts w:ascii="宋体" w:hAnsi="宋体" w:cs="Arial" w:hint="eastAsia"/>
          <w:color w:val="0C0C0C"/>
          <w:szCs w:val="21"/>
        </w:rPr>
      </w:pPr>
      <w:r w:rsidRPr="0019769C">
        <w:rPr>
          <w:rFonts w:ascii="宋体" w:hAnsi="宋体" w:hint="eastAsia"/>
          <w:color w:val="0C0C0C"/>
          <w:kern w:val="0"/>
          <w:szCs w:val="21"/>
          <w:lang w:val="zh-CN"/>
        </w:rPr>
        <w:t>投标人免费提供技术支持热线电话，提供24小时服务热线电话</w:t>
      </w:r>
      <w:r w:rsidRPr="0019769C">
        <w:rPr>
          <w:rFonts w:ascii="宋体" w:hAnsi="宋体" w:cs="Arial" w:hint="eastAsia"/>
          <w:color w:val="0C0C0C"/>
          <w:szCs w:val="21"/>
        </w:rPr>
        <w:t>。在整个产品运行过程中，投标人帮助采购人解决在应用过程中遇到的各种技术问题。</w:t>
      </w:r>
    </w:p>
    <w:p w14:paraId="0AE2C05D" w14:textId="77777777" w:rsidR="00AF070E" w:rsidRPr="0019769C" w:rsidRDefault="00AF070E" w:rsidP="00AF070E">
      <w:pPr>
        <w:numPr>
          <w:ilvl w:val="0"/>
          <w:numId w:val="4"/>
        </w:numPr>
        <w:spacing w:afterLines="25" w:after="78" w:line="360" w:lineRule="auto"/>
        <w:ind w:left="0" w:firstLine="426"/>
        <w:jc w:val="left"/>
        <w:rPr>
          <w:rFonts w:ascii="宋体" w:hAnsi="宋体" w:cs="Arial" w:hint="eastAsia"/>
          <w:color w:val="0C0C0C"/>
          <w:szCs w:val="21"/>
        </w:rPr>
      </w:pPr>
      <w:r w:rsidRPr="0019769C">
        <w:rPr>
          <w:rFonts w:ascii="宋体" w:hAnsi="宋体" w:hint="eastAsia"/>
          <w:color w:val="0C0C0C"/>
          <w:kern w:val="0"/>
          <w:szCs w:val="21"/>
          <w:lang w:val="zh-CN"/>
        </w:rPr>
        <w:t>投标人提供该货物的技术使用说明书及外购配件说明书，并指导在使用该家具时的操作注意事项等。</w:t>
      </w:r>
    </w:p>
    <w:p w14:paraId="37FA6523" w14:textId="77777777" w:rsidR="00AF070E" w:rsidRPr="0019769C" w:rsidRDefault="00AF070E" w:rsidP="00AF070E">
      <w:pPr>
        <w:spacing w:after="160" w:line="360" w:lineRule="auto"/>
        <w:ind w:leftChars="201" w:left="709" w:hangingChars="136" w:hanging="287"/>
        <w:jc w:val="left"/>
        <w:rPr>
          <w:rFonts w:ascii="宋体" w:hAnsi="宋体" w:cs="宋体" w:hint="eastAsia"/>
          <w:kern w:val="0"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5、付款方式：</w:t>
      </w:r>
    </w:p>
    <w:p w14:paraId="1C06AFC8" w14:textId="77777777" w:rsidR="00AF070E" w:rsidRPr="0019769C" w:rsidRDefault="00AF070E" w:rsidP="00AF070E">
      <w:pPr>
        <w:numPr>
          <w:ilvl w:val="2"/>
          <w:numId w:val="5"/>
        </w:numPr>
        <w:spacing w:afterLines="25" w:after="78" w:line="360" w:lineRule="auto"/>
        <w:ind w:left="0" w:firstLine="426"/>
        <w:rPr>
          <w:rFonts w:ascii="宋体" w:hAnsi="宋体" w:hint="eastAsia"/>
          <w:color w:val="0C0C0C"/>
          <w:szCs w:val="21"/>
        </w:rPr>
      </w:pPr>
      <w:r w:rsidRPr="0019769C">
        <w:rPr>
          <w:rFonts w:ascii="宋体" w:hAnsi="宋体"/>
          <w:color w:val="0C0C0C"/>
          <w:szCs w:val="21"/>
        </w:rPr>
        <w:t>本项目付款共分</w:t>
      </w:r>
      <w:r w:rsidRPr="0019769C">
        <w:rPr>
          <w:rFonts w:ascii="宋体" w:hAnsi="宋体" w:hint="eastAsia"/>
          <w:color w:val="0C0C0C"/>
          <w:szCs w:val="21"/>
        </w:rPr>
        <w:t>一</w:t>
      </w:r>
      <w:r w:rsidRPr="0019769C">
        <w:rPr>
          <w:rFonts w:ascii="宋体" w:hAnsi="宋体"/>
          <w:color w:val="0C0C0C"/>
          <w:szCs w:val="21"/>
        </w:rPr>
        <w:t>期支付：</w:t>
      </w:r>
    </w:p>
    <w:p w14:paraId="47924ABF" w14:textId="77777777" w:rsidR="00AF070E" w:rsidRPr="0019769C" w:rsidRDefault="00AF070E" w:rsidP="00AF070E">
      <w:pPr>
        <w:numPr>
          <w:ilvl w:val="2"/>
          <w:numId w:val="5"/>
        </w:numPr>
        <w:spacing w:afterLines="25" w:after="78" w:line="360" w:lineRule="auto"/>
        <w:ind w:left="0" w:firstLine="426"/>
        <w:rPr>
          <w:rFonts w:ascii="宋体" w:hAnsi="宋体" w:hint="eastAsia"/>
          <w:color w:val="0C0C0C"/>
          <w:szCs w:val="21"/>
        </w:rPr>
      </w:pPr>
      <w:r w:rsidRPr="0019769C">
        <w:rPr>
          <w:rFonts w:ascii="宋体" w:hAnsi="宋体"/>
          <w:color w:val="0C0C0C"/>
          <w:szCs w:val="21"/>
        </w:rPr>
        <w:t>第一期：</w:t>
      </w:r>
      <w:r w:rsidRPr="0019769C">
        <w:rPr>
          <w:rFonts w:ascii="宋体" w:hAnsi="宋体" w:hint="eastAsia"/>
          <w:color w:val="0C0C0C"/>
          <w:szCs w:val="21"/>
        </w:rPr>
        <w:t>家具</w:t>
      </w:r>
      <w:r w:rsidRPr="0019769C">
        <w:rPr>
          <w:rFonts w:ascii="宋体" w:hAnsi="宋体" w:cs="宋体" w:hint="eastAsia"/>
          <w:color w:val="0C0C0C"/>
          <w:szCs w:val="21"/>
        </w:rPr>
        <w:t>送货交付到采购人指定国内位置后支付100%货款。</w:t>
      </w:r>
    </w:p>
    <w:p w14:paraId="524A58FA" w14:textId="77777777" w:rsidR="00AF070E" w:rsidRPr="0019769C" w:rsidRDefault="00AF070E" w:rsidP="00AF070E">
      <w:pPr>
        <w:numPr>
          <w:ilvl w:val="2"/>
          <w:numId w:val="5"/>
        </w:numPr>
        <w:spacing w:afterLines="25" w:after="78" w:line="360" w:lineRule="auto"/>
        <w:ind w:left="0" w:firstLine="426"/>
        <w:jc w:val="left"/>
        <w:rPr>
          <w:rFonts w:ascii="宋体" w:hAnsi="宋体" w:hint="eastAsia"/>
          <w:color w:val="0C0C0C"/>
          <w:szCs w:val="21"/>
        </w:rPr>
      </w:pPr>
      <w:r w:rsidRPr="0019769C">
        <w:rPr>
          <w:rFonts w:ascii="宋体" w:hAnsi="宋体" w:hint="eastAsia"/>
          <w:color w:val="0C0C0C"/>
          <w:szCs w:val="21"/>
        </w:rPr>
        <w:t>因甲方政府财务审批导致迟延支付的，</w:t>
      </w:r>
      <w:proofErr w:type="gramStart"/>
      <w:r w:rsidRPr="0019769C">
        <w:rPr>
          <w:rFonts w:ascii="宋体" w:hAnsi="宋体" w:hint="eastAsia"/>
          <w:color w:val="0C0C0C"/>
          <w:szCs w:val="21"/>
        </w:rPr>
        <w:t>不</w:t>
      </w:r>
      <w:proofErr w:type="gramEnd"/>
      <w:r w:rsidRPr="0019769C">
        <w:rPr>
          <w:rFonts w:ascii="宋体" w:hAnsi="宋体" w:hint="eastAsia"/>
          <w:color w:val="0C0C0C"/>
          <w:szCs w:val="21"/>
        </w:rPr>
        <w:t>视为甲方违约，甲方不承担任何责任。</w:t>
      </w:r>
      <w:r w:rsidRPr="0019769C">
        <w:rPr>
          <w:rFonts w:ascii="宋体" w:hAnsi="宋体" w:hint="eastAsia"/>
          <w:color w:val="0C0C0C"/>
          <w:szCs w:val="21"/>
        </w:rPr>
        <w:lastRenderedPageBreak/>
        <w:t>乙方为按约定提供等额有效发票的，甲方有权拒绝付款。</w:t>
      </w:r>
    </w:p>
    <w:p w14:paraId="094455A0" w14:textId="77777777" w:rsidR="00AF070E" w:rsidRPr="0019769C" w:rsidRDefault="00AF070E" w:rsidP="00AF070E">
      <w:pPr>
        <w:spacing w:after="160" w:line="360" w:lineRule="auto"/>
        <w:ind w:left="1" w:firstLineChars="200" w:firstLine="422"/>
        <w:jc w:val="left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6、报价要求：</w:t>
      </w:r>
      <w:r w:rsidRPr="0019769C">
        <w:rPr>
          <w:rFonts w:ascii="宋体" w:hAnsi="宋体" w:hint="eastAsia"/>
          <w:color w:val="0C0C0C"/>
          <w:szCs w:val="21"/>
        </w:rPr>
        <w:t>投标报价必须是人民币含税价（投标价包含所有费用，包含但不限于货物价格、税费、包装、运输、装卸、技术指导、培训、咨询、服务、验收合格交付使用之前以及技术和售后服务、质保期退运返修等其他所有费用）</w:t>
      </w:r>
      <w:r w:rsidRPr="0019769C">
        <w:rPr>
          <w:rFonts w:ascii="宋体" w:hAnsi="宋体" w:hint="eastAsia"/>
          <w:kern w:val="0"/>
          <w:szCs w:val="21"/>
        </w:rPr>
        <w:t>。</w:t>
      </w:r>
    </w:p>
    <w:p w14:paraId="1D9596B2" w14:textId="77777777" w:rsidR="00AF070E" w:rsidRPr="0019769C" w:rsidRDefault="00AF070E" w:rsidP="00AF070E">
      <w:pPr>
        <w:spacing w:after="160" w:line="360" w:lineRule="auto"/>
        <w:ind w:firstLineChars="200" w:firstLine="422"/>
        <w:jc w:val="left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7、</w:t>
      </w:r>
      <w:r w:rsidRPr="0019769C">
        <w:rPr>
          <w:rFonts w:ascii="宋体" w:hAnsi="宋体" w:hint="eastAsia"/>
          <w:b/>
          <w:color w:val="0C0C0C"/>
          <w:szCs w:val="21"/>
        </w:rPr>
        <w:t>安装、调试和验收</w:t>
      </w:r>
      <w:r w:rsidRPr="0019769C">
        <w:rPr>
          <w:rFonts w:ascii="宋体" w:hAnsi="宋体" w:cs="仿宋_GB2312" w:hint="eastAsia"/>
          <w:b/>
          <w:szCs w:val="21"/>
        </w:rPr>
        <w:t>：</w:t>
      </w:r>
    </w:p>
    <w:p w14:paraId="0EC2EDA7" w14:textId="77777777" w:rsidR="00AF070E" w:rsidRPr="0019769C" w:rsidRDefault="00AF070E" w:rsidP="00AF070E">
      <w:pPr>
        <w:numPr>
          <w:ilvl w:val="0"/>
          <w:numId w:val="6"/>
        </w:numPr>
        <w:spacing w:afterLines="25" w:after="78" w:line="360" w:lineRule="auto"/>
        <w:ind w:left="0" w:firstLine="426"/>
        <w:jc w:val="left"/>
        <w:rPr>
          <w:rFonts w:ascii="宋体" w:hAnsi="宋体" w:hint="eastAsia"/>
          <w:bCs/>
          <w:color w:val="0C0C0C"/>
          <w:szCs w:val="21"/>
        </w:rPr>
      </w:pPr>
      <w:r w:rsidRPr="0019769C">
        <w:rPr>
          <w:rFonts w:ascii="宋体" w:hAnsi="宋体" w:hint="eastAsia"/>
          <w:color w:val="0C0C0C"/>
          <w:kern w:val="0"/>
          <w:szCs w:val="21"/>
          <w:lang w:val="zh-CN"/>
        </w:rPr>
        <w:t>投标人</w:t>
      </w:r>
      <w:r w:rsidRPr="0019769C">
        <w:rPr>
          <w:rFonts w:ascii="宋体" w:hAnsi="宋体" w:hint="eastAsia"/>
          <w:bCs/>
          <w:color w:val="0C0C0C"/>
          <w:szCs w:val="21"/>
        </w:rPr>
        <w:t>货物经过双方检验认可后，签署验收报告，产品保修期自验收合格之日起算，由投标人提供产品保修文件。</w:t>
      </w:r>
    </w:p>
    <w:p w14:paraId="6723E1FA" w14:textId="77777777" w:rsidR="00AF070E" w:rsidRPr="0019769C" w:rsidRDefault="00AF070E" w:rsidP="00AF070E">
      <w:pPr>
        <w:numPr>
          <w:ilvl w:val="0"/>
          <w:numId w:val="6"/>
        </w:numPr>
        <w:spacing w:afterLines="25" w:after="78" w:line="360" w:lineRule="auto"/>
        <w:ind w:left="0" w:firstLine="426"/>
        <w:rPr>
          <w:rFonts w:ascii="宋体" w:hAnsi="宋体" w:hint="eastAsia"/>
          <w:bCs/>
          <w:color w:val="0C0C0C"/>
          <w:szCs w:val="21"/>
        </w:rPr>
      </w:pPr>
      <w:r w:rsidRPr="0019769C">
        <w:rPr>
          <w:rFonts w:ascii="宋体" w:hAnsi="宋体" w:hint="eastAsia"/>
          <w:bCs/>
          <w:color w:val="0C0C0C"/>
          <w:szCs w:val="21"/>
        </w:rPr>
        <w:t>如有国标，必须符合有关规定；如无国标，则按照行业标准；如无国标及行业标准，则按双方约定执行。投标文件提供的技术数据经实测证实是真实的。检验及质量保证期内达到的性能指标与要求一致，达到或优于相应标准。</w:t>
      </w:r>
    </w:p>
    <w:p w14:paraId="66A12A81" w14:textId="77777777" w:rsidR="00AF070E" w:rsidRPr="0019769C" w:rsidRDefault="00AF070E" w:rsidP="00AF070E">
      <w:pPr>
        <w:numPr>
          <w:ilvl w:val="0"/>
          <w:numId w:val="6"/>
        </w:numPr>
        <w:spacing w:afterLines="25" w:after="78" w:line="360" w:lineRule="auto"/>
        <w:ind w:firstLine="6"/>
        <w:rPr>
          <w:rFonts w:ascii="宋体" w:hAnsi="宋体" w:cs="Arial" w:hint="eastAsia"/>
          <w:color w:val="0C0C0C"/>
          <w:szCs w:val="21"/>
          <w:lang w:val="zh-CN"/>
        </w:rPr>
      </w:pPr>
      <w:r w:rsidRPr="0019769C">
        <w:rPr>
          <w:rFonts w:ascii="宋体" w:hAnsi="宋体" w:cs="Arial" w:hint="eastAsia"/>
          <w:color w:val="0C0C0C"/>
          <w:szCs w:val="21"/>
        </w:rPr>
        <w:t>当满足以下条件时，采购人才向</w:t>
      </w:r>
      <w:r w:rsidRPr="0019769C">
        <w:rPr>
          <w:rFonts w:ascii="宋体" w:hAnsi="宋体" w:cs="Arial" w:hint="eastAsia"/>
          <w:bCs/>
          <w:color w:val="0C0C0C"/>
          <w:kern w:val="0"/>
          <w:szCs w:val="21"/>
          <w:lang w:val="zh-CN"/>
        </w:rPr>
        <w:t>投标人</w:t>
      </w:r>
      <w:r w:rsidRPr="0019769C">
        <w:rPr>
          <w:rFonts w:ascii="宋体" w:hAnsi="宋体" w:cs="Arial" w:hint="eastAsia"/>
          <w:color w:val="0C0C0C"/>
          <w:szCs w:val="21"/>
        </w:rPr>
        <w:t>签发货物验收报告：</w:t>
      </w:r>
    </w:p>
    <w:p w14:paraId="4FE88C46" w14:textId="77777777" w:rsidR="00AF070E" w:rsidRPr="0019769C" w:rsidRDefault="00AF070E" w:rsidP="00AF070E">
      <w:pPr>
        <w:tabs>
          <w:tab w:val="left" w:pos="1260"/>
        </w:tabs>
        <w:spacing w:after="160" w:line="360" w:lineRule="auto"/>
        <w:ind w:firstLineChars="405" w:firstLine="850"/>
        <w:rPr>
          <w:rFonts w:ascii="宋体" w:hAnsi="宋体" w:hint="eastAsia"/>
          <w:bCs/>
          <w:color w:val="0C0C0C"/>
          <w:szCs w:val="21"/>
        </w:rPr>
      </w:pPr>
      <w:r w:rsidRPr="0019769C">
        <w:rPr>
          <w:rFonts w:ascii="宋体" w:hAnsi="宋体" w:hint="eastAsia"/>
          <w:bCs/>
          <w:color w:val="0C0C0C"/>
          <w:szCs w:val="21"/>
        </w:rPr>
        <w:t>a、</w:t>
      </w:r>
      <w:r w:rsidRPr="0019769C">
        <w:rPr>
          <w:rFonts w:ascii="宋体" w:hAnsi="宋体" w:hint="eastAsia"/>
          <w:color w:val="0C0C0C"/>
          <w:kern w:val="0"/>
          <w:szCs w:val="21"/>
          <w:lang w:val="zh-CN"/>
        </w:rPr>
        <w:t>投标人</w:t>
      </w:r>
      <w:r w:rsidRPr="0019769C">
        <w:rPr>
          <w:rFonts w:ascii="宋体" w:hAnsi="宋体" w:hint="eastAsia"/>
          <w:bCs/>
          <w:color w:val="0C0C0C"/>
          <w:szCs w:val="21"/>
        </w:rPr>
        <w:t>已按照合同规定提供了全部产品及完整的技术资料。</w:t>
      </w:r>
    </w:p>
    <w:p w14:paraId="275A4B79" w14:textId="77777777" w:rsidR="00AF070E" w:rsidRPr="0019769C" w:rsidRDefault="00AF070E" w:rsidP="00AF070E">
      <w:pPr>
        <w:tabs>
          <w:tab w:val="left" w:pos="1260"/>
        </w:tabs>
        <w:spacing w:after="160" w:line="360" w:lineRule="auto"/>
        <w:ind w:firstLineChars="405" w:firstLine="850"/>
        <w:rPr>
          <w:rFonts w:ascii="宋体" w:hAnsi="宋体" w:hint="eastAsia"/>
          <w:bCs/>
          <w:color w:val="0C0C0C"/>
          <w:szCs w:val="21"/>
        </w:rPr>
      </w:pPr>
      <w:r w:rsidRPr="0019769C">
        <w:rPr>
          <w:rFonts w:ascii="宋体" w:hAnsi="宋体" w:hint="eastAsia"/>
          <w:bCs/>
          <w:color w:val="0C0C0C"/>
          <w:szCs w:val="21"/>
        </w:rPr>
        <w:t>b、货物符合招标文件技术规格书的要求，性能满足要求。</w:t>
      </w:r>
    </w:p>
    <w:p w14:paraId="4E0E25F7" w14:textId="77777777" w:rsidR="00AF070E" w:rsidRPr="0019769C" w:rsidRDefault="00AF070E" w:rsidP="00AF070E">
      <w:pPr>
        <w:spacing w:after="160" w:line="360" w:lineRule="auto"/>
        <w:ind w:firstLineChars="405" w:firstLine="850"/>
        <w:rPr>
          <w:rFonts w:ascii="宋体" w:hAnsi="宋体" w:cs="Arial" w:hint="eastAsia"/>
          <w:color w:val="0C0C0C"/>
          <w:szCs w:val="21"/>
          <w:lang w:val="zh-CN"/>
        </w:rPr>
      </w:pPr>
      <w:r w:rsidRPr="0019769C">
        <w:rPr>
          <w:rFonts w:ascii="宋体" w:hAnsi="宋体" w:hint="eastAsia"/>
          <w:bCs/>
          <w:color w:val="0C0C0C"/>
          <w:szCs w:val="21"/>
        </w:rPr>
        <w:t>c、货物具备产品合格证。</w:t>
      </w:r>
    </w:p>
    <w:p w14:paraId="0FD359BD" w14:textId="77777777" w:rsidR="00AF070E" w:rsidRPr="0019769C" w:rsidRDefault="00AF070E" w:rsidP="00AF070E">
      <w:pPr>
        <w:spacing w:after="160" w:line="360" w:lineRule="auto"/>
        <w:ind w:firstLineChars="201" w:firstLine="424"/>
        <w:jc w:val="left"/>
        <w:rPr>
          <w:rFonts w:ascii="宋体" w:hAnsi="宋体" w:cs="仿宋_GB2312" w:hint="eastAsia"/>
          <w:b/>
          <w:szCs w:val="21"/>
        </w:rPr>
      </w:pPr>
      <w:r w:rsidRPr="0019769C">
        <w:rPr>
          <w:rFonts w:ascii="宋体" w:hAnsi="宋体" w:cs="仿宋_GB2312" w:hint="eastAsia"/>
          <w:b/>
          <w:szCs w:val="21"/>
        </w:rPr>
        <w:t>8、</w:t>
      </w:r>
      <w:r w:rsidRPr="0019769C">
        <w:rPr>
          <w:rFonts w:ascii="宋体" w:hAnsi="宋体" w:hint="eastAsia"/>
          <w:b/>
          <w:color w:val="0C0C0C"/>
          <w:szCs w:val="21"/>
        </w:rPr>
        <w:t>关于违约</w:t>
      </w:r>
      <w:r w:rsidRPr="0019769C">
        <w:rPr>
          <w:rFonts w:ascii="宋体" w:hAnsi="宋体" w:cs="仿宋_GB2312" w:hint="eastAsia"/>
          <w:b/>
          <w:szCs w:val="21"/>
        </w:rPr>
        <w:t>：</w:t>
      </w:r>
    </w:p>
    <w:p w14:paraId="3A265571" w14:textId="77777777" w:rsidR="00AF070E" w:rsidRPr="0019769C" w:rsidRDefault="00AF070E" w:rsidP="00AF070E">
      <w:pPr>
        <w:numPr>
          <w:ilvl w:val="0"/>
          <w:numId w:val="7"/>
        </w:numPr>
        <w:spacing w:afterLines="25" w:after="78" w:line="360" w:lineRule="auto"/>
        <w:ind w:left="0" w:firstLine="426"/>
        <w:rPr>
          <w:rFonts w:ascii="Arial" w:hAnsi="Arial" w:cs="Arial"/>
          <w:bCs/>
          <w:szCs w:val="24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中标人不能交货的，需偿付不能交货部分货款的20%的违约金并按主管部门相关规定处理。</w:t>
      </w:r>
    </w:p>
    <w:p w14:paraId="6BA8A937" w14:textId="77777777" w:rsidR="00AF070E" w:rsidRPr="0019769C" w:rsidRDefault="00AF070E" w:rsidP="00AF070E">
      <w:pPr>
        <w:numPr>
          <w:ilvl w:val="0"/>
          <w:numId w:val="7"/>
        </w:numPr>
        <w:spacing w:afterLines="25" w:after="78" w:line="360" w:lineRule="auto"/>
        <w:ind w:left="0" w:firstLine="426"/>
        <w:rPr>
          <w:rFonts w:ascii="Arial" w:hAnsi="Arial" w:cs="Arial"/>
          <w:bCs/>
          <w:szCs w:val="24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中标人逾期交货的，将被没收履约保证金并按主管部门相关规定处理。</w:t>
      </w:r>
    </w:p>
    <w:p w14:paraId="407082AA" w14:textId="77777777" w:rsidR="00AF070E" w:rsidRPr="0019769C" w:rsidRDefault="00AF070E" w:rsidP="00AF070E">
      <w:pPr>
        <w:numPr>
          <w:ilvl w:val="0"/>
          <w:numId w:val="7"/>
        </w:numPr>
        <w:spacing w:afterLines="25" w:after="78" w:line="360" w:lineRule="auto"/>
        <w:ind w:left="0" w:firstLine="426"/>
        <w:rPr>
          <w:rFonts w:ascii="宋体" w:hAnsi="宋体" w:cs="Arial" w:hint="eastAsia"/>
          <w:bCs/>
          <w:color w:val="0C0C0C"/>
          <w:szCs w:val="21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中标人所交付产品、工程或服务不符合其投标承诺的，或在投标阶段为了中标而盲目虚假承诺、低价恶性竞争，在履约阶段则通过偷工减料、以次充好而获取利润的，将被没收履约保证金，并</w:t>
      </w:r>
      <w:proofErr w:type="gramStart"/>
      <w:r w:rsidRPr="0019769C">
        <w:rPr>
          <w:rFonts w:ascii="宋体" w:hAnsi="宋体" w:cs="Arial" w:hint="eastAsia"/>
          <w:bCs/>
          <w:color w:val="0C0C0C"/>
          <w:szCs w:val="21"/>
        </w:rPr>
        <w:t>被履约评价</w:t>
      </w:r>
      <w:proofErr w:type="gramEnd"/>
      <w:r w:rsidRPr="0019769C">
        <w:rPr>
          <w:rFonts w:ascii="宋体" w:hAnsi="宋体" w:cs="Arial" w:hint="eastAsia"/>
          <w:bCs/>
          <w:color w:val="0C0C0C"/>
          <w:szCs w:val="21"/>
        </w:rPr>
        <w:t>工作实施机构评为履约等级“差”并按主管部门相关规定处理。</w:t>
      </w:r>
    </w:p>
    <w:p w14:paraId="37518BF3" w14:textId="77777777" w:rsidR="00AF070E" w:rsidRPr="0019769C" w:rsidRDefault="00AF070E" w:rsidP="00AF070E">
      <w:pPr>
        <w:numPr>
          <w:ilvl w:val="0"/>
          <w:numId w:val="7"/>
        </w:numPr>
        <w:spacing w:afterLines="25" w:after="78" w:line="360" w:lineRule="auto"/>
        <w:ind w:left="0" w:firstLine="426"/>
        <w:rPr>
          <w:rFonts w:ascii="宋体" w:hAnsi="宋体" w:cs="Arial" w:hint="eastAsia"/>
          <w:bCs/>
          <w:color w:val="0C0C0C"/>
          <w:szCs w:val="21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对中标人供应货物进行抽查检验，如有假冒伪劣产品采购单位有权退货同时解除合同，中标人应承担所有责任。</w:t>
      </w:r>
    </w:p>
    <w:p w14:paraId="4E72BB19" w14:textId="77777777" w:rsidR="00AF070E" w:rsidRPr="0019769C" w:rsidRDefault="00AF070E" w:rsidP="00AF070E">
      <w:pPr>
        <w:numPr>
          <w:ilvl w:val="0"/>
          <w:numId w:val="7"/>
        </w:numPr>
        <w:spacing w:afterLines="25" w:after="78" w:line="360" w:lineRule="auto"/>
        <w:ind w:left="0" w:firstLine="426"/>
        <w:rPr>
          <w:rFonts w:ascii="宋体" w:hAnsi="宋体" w:cs="Arial" w:hint="eastAsia"/>
          <w:bCs/>
          <w:color w:val="0C0C0C"/>
          <w:szCs w:val="21"/>
        </w:rPr>
      </w:pPr>
      <w:r w:rsidRPr="0019769C">
        <w:rPr>
          <w:rFonts w:ascii="宋体" w:hAnsi="宋体" w:cs="Arial" w:hint="eastAsia"/>
          <w:bCs/>
          <w:color w:val="0C0C0C"/>
          <w:szCs w:val="21"/>
        </w:rPr>
        <w:t>由于运输造成的货品问题由中标人负责，损失由中标人承担。</w:t>
      </w:r>
    </w:p>
    <w:p w14:paraId="22809569" w14:textId="77777777" w:rsidR="00AF070E" w:rsidRPr="0019769C" w:rsidRDefault="00AF070E" w:rsidP="00AF070E">
      <w:pPr>
        <w:spacing w:after="160" w:line="360" w:lineRule="auto"/>
        <w:ind w:firstLineChars="201" w:firstLine="424"/>
        <w:jc w:val="left"/>
        <w:rPr>
          <w:rFonts w:ascii="宋体" w:hAnsi="宋体" w:hint="eastAsia"/>
          <w:b/>
          <w:color w:val="0C0C0C"/>
          <w:szCs w:val="21"/>
        </w:rPr>
      </w:pPr>
      <w:r w:rsidRPr="0019769C">
        <w:rPr>
          <w:rFonts w:ascii="宋体" w:hAnsi="宋体" w:hint="eastAsia"/>
          <w:b/>
          <w:color w:val="0C0C0C"/>
          <w:szCs w:val="21"/>
        </w:rPr>
        <w:t>9、</w:t>
      </w:r>
      <w:r w:rsidRPr="0019769C">
        <w:rPr>
          <w:rFonts w:ascii="宋体" w:hAnsi="宋体" w:hint="eastAsia"/>
          <w:b/>
          <w:bCs/>
          <w:color w:val="0C0C0C"/>
          <w:szCs w:val="21"/>
        </w:rPr>
        <w:t>关于质量及知识产权要求</w:t>
      </w:r>
      <w:r w:rsidRPr="0019769C">
        <w:rPr>
          <w:rFonts w:ascii="宋体" w:hAnsi="宋体" w:hint="eastAsia"/>
          <w:b/>
          <w:color w:val="0C0C0C"/>
          <w:szCs w:val="21"/>
        </w:rPr>
        <w:t>：</w:t>
      </w:r>
    </w:p>
    <w:p w14:paraId="39F0A321" w14:textId="77777777" w:rsidR="00AF070E" w:rsidRPr="0019769C" w:rsidRDefault="00AF070E" w:rsidP="00AF070E">
      <w:pPr>
        <w:numPr>
          <w:ilvl w:val="0"/>
          <w:numId w:val="8"/>
        </w:numPr>
        <w:spacing w:afterLines="25" w:after="78" w:line="360" w:lineRule="auto"/>
        <w:ind w:left="0" w:firstLine="426"/>
        <w:rPr>
          <w:rFonts w:ascii="宋体" w:hAnsi="宋体" w:cs="Arial" w:hint="eastAsia"/>
          <w:color w:val="000000"/>
          <w:szCs w:val="21"/>
        </w:rPr>
      </w:pPr>
      <w:r w:rsidRPr="0019769C">
        <w:rPr>
          <w:rFonts w:ascii="宋体" w:hAnsi="宋体" w:cs="Arial" w:hint="eastAsia"/>
          <w:color w:val="0C0C0C"/>
          <w:szCs w:val="21"/>
        </w:rPr>
        <w:t>产品符合国家质量检测标</w:t>
      </w:r>
      <w:r w:rsidRPr="0019769C">
        <w:rPr>
          <w:rFonts w:ascii="宋体" w:hAnsi="宋体" w:cs="Arial" w:hint="eastAsia"/>
          <w:color w:val="000000"/>
          <w:szCs w:val="21"/>
        </w:rPr>
        <w:t>准，必须具有生产日期、厂名、厂址等信息。</w:t>
      </w:r>
    </w:p>
    <w:p w14:paraId="5FAEF57D" w14:textId="77777777" w:rsidR="00AF070E" w:rsidRPr="0019769C" w:rsidRDefault="00AF070E" w:rsidP="00AF070E">
      <w:pPr>
        <w:numPr>
          <w:ilvl w:val="0"/>
          <w:numId w:val="8"/>
        </w:numPr>
        <w:spacing w:afterLines="25" w:after="78" w:line="360" w:lineRule="auto"/>
        <w:ind w:left="0" w:firstLine="426"/>
        <w:rPr>
          <w:rFonts w:ascii="宋体" w:hAnsi="宋体" w:cs="Arial" w:hint="eastAsia"/>
          <w:color w:val="000000"/>
          <w:szCs w:val="21"/>
        </w:rPr>
      </w:pPr>
      <w:r w:rsidRPr="0019769C">
        <w:rPr>
          <w:rFonts w:ascii="宋体" w:hAnsi="宋体" w:hint="eastAsia"/>
          <w:color w:val="0C0C0C"/>
          <w:szCs w:val="21"/>
        </w:rPr>
        <w:lastRenderedPageBreak/>
        <w:t>采购人在中国使用该货物或货物的任何一部分时，免受第三方提出的侵犯其专利权、商标权或工业设计权等知识产权的起诉或司法干预。如果发生上述起诉或干预，则其法律责任均由中标人负责。</w:t>
      </w:r>
    </w:p>
    <w:p w14:paraId="560CA7B5" w14:textId="77777777" w:rsidR="00AF070E" w:rsidRDefault="00AF070E" w:rsidP="00AF070E">
      <w:pPr>
        <w:pStyle w:val="BodyText"/>
        <w:spacing w:line="360" w:lineRule="auto"/>
        <w:ind w:firstLineChars="201" w:firstLine="424"/>
        <w:rPr>
          <w:rFonts w:ascii="宋体" w:hAnsi="宋体"/>
          <w:b/>
          <w:color w:val="FF0000"/>
          <w:szCs w:val="24"/>
        </w:rPr>
      </w:pPr>
      <w:r w:rsidRPr="0019769C">
        <w:rPr>
          <w:rFonts w:ascii="宋体" w:hAnsi="宋体" w:hint="eastAsia"/>
          <w:b/>
          <w:color w:val="FF0000"/>
          <w:szCs w:val="24"/>
        </w:rPr>
        <w:t>注：带“★”项为不可负偏离项，有一项负偏离即导致投标无效。是否响应以《商务条款响应表》“投标承诺”栏填写为准。</w:t>
      </w:r>
    </w:p>
    <w:p w14:paraId="3E8AA8CA" w14:textId="77777777" w:rsidR="00AF070E" w:rsidRDefault="00AF070E" w:rsidP="00AF070E">
      <w:pPr>
        <w:pStyle w:val="BodyText"/>
        <w:spacing w:line="360" w:lineRule="auto"/>
        <w:ind w:firstLineChars="201" w:firstLine="424"/>
        <w:rPr>
          <w:rFonts w:ascii="宋体" w:hAnsi="宋体"/>
          <w:b/>
          <w:color w:val="FF0000"/>
          <w:szCs w:val="24"/>
        </w:rPr>
      </w:pPr>
    </w:p>
    <w:p w14:paraId="687A25A5" w14:textId="77777777" w:rsidR="00AF070E" w:rsidRDefault="00AF070E" w:rsidP="00AF070E">
      <w:pPr>
        <w:pStyle w:val="BodyText"/>
        <w:spacing w:line="360" w:lineRule="auto"/>
        <w:ind w:firstLineChars="201" w:firstLine="424"/>
        <w:rPr>
          <w:rFonts w:ascii="宋体" w:hAnsi="宋体"/>
          <w:b/>
          <w:color w:val="FF0000"/>
          <w:szCs w:val="24"/>
        </w:rPr>
      </w:pPr>
    </w:p>
    <w:p w14:paraId="31032A19" w14:textId="77777777" w:rsidR="00AF070E" w:rsidRDefault="00AF070E" w:rsidP="00AF070E">
      <w:pPr>
        <w:adjustRightInd w:val="0"/>
        <w:snapToGrid w:val="0"/>
        <w:spacing w:line="360" w:lineRule="auto"/>
        <w:ind w:firstLineChars="200" w:firstLine="422"/>
        <w:rPr>
          <w:rFonts w:ascii="宋体" w:hAnsi="宋体" w:cs="仿宋_GB2312" w:hint="eastAsia"/>
          <w:b/>
          <w:szCs w:val="21"/>
        </w:rPr>
      </w:pPr>
      <w:r>
        <w:rPr>
          <w:rFonts w:ascii="宋体" w:hAnsi="宋体" w:cs="仿宋_GB2312" w:hint="eastAsia"/>
          <w:b/>
          <w:szCs w:val="21"/>
        </w:rPr>
        <w:t>二、采购清单及技术要求</w:t>
      </w:r>
      <w:r>
        <w:rPr>
          <w:rFonts w:cs="仿宋_GB2312"/>
          <w:b/>
        </w:rPr>
        <w:t>（</w:t>
      </w:r>
      <w:r>
        <w:rPr>
          <w:rFonts w:ascii="宋体" w:hAnsi="宋体" w:cs="仿宋_GB2312" w:hint="eastAsia"/>
          <w:b/>
          <w:szCs w:val="21"/>
        </w:rPr>
        <w:t>说明：本项目为竞争性谈判项目，以下技术要求为本项目的基本要求，供应商投标承诺应该承诺完全响应。</w:t>
      </w:r>
      <w:r>
        <w:rPr>
          <w:rFonts w:cs="仿宋_GB2312"/>
          <w:b/>
        </w:rPr>
        <w:t>）</w:t>
      </w:r>
    </w:p>
    <w:tbl>
      <w:tblPr>
        <w:tblW w:w="947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532"/>
        <w:gridCol w:w="2946"/>
        <w:gridCol w:w="1710"/>
        <w:gridCol w:w="2203"/>
        <w:gridCol w:w="543"/>
        <w:gridCol w:w="567"/>
        <w:gridCol w:w="501"/>
      </w:tblGrid>
      <w:tr w:rsidR="00AF070E" w:rsidRPr="009F5666" w14:paraId="7B9A2F15" w14:textId="77777777" w:rsidTr="008B254E">
        <w:trPr>
          <w:trHeight w:val="6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BDEC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F37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987B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产品图片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A3BC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规格（mm）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6991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材质工艺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CCB3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颜色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AD8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8D87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AF070E" w:rsidRPr="009F5666" w14:paraId="7418F18E" w14:textId="77777777" w:rsidTr="008B254E">
        <w:trPr>
          <w:trHeight w:val="30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D3DED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8C5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折叠条桌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6D8C" w14:textId="1A2294D4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7E45219E" wp14:editId="4BB5D7BF">
                  <wp:extent cx="1704975" cy="1647825"/>
                  <wp:effectExtent l="0" t="0" r="9525" b="9525"/>
                  <wp:docPr id="214073255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07770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1200*550*750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2ECE3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1、基材：三聚氰胺饰面人造板，符合GB/T 15102-2017浸渍胶膜纸饰面纤维板和刨花板标准要求，其中甲醛释放量≤0.124mg/m³。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2、封边：采用PVC同色封边（或采用ABS近色激光封边），符合QB/T 4463-2013技术要求。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3、桌架：优质钢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制桌架，桌架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壁厚不应小于1.2mm，经酸洗、磷化除锈后静电喷塑等工艺处理，符合QB/T 4767-2014家具用钢构件或GB/T 3325-2017金属家具通用技术条件标准要求。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4、功能：带脚轮、轮子带锁定功能，桌板可翻叠。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5、产品成品：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整体需均符合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3325-2017《金属家具通用技术条件》标准要求、甲醛释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放量符合GB18580标准要求、重金属符合GB18584标准规定，并符合GB/T35607-2017《绿色产品评价 家具》品质属性/产品有害物质标准要求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9B3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白色台面，白色折叠钢架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CF276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40CE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  <w:tr w:rsidR="00AF070E" w:rsidRPr="009F5666" w14:paraId="2EC01F57" w14:textId="77777777" w:rsidTr="008B254E">
        <w:trPr>
          <w:trHeight w:val="30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7C2CD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3A2A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内折叠会议桌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5BA9" w14:textId="1E0DC76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3D27AC79" wp14:editId="19138CD0">
                  <wp:extent cx="1114425" cy="1752600"/>
                  <wp:effectExtent l="0" t="0" r="9525" b="0"/>
                  <wp:docPr id="91698086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4CB9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2800*1000*750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FF18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1、基材：三聚氰胺饰面人造板，符合GB/T 15102-2017浸渍胶膜纸饰面纤维板和刨花板标准要求，其中甲醛释放量≤0.124mg/m³。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2、封边：采用PVC同色封边（或采用ABS近色激光封边），符合QB/T 4463-2013技术要求。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3、桌架：优质钢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制桌架，桌架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壁厚不应小于1.2mm，经酸洗、磷化除锈后静电喷塑等工艺处理，符合QB/T 4767-2014家具用钢构件或GB/T 3325-2017金属家具通用技术条件标准要求。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4、功能：带脚轮、轮子带锁定功能，桌板可翻叠。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5、产品成品：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整体需均符合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3325-2017《金属家具通用技术条件》标准要求、甲醛释放量符合GB18580标准要求、重金属符合GB18584标准规定，并符合GB/T35607-2017《绿色产品评价 家具》品质属性/产品有害物质标准要求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03CD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白色台面，黑色内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收钢脚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29F46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0511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  <w:tr w:rsidR="00AF070E" w:rsidRPr="009F5666" w14:paraId="637F2B79" w14:textId="77777777" w:rsidTr="008B254E">
        <w:trPr>
          <w:trHeight w:val="19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F0EFF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FD90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培训椅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6E9A" w14:textId="36F55584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36108463" wp14:editId="4E83F25A">
                  <wp:extent cx="1266825" cy="1685925"/>
                  <wp:effectExtent l="0" t="0" r="9525" b="9525"/>
                  <wp:docPr id="38512926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FC5D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3D45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1、饰面：椅座采用优质麻绒面料，椅背采用优质网布，符合GB 18401-2010国家纺织产品基本安全技术规范要求。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2、海绵：优质回弹海绵，符合GB/T10802-2006标准要求。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3、胶粘剂：采用水基型胶粘剂, 符合GB18583-2008室内装饰装修材料胶粘剂中有害物质限量标准要求，其中总挥发性有机物含量≤110g/L，游离甲醛≤1g/kg。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4、成型胶合板：采用环保成型胶合板，符合GB/T 22350-2017成型胶合板标准或者GB/T 9846-2015普通胶合板标准，符合GB 18580-2017室内装饰装修材料人造板及其制品中甲醛释放限量标准，其中甲醛释放量≤0.124mg/m³。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5、椅架：优质钢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制椅架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，壁厚≥1.5mm，静电喷塑处理。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6、功能要求：带合成尼龙纤维树脂材料制成椅轮，可推叠。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7、产品成品：整体需符合QB/T4458-2013折叠椅 标准要求。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76D4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黑色麻绒坐垫，白色塑胶靠背，可堆叠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57908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170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15D4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  <w:tr w:rsidR="00AF070E" w:rsidRPr="009F5666" w14:paraId="27556201" w14:textId="77777777" w:rsidTr="008B254E">
        <w:trPr>
          <w:trHeight w:val="30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3A969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DC91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椅子推车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5BBA" w14:textId="1146AD35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32B3890E" wp14:editId="7C8B9100">
                  <wp:extent cx="1047750" cy="1581150"/>
                  <wp:effectExtent l="0" t="0" r="0" b="0"/>
                  <wp:docPr id="212183449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B91F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D034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制桌架，桌架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壁厚不应小于1.2mm，经酸洗、磷化除锈后静电喷塑等工艺处理，符合QB/T 4767-2014家具用钢构件或GB/T 3325-2017金属家具通用技术条件标准要求。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0AC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银色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30409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76EF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  <w:tr w:rsidR="00AF070E" w:rsidRPr="009F5666" w14:paraId="1DCCDA60" w14:textId="77777777" w:rsidTr="008B254E">
        <w:trPr>
          <w:trHeight w:val="30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D762A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ECC4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演讲台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A0E4B" w14:textId="07F2844F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2C9DB5AE" wp14:editId="30ECCFF4">
                  <wp:extent cx="1000125" cy="1495425"/>
                  <wp:effectExtent l="0" t="0" r="9525" b="9525"/>
                  <wp:docPr id="145693129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2D16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76AA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1、基材：采用优质环保中密度纤维板及刨花板，符合GB/T 11718-2021中密度纤维板，符合GB/T 4897-2015刨花板，符合GB 18580-2017室内装饰装修材料人造板及其制品中甲醛释放限量标准，其中甲醛释放量≤0.124mg/m³。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2、面材：采用优质天然木皮，符合GB/T 13010-2020木材工业用单板标准要求，木皮厚度≥0.6mm。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3、水性漆：采用优质环保水性漆，密闭涂饰，符合GB 18581-2020 木器涂料中有害物质限量标准，其中挥发性有机化合物含量≤300g/L，游离甲醛含量≤100mg/kg。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4、胶粘剂：采用水基型胶粘剂, 符合GB 18583-2008室内装饰装修材料胶粘剂中有害物质限量标准要求，其中总挥发性有机物含量≤110g/L，游离甲醛≤1g/kg。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5、实木封边：使用与木皮材质一致的实木封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边，封边条厚度≥1.0mm，符合QB/T 4463-2013 家具用封边条技术要求。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6、功能要求：演讲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台含走线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功能，配合甲方开孔或预留连接线孔（不含多媒体设备）。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7、产品成品：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整体需均符合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3324-2017《木家具通用技术条件》标准要求、GB 18584-2001《室内装饰装修材料木家具中有害物质限量》安全性要求/产品有害物质限量标准要求及GB/T35607-2017《绿色产品评价 家具》品质属性/产品有害物质标准要求。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312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胡桃木色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84D08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F7A8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AF070E" w:rsidRPr="009F5666" w14:paraId="7ECC9605" w14:textId="77777777" w:rsidTr="008B254E">
        <w:trPr>
          <w:trHeight w:val="142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24F65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AA36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升降移动演讲台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AF42" w14:textId="1AA94689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394F94A6" wp14:editId="394156BC">
                  <wp:extent cx="1247775" cy="1638300"/>
                  <wp:effectExtent l="0" t="0" r="9525" b="0"/>
                  <wp:docPr id="7353848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686B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720*580*710-1100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AADC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1、基材：三聚氰胺饰面人造板，符合GB/T 15102-2017浸渍胶膜纸饰面纤维板和刨花板标准要求，其中甲醛释放量≤0.124mg/m³。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2、封边：采用PVC同色封边（或采用ABS近色激光封边），符合QB/T 4463-2013技术要求。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3、桌架：优质钢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制桌架，桌架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壁厚不应小于1.2mm，经酸洗、磷化除锈后静电喷塑等工艺处理，符合QB/T 4767-2014家具用钢构件或GB/T 3325-2017金属家具通用技术条件标准要求。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4、产品成品：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整体需均符合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3325-2017《金属家具通用技术条件》标准要求、甲醛释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放量符合GB18580标准要求、重金属符合GB18584标准规定，并符合GB/T35607-2017《绿色产品评价 家具》品质属性/产品有害物质标准要求。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39989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枫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木纹色台面，月光白色钢架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C78F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618F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AF070E" w:rsidRPr="009F5666" w14:paraId="0607E12A" w14:textId="77777777" w:rsidTr="008B254E">
        <w:trPr>
          <w:trHeight w:val="30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44451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8CB2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折叠圆桌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B8E7D" w14:textId="468EBD2C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 w:rsidRPr="007C3144">
              <w:rPr>
                <w:noProof/>
              </w:rPr>
              <w:drawing>
                <wp:inline distT="0" distB="0" distL="0" distR="0" wp14:anchorId="3D06863D" wp14:editId="53E30048">
                  <wp:extent cx="1724025" cy="1676400"/>
                  <wp:effectExtent l="0" t="0" r="9525" b="0"/>
                  <wp:docPr id="3151083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14C6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D2000*750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AEB7" w14:textId="77777777" w:rsidR="00AF070E" w:rsidRPr="009F5666" w:rsidRDefault="00AF070E" w:rsidP="008B254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1、基材：三聚氰胺饰面人造板，符合GB/T 15102-2017浸渍胶膜纸饰面纤维板和刨花板标准要求，其中甲醛释放量≤0.124mg/m³。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2、封边：采用PVC同色封边（或采用ABS近色激光封边），符合QB/T 4463-2013技术要求。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3、五金件：采用优质五金件。 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4、桌架：优质钢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制桌架，桌架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壁厚不应小于1.2mm，经酸洗、磷化除锈后静电喷塑等工艺处理，符合QB/T 4767-2014家具用钢构件或GB/T 3325-2017金属家具通用技术条件标准要求。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5、功能：含手动钢化玻璃转盘。</w:t>
            </w: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6、产品成品：</w:t>
            </w:r>
            <w:proofErr w:type="gramStart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整体需均符合</w:t>
            </w:r>
            <w:proofErr w:type="gramEnd"/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24821-2009 《餐桌餐椅》标准要求、GB 18584-2001《室内装饰装修材料木家具中有害物质限量》安全性要求/产品有害物质限量标准要求及GB/T35607-2017《绿色产品评价 家具》品质属性/产品有害物质标准要求。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AAEC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白色台面黑色钢架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81718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DB32" w14:textId="77777777" w:rsidR="00AF070E" w:rsidRPr="009F5666" w:rsidRDefault="00AF070E" w:rsidP="008B25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F5666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</w:tr>
    </w:tbl>
    <w:p w14:paraId="7755AD1F" w14:textId="77777777" w:rsidR="00AF070E" w:rsidRDefault="00AF070E" w:rsidP="00AF070E">
      <w:pPr>
        <w:pStyle w:val="BodyText"/>
      </w:pPr>
    </w:p>
    <w:p w14:paraId="3D103FB3" w14:textId="77777777" w:rsidR="00C23187" w:rsidRDefault="00C23187">
      <w:pPr>
        <w:rPr>
          <w:rFonts w:hint="eastAsia"/>
        </w:rPr>
      </w:pPr>
    </w:p>
    <w:sectPr w:rsidR="00C2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2DDD" w14:textId="77777777" w:rsidR="00F65CB4" w:rsidRDefault="00F65CB4" w:rsidP="00AF070E">
      <w:pPr>
        <w:rPr>
          <w:rFonts w:hint="eastAsia"/>
        </w:rPr>
      </w:pPr>
      <w:r>
        <w:separator/>
      </w:r>
    </w:p>
  </w:endnote>
  <w:endnote w:type="continuationSeparator" w:id="0">
    <w:p w14:paraId="0ACD242A" w14:textId="77777777" w:rsidR="00F65CB4" w:rsidRDefault="00F65CB4" w:rsidP="00AF07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6829" w14:textId="77777777" w:rsidR="00F65CB4" w:rsidRDefault="00F65CB4" w:rsidP="00AF070E">
      <w:pPr>
        <w:rPr>
          <w:rFonts w:hint="eastAsia"/>
        </w:rPr>
      </w:pPr>
      <w:r>
        <w:separator/>
      </w:r>
    </w:p>
  </w:footnote>
  <w:footnote w:type="continuationSeparator" w:id="0">
    <w:p w14:paraId="0D6575CD" w14:textId="77777777" w:rsidR="00F65CB4" w:rsidRDefault="00F65CB4" w:rsidP="00AF07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F7E"/>
    <w:multiLevelType w:val="multilevel"/>
    <w:tmpl w:val="0D6A3F7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D2646"/>
    <w:multiLevelType w:val="multilevel"/>
    <w:tmpl w:val="0F0D2646"/>
    <w:lvl w:ilvl="0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18CA259C"/>
    <w:multiLevelType w:val="multilevel"/>
    <w:tmpl w:val="18CA259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EE5722"/>
    <w:multiLevelType w:val="hybridMultilevel"/>
    <w:tmpl w:val="3224E2BA"/>
    <w:lvl w:ilvl="0" w:tplc="8AFA22E4">
      <w:start w:val="3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EFF0BDB"/>
    <w:multiLevelType w:val="multilevel"/>
    <w:tmpl w:val="3EFF0BD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087FBA"/>
    <w:multiLevelType w:val="multilevel"/>
    <w:tmpl w:val="5B087F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AD3032"/>
    <w:multiLevelType w:val="multilevel"/>
    <w:tmpl w:val="63AD3032"/>
    <w:lvl w:ilvl="0">
      <w:start w:val="1"/>
      <w:numFmt w:val="decimal"/>
      <w:lvlText w:val="%1)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  <w:color w:val="00000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BD765D"/>
    <w:multiLevelType w:val="multilevel"/>
    <w:tmpl w:val="68BD765D"/>
    <w:lvl w:ilvl="0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8F77DA"/>
    <w:multiLevelType w:val="multilevel"/>
    <w:tmpl w:val="738F77D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26731344">
    <w:abstractNumId w:val="1"/>
  </w:num>
  <w:num w:numId="2" w16cid:durableId="615983096">
    <w:abstractNumId w:val="4"/>
  </w:num>
  <w:num w:numId="3" w16cid:durableId="1272005772">
    <w:abstractNumId w:val="6"/>
  </w:num>
  <w:num w:numId="4" w16cid:durableId="1823428711">
    <w:abstractNumId w:val="8"/>
  </w:num>
  <w:num w:numId="5" w16cid:durableId="520976355">
    <w:abstractNumId w:val="5"/>
  </w:num>
  <w:num w:numId="6" w16cid:durableId="413284522">
    <w:abstractNumId w:val="7"/>
  </w:num>
  <w:num w:numId="7" w16cid:durableId="290405326">
    <w:abstractNumId w:val="0"/>
  </w:num>
  <w:num w:numId="8" w16cid:durableId="404030377">
    <w:abstractNumId w:val="2"/>
  </w:num>
  <w:num w:numId="9" w16cid:durableId="74672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38"/>
    <w:rsid w:val="00610BC6"/>
    <w:rsid w:val="00684B38"/>
    <w:rsid w:val="00814AE0"/>
    <w:rsid w:val="00AF070E"/>
    <w:rsid w:val="00C23187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D3017F-E453-4FA6-85BF-246ED401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4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B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B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B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B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B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B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07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07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0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070E"/>
    <w:rPr>
      <w:sz w:val="18"/>
      <w:szCs w:val="18"/>
    </w:rPr>
  </w:style>
  <w:style w:type="paragraph" w:customStyle="1" w:styleId="BodyText">
    <w:name w:val="BodyText"/>
    <w:basedOn w:val="a"/>
    <w:qFormat/>
    <w:rsid w:val="00AF070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建忠 郑</dc:creator>
  <cp:keywords/>
  <dc:description/>
  <cp:lastModifiedBy>建忠 郑</cp:lastModifiedBy>
  <cp:revision>2</cp:revision>
  <dcterms:created xsi:type="dcterms:W3CDTF">2025-11-03T07:38:00Z</dcterms:created>
  <dcterms:modified xsi:type="dcterms:W3CDTF">2025-11-03T07:38:00Z</dcterms:modified>
</cp:coreProperties>
</file>