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D9C84">
      <w:pPr>
        <w:pStyle w:val="4"/>
        <w:numPr>
          <w:numId w:val="0"/>
        </w:numPr>
        <w:spacing w:before="0" w:after="0" w:line="360" w:lineRule="auto"/>
        <w:ind w:leftChars="0"/>
        <w:jc w:val="center"/>
        <w:rPr>
          <w:rFonts w:hint="eastAsia" w:ascii="黑体" w:hAnsi="黑体" w:eastAsia="黑体"/>
          <w:color w:val="000000"/>
        </w:rPr>
      </w:pPr>
      <w:bookmarkStart w:id="0" w:name="_Toc4867"/>
      <w:bookmarkStart w:id="1" w:name="_Toc30118"/>
      <w:bookmarkStart w:id="2" w:name="_Toc12307"/>
      <w:bookmarkStart w:id="3" w:name="_Toc11454"/>
      <w:bookmarkStart w:id="4" w:name="_Toc4098"/>
      <w:bookmarkStart w:id="5" w:name="_Toc13772"/>
      <w:bookmarkStart w:id="31" w:name="_GoBack"/>
      <w:r>
        <w:rPr>
          <w:rFonts w:ascii="黑体" w:hAnsi="黑体" w:eastAsia="黑体"/>
          <w:color w:val="000000"/>
        </w:rPr>
        <w:fldChar w:fldCharType="begin"/>
      </w:r>
      <w:r>
        <w:rPr>
          <w:rFonts w:ascii="黑体" w:hAnsi="黑体" w:eastAsia="黑体"/>
          <w:color w:val="000000"/>
        </w:rPr>
        <w:instrText xml:space="preserve"> HYPERLINK \l "_Toc488762883" </w:instrText>
      </w:r>
      <w:r>
        <w:rPr>
          <w:rFonts w:ascii="黑体" w:hAnsi="黑体" w:eastAsia="黑体"/>
          <w:color w:val="000000"/>
        </w:rPr>
        <w:fldChar w:fldCharType="separate"/>
      </w:r>
      <w:bookmarkStart w:id="6" w:name="_Toc203141747"/>
      <w:r>
        <w:rPr>
          <w:rFonts w:hint="eastAsia" w:ascii="黑体" w:hAnsi="黑体" w:eastAsia="黑体"/>
          <w:color w:val="000000"/>
        </w:rPr>
        <w:t>采购项目需求</w:t>
      </w:r>
      <w:bookmarkEnd w:id="6"/>
      <w:r>
        <w:rPr>
          <w:rFonts w:ascii="黑体" w:hAnsi="黑体" w:eastAsia="黑体"/>
          <w:color w:val="000000"/>
        </w:rPr>
        <w:fldChar w:fldCharType="end"/>
      </w:r>
      <w:bookmarkEnd w:id="0"/>
      <w:bookmarkEnd w:id="1"/>
      <w:bookmarkEnd w:id="2"/>
      <w:bookmarkEnd w:id="3"/>
      <w:bookmarkEnd w:id="4"/>
      <w:bookmarkEnd w:id="5"/>
    </w:p>
    <w:bookmarkEnd w:id="31"/>
    <w:p w14:paraId="21A9D255">
      <w:pPr>
        <w:pStyle w:val="5"/>
        <w:adjustRightInd/>
        <w:spacing w:line="360" w:lineRule="auto"/>
        <w:jc w:val="both"/>
        <w:textAlignment w:val="auto"/>
        <w:rPr>
          <w:rFonts w:hint="eastAsia" w:ascii="仿宋_GB2312" w:hAnsi="黑体" w:eastAsia="仿宋_GB2312" w:cs="黑体"/>
          <w:bCs w:val="0"/>
          <w:sz w:val="28"/>
          <w:szCs w:val="28"/>
        </w:rPr>
      </w:pPr>
      <w:bookmarkStart w:id="7" w:name="sixxiangmugaisu"/>
      <w:bookmarkEnd w:id="7"/>
      <w:bookmarkStart w:id="8" w:name="_Toc203141748"/>
      <w:bookmarkStart w:id="9" w:name="_Toc19385"/>
      <w:bookmarkStart w:id="10" w:name="_Toc2370"/>
      <w:bookmarkStart w:id="11" w:name="_Toc21299"/>
      <w:bookmarkStart w:id="12" w:name="_Toc16144"/>
      <w:bookmarkStart w:id="13" w:name="_Toc24668"/>
      <w:bookmarkStart w:id="14" w:name="_Toc4856"/>
      <w:r>
        <w:rPr>
          <w:rFonts w:hint="eastAsia" w:ascii="仿宋_GB2312" w:hAnsi="黑体" w:eastAsia="仿宋_GB2312" w:cs="黑体"/>
          <w:bCs w:val="0"/>
          <w:sz w:val="28"/>
          <w:szCs w:val="28"/>
        </w:rPr>
        <w:t>一、项目概况</w:t>
      </w:r>
      <w:bookmarkEnd w:id="8"/>
      <w:bookmarkEnd w:id="9"/>
      <w:bookmarkEnd w:id="10"/>
      <w:bookmarkEnd w:id="11"/>
      <w:bookmarkEnd w:id="12"/>
      <w:bookmarkEnd w:id="13"/>
      <w:bookmarkEnd w:id="14"/>
    </w:p>
    <w:p w14:paraId="63B18BFF">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横岗街道辖区内公园市政设施维护，四害消杀设施维护，林地及名树古木巡查，中幼龄抚育，义务植树等5项服务内容，项目范围覆盖横岗街道整个辖区。</w:t>
      </w:r>
    </w:p>
    <w:p w14:paraId="6FDA2A04">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本项目拟按照政府购买服务模式实施，引入市场化企业，由横岗街道办事处通过公开征集程序选择一家具备较强实力、经验丰富的运营单位，由运营单位负责上述5项个性化项目工作，并在合作期内负责本项目的运营管理。</w:t>
      </w:r>
    </w:p>
    <w:p w14:paraId="14FB0B84">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在合同履行期间，因政策变化、上级主管部门要求或实际管理需要，导致服务面积、服务数量或规格等内容发生变化时，中标供应商需无条件服从安排。</w:t>
      </w:r>
    </w:p>
    <w:p w14:paraId="3797EC1E">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1.公园市政设施维护</w:t>
      </w:r>
    </w:p>
    <w:p w14:paraId="3D3C324A">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对公园、公共厕所、广场及周边区域的建筑类设施、安全防护设施、地面及绿化设施、卫生设施、公共设备及宣传设施更新、排水系统等进行及时的维护和更换。</w:t>
      </w:r>
    </w:p>
    <w:p w14:paraId="1D1C1DB1">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2.四害消杀设施维护</w:t>
      </w:r>
    </w:p>
    <w:p w14:paraId="3CF79E37">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负责辖区内市政道路及巷道、城中村、绿化带、老屋村、公园、广场、下水道的四害消杀设施和更换。具体如下：</w:t>
      </w:r>
    </w:p>
    <w:p w14:paraId="660DD6DA">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（1）协助采购人开展爱国卫生工作的宣传。</w:t>
      </w:r>
    </w:p>
    <w:p w14:paraId="676D7475">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（2）对四害消杀所需的防蚊闸、毒鼠屋等设施进行及时的维护和更换，确保爱卫消杀及四害防治的工作正常开展。</w:t>
      </w:r>
    </w:p>
    <w:p w14:paraId="6B1F83EF">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3.林地及名树古木巡查</w:t>
      </w:r>
    </w:p>
    <w:p w14:paraId="24037F07">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（1）学习、宣传林业法律、法规、政策和科技知识；</w:t>
      </w:r>
    </w:p>
    <w:p w14:paraId="132ACC76">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（2）对管护网格内的森林、草原、湿地、野生动物植物、古树名木等林业资源及管护设施进行日常巡护；</w:t>
      </w:r>
    </w:p>
    <w:p w14:paraId="604DCF21">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（3）发现管护网格内林业有害生物危害情况以及破坏林业资源的行为或毁坏有关宣传牌、标志牌、界桩、界碑、围栏等管护设施的行为，要及时处理并第一时间报告；</w:t>
      </w:r>
    </w:p>
    <w:p w14:paraId="10CBCC31">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（4）做好管护服务协议规定的其他工作任务。</w:t>
      </w:r>
    </w:p>
    <w:p w14:paraId="6D947C5F">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4.中幼龄抚育</w:t>
      </w:r>
    </w:p>
    <w:p w14:paraId="3F5E8A4C">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对辖区内的森林资源中的中幼龄林进行抚育管理以提高森林质量和林地生产力培育健康稳定的森林生态系统。</w:t>
      </w:r>
    </w:p>
    <w:p w14:paraId="19581916">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5.义务植树</w:t>
      </w:r>
    </w:p>
    <w:p w14:paraId="3CD88FEC">
      <w:pPr>
        <w:spacing w:line="54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负责清除杂草和垃圾、平整场地、土壤改良、挖穴、种植乔木、回填和养护工作等。</w:t>
      </w:r>
    </w:p>
    <w:p w14:paraId="13D38F0C">
      <w:pPr>
        <w:pStyle w:val="5"/>
        <w:adjustRightInd/>
        <w:spacing w:line="360" w:lineRule="auto"/>
        <w:jc w:val="both"/>
        <w:textAlignment w:val="auto"/>
        <w:rPr>
          <w:rFonts w:hint="eastAsia" w:ascii="仿宋_GB2312" w:hAnsi="黑体" w:eastAsia="仿宋_GB2312" w:cs="黑体"/>
          <w:bCs w:val="0"/>
          <w:sz w:val="28"/>
          <w:szCs w:val="28"/>
        </w:rPr>
      </w:pPr>
      <w:bookmarkStart w:id="15" w:name="_Toc2695"/>
      <w:bookmarkStart w:id="16" w:name="_Toc203141749"/>
      <w:bookmarkStart w:id="17" w:name="_Toc28894"/>
      <w:bookmarkStart w:id="18" w:name="_Toc21908"/>
      <w:bookmarkStart w:id="19" w:name="_Toc12310"/>
      <w:bookmarkStart w:id="20" w:name="_Toc23183"/>
      <w:bookmarkStart w:id="21" w:name="_Toc30400"/>
      <w:r>
        <w:rPr>
          <w:rFonts w:hint="eastAsia" w:ascii="仿宋_GB2312" w:hAnsi="黑体" w:eastAsia="仿宋_GB2312" w:cs="黑体"/>
          <w:bCs w:val="0"/>
          <w:sz w:val="28"/>
          <w:szCs w:val="28"/>
        </w:rPr>
        <w:t>二、服务内容及要求</w:t>
      </w:r>
      <w:bookmarkEnd w:id="15"/>
      <w:bookmarkEnd w:id="16"/>
      <w:bookmarkEnd w:id="17"/>
      <w:bookmarkEnd w:id="18"/>
      <w:bookmarkEnd w:id="19"/>
      <w:bookmarkEnd w:id="20"/>
      <w:bookmarkEnd w:id="21"/>
      <w:bookmarkStart w:id="22" w:name="_Toc24243"/>
    </w:p>
    <w:bookmarkEnd w:id="22"/>
    <w:p w14:paraId="63DC936A">
      <w:pPr>
        <w:spacing w:line="580" w:lineRule="exact"/>
        <w:ind w:firstLine="562" w:firstLineChars="200"/>
        <w:rPr>
          <w:rFonts w:hint="eastAsia" w:ascii="仿宋_GB2312" w:hAnsi="仿宋_GB2312" w:eastAsia="仿宋_GB2312" w:cs="仿宋_GB2312"/>
          <w:b/>
          <w:bCs/>
          <w:sz w:val="28"/>
          <w:szCs w:val="28"/>
        </w:rPr>
      </w:pPr>
      <w:bookmarkStart w:id="23" w:name="_Toc5520"/>
      <w:bookmarkStart w:id="24" w:name="_Toc24224"/>
      <w:bookmarkStart w:id="25" w:name="_Toc29027"/>
      <w:bookmarkStart w:id="26" w:name="_Toc31880"/>
      <w:bookmarkStart w:id="27" w:name="_Toc30163"/>
      <w:bookmarkStart w:id="28" w:name="_Toc203141750"/>
      <w:r>
        <w:rPr>
          <w:rFonts w:hint="eastAsia" w:ascii="仿宋_GB2312" w:hAnsi="仿宋_GB2312" w:eastAsia="仿宋_GB2312" w:cs="仿宋_GB2312"/>
          <w:b/>
          <w:bCs/>
          <w:sz w:val="28"/>
          <w:szCs w:val="28"/>
        </w:rPr>
        <w:t>（一）服务要求</w:t>
      </w:r>
    </w:p>
    <w:p w14:paraId="5556B486">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1.公园市政设施维护服务质量要求</w:t>
      </w:r>
    </w:p>
    <w:p w14:paraId="5126E953">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（1）根据采购人巡查后的问题反馈进行设施维修维护，并形成维护台帐。设施维修包括：值班室老旧门窗维修、岗亭维修、洗手间维修、凉亭修缮等；休闲座椅维修或更换等。</w:t>
      </w:r>
    </w:p>
    <w:p w14:paraId="049D4B61">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（2）维护后的相关设施的质量符合上级主管部门的考核管理要求、临时检查需求及公园日常运作和社会公众的需求。</w:t>
      </w:r>
    </w:p>
    <w:p w14:paraId="5FD4C279">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（3）应满足其他上级文件及行业规范的要求。</w:t>
      </w:r>
    </w:p>
    <w:p w14:paraId="697B3D59">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（4）按照单次具体工作量据实结算，中标供应商必须按要求提供工作量清单、费用结算单作为报账的依据。</w:t>
      </w:r>
    </w:p>
    <w:p w14:paraId="7C36ECE6">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2.四害消杀设施维护服务质量要求</w:t>
      </w:r>
    </w:p>
    <w:p w14:paraId="0F9287FA">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四害消杀所需的防蚊闸、毒鼠屋等设施应合理地维护，并形成维护记录。对于损坏的设施应及时更换，保证设施的数量和质量必须满足国家、地区、行业及项目的需求。</w:t>
      </w:r>
    </w:p>
    <w:p w14:paraId="120C38D6">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设施维护过程中实施更换的，按照具体更换设施部件的种类及数量据实结算，中标供应商须按要求提供更换设施清单、工作量清单、费用结算单作为报账的依据。</w:t>
      </w:r>
    </w:p>
    <w:p w14:paraId="4F76FD0C">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3.林地及古树巡查服务质量要求</w:t>
      </w:r>
    </w:p>
    <w:p w14:paraId="4B05DE4A">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（1）服务质量要求</w:t>
      </w:r>
    </w:p>
    <w:p w14:paraId="12EB2D61">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中标供应商应采取系列措施杜绝相关影响横岗街道林地及古树巡查工作的行为，严格落实甲方要求，履行日常巡查，重点防护，专项排查及清理整治等工作。具体服务要求如下：</w:t>
      </w:r>
    </w:p>
    <w:p w14:paraId="10A6390D">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1）开展街道辖区林地及古树巡查工作，提高应对林业突发事件处置能力。</w:t>
      </w:r>
    </w:p>
    <w:p w14:paraId="32317BAF">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2）中标供应商应制定林地及古树巡查的管理制度及工作制度，报采购人同意后实施，采购人定期进行检查考核。</w:t>
      </w:r>
    </w:p>
    <w:p w14:paraId="5987B2BF">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3）开展街道辖区林地及古树巡查工作，严厉打击各类非法侵占行为。</w:t>
      </w:r>
    </w:p>
    <w:p w14:paraId="4DD46FEC">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4）对街道辖区林地及古树巡查工作，特别是重点区域，提供 24小时轮班值守服务，确保不发生非法砍伐、非法侵占等违法行为。</w:t>
      </w:r>
    </w:p>
    <w:p w14:paraId="61380DD1">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5）如遇服务范围发生火灾、盗窃、非法砍伐及非法侵占等紧急或突发事件，中标供应商应第一时间报送相关部门处置。</w:t>
      </w:r>
    </w:p>
    <w:p w14:paraId="2A554368">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6）禁止在古树名木上刻划、张贴或者悬挂物品;</w:t>
      </w:r>
    </w:p>
    <w:p w14:paraId="34EB49F5">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7）禁止在施工等作业时借古树名木作为支撑物或者固定物;</w:t>
      </w:r>
    </w:p>
    <w:p w14:paraId="589EA184">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8）禁止在古树名木上进行攀树、折枝、挖根摘采果实种子或者剥损树枝、树干、树皮等工作;</w:t>
      </w:r>
    </w:p>
    <w:p w14:paraId="35E173A3">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9）禁止在距古树名木的树冠垂直投影5米的范围内堆放物料、挖坑取土、兴建临时设施建筑、倾倒有害污水、污物垃圾，动用明火或者排放烟气;</w:t>
      </w:r>
    </w:p>
    <w:p w14:paraId="1B543EC3">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10）禁止擅自移植、砍伐、转让买卖古树名木。</w:t>
      </w:r>
    </w:p>
    <w:p w14:paraId="46ADE1AB">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11）应符合《中国森林法》、《城市古树名木保护管理办法》及其他国家、地区及行业的维护规范和标准。</w:t>
      </w:r>
    </w:p>
    <w:p w14:paraId="67B9314E">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12）按时完成采购人交办的其他工作任务。</w:t>
      </w:r>
    </w:p>
    <w:p w14:paraId="55116718">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（2）工作时间要求</w:t>
      </w:r>
    </w:p>
    <w:p w14:paraId="2C5647E1">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护林巡查员工作时间：每人每天平均工作八小时，每月轮休不少于4天，但可根据特殊工作情况适当调整。双休日和元旦、春节、清明、端午、中秋、五一、十一等法定节假日，中标供应商须根据采购单位的工作需要，对派驻本项目的巡员进行调配或安排人员值班，节假日值班或上岗不另计费用，可给予相应补休。</w:t>
      </w:r>
    </w:p>
    <w:p w14:paraId="230556F7">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（3）应急能力要求</w:t>
      </w:r>
    </w:p>
    <w:p w14:paraId="66993869">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为快速处置在开展街道辖区林地巡查工作可能引发的各类突发应急事件，中标供应商应具备维稳（抢险救灾）处突能力，以满足甲方用人需求。</w:t>
      </w:r>
    </w:p>
    <w:p w14:paraId="7C5CDB80">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4.中幼龄林抚育服务质量要求</w:t>
      </w:r>
    </w:p>
    <w:p w14:paraId="4685D948">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（1）培育辖区内健康稳定的森林生态系统，具体服务任务包括：A、50亩以上的林地清理、清除杂草、灌木。</w:t>
      </w:r>
    </w:p>
    <w:p w14:paraId="4B3A7D40">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 xml:space="preserve">B、约9000株树木林木抚育，每株施肥不低于0.25kg。  </w:t>
      </w:r>
    </w:p>
    <w:p w14:paraId="549E5125">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C、栽植木荷不低于2000株（胸径2.5~3cm树高1.2~1.5m）。</w:t>
      </w:r>
    </w:p>
    <w:p w14:paraId="4A34C603">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（2）抚育间伐。抚育对象按《生态公益林建设技术规程》（GB/T18337.3—2001）的规定执行。生态疏伐和透光伐郁闭度不低于0.7，抚育作业后，人工林郁闭度不得低于0.6；林分平均胸径不得低于伐前林分平均胸径。</w:t>
      </w:r>
    </w:p>
    <w:p w14:paraId="48DD400B">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抚育剩余物清理和伐桩处理。抚育剩余物的清理方式可多样化。主要景区应及时将间伐木及大小枝桠清出林地外，保持间伐迹地清洁整齐，有条件的情况下，提倡将剩余物进行机械粉碎，撒盖于林内加快腐烂或转化为有机肥料；禁止将剩余物在林下随意堆积。</w:t>
      </w:r>
    </w:p>
    <w:p w14:paraId="0FF5A529">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修枝。主要在自然整枝不良、通风透光不畅的林分中进行。一般采取平切法（贴近树干修枝），要求切口平滑，不撕裂树皮，重点针对枝条、死枝过多的林木。修枝季节多数树种以秋末春初为宜。有些萌芽力很强的树种和冬春修枝会形成严重伤流的树种，宜在树木生长旺盛季节进行修枝。修枝高度幼龄林不超过树高的1/3，中龄林不超过树高的1/2。</w:t>
      </w:r>
    </w:p>
    <w:p w14:paraId="6D8053D4">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（5）割灌（除草）。在下木生长旺盛、与林木生长争水争肥严重的中幼龄林中进行。采取机割、人割等不同方式，清除妨碍树木生长的灌木、藤条和杂草。</w:t>
      </w:r>
    </w:p>
    <w:p w14:paraId="47E41A68">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（5）按照单次具体工作量据实结算，中标供应商必须按要求提供设备材料清单、工作量清单、费用结算单作为报账的依据。</w:t>
      </w:r>
    </w:p>
    <w:p w14:paraId="48277477">
      <w:pPr>
        <w:spacing w:line="54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5.义务植树活动保障服务质量要求</w:t>
      </w:r>
    </w:p>
    <w:p w14:paraId="0B42B7E4">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（1）制定科学、完善的植树方案，并配备专业、充足的人员设备。年度义务植树任务要求种植不低于80株紫花风铃木（树木规格：胸径8-12cm ）。若在合同执行过程中采购人对树种、数量、规模有调整要求的，以采购人调整后的要求为准。</w:t>
      </w:r>
    </w:p>
    <w:p w14:paraId="60128F21">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（2）对服务范围内的植物及时进行除草除杂、浇水、松土施肥、有害生物防治、整枝修剪、间伐等工作，确保植物的健康生长。</w:t>
      </w:r>
    </w:p>
    <w:p w14:paraId="2EB12B2F">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（3）作业满足国家、地区及行业的相关安全生产及质量要求。</w:t>
      </w:r>
    </w:p>
    <w:p w14:paraId="1D0E6B9B">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（4）按照单次具体工作量据实结算，中标供应商必须按要求提供树种及数量、工作量清单、费用结算单作为报账的依据。</w:t>
      </w:r>
    </w:p>
    <w:p w14:paraId="2550CE13">
      <w:pPr>
        <w:spacing w:line="5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（二）人员配置要求</w:t>
      </w:r>
    </w:p>
    <w:tbl>
      <w:tblPr>
        <w:tblStyle w:val="8"/>
        <w:tblW w:w="55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033"/>
        <w:gridCol w:w="849"/>
        <w:gridCol w:w="1074"/>
        <w:gridCol w:w="3117"/>
        <w:gridCol w:w="2834"/>
      </w:tblGrid>
      <w:tr w14:paraId="210B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6" w:type="pct"/>
            <w:tcBorders>
              <w:top w:val="single" w:color="auto" w:sz="4" w:space="0"/>
              <w:left w:val="single" w:color="auto" w:sz="4" w:space="0"/>
              <w:bottom w:val="single" w:color="auto" w:sz="4" w:space="0"/>
              <w:right w:val="single" w:color="auto" w:sz="4" w:space="0"/>
            </w:tcBorders>
            <w:noWrap w:val="0"/>
            <w:vAlign w:val="center"/>
          </w:tcPr>
          <w:p w14:paraId="08EC201C">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5A500B80">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★人员类别</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337704EE">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571" w:type="pct"/>
            <w:tcBorders>
              <w:top w:val="single" w:color="auto" w:sz="4" w:space="0"/>
              <w:left w:val="single" w:color="auto" w:sz="4" w:space="0"/>
              <w:bottom w:val="single" w:color="auto" w:sz="4" w:space="0"/>
              <w:right w:val="single" w:color="auto" w:sz="4" w:space="0"/>
            </w:tcBorders>
            <w:noWrap w:val="0"/>
            <w:vAlign w:val="center"/>
          </w:tcPr>
          <w:p w14:paraId="514FB520">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★必备条件</w:t>
            </w:r>
          </w:p>
        </w:tc>
        <w:tc>
          <w:tcPr>
            <w:tcW w:w="1657" w:type="pct"/>
            <w:tcBorders>
              <w:top w:val="single" w:color="auto" w:sz="4" w:space="0"/>
              <w:left w:val="single" w:color="auto" w:sz="4" w:space="0"/>
              <w:bottom w:val="single" w:color="auto" w:sz="4" w:space="0"/>
              <w:right w:val="single" w:color="auto" w:sz="4" w:space="0"/>
            </w:tcBorders>
            <w:noWrap w:val="0"/>
            <w:vAlign w:val="center"/>
          </w:tcPr>
          <w:p w14:paraId="519DB7FD">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人员可偏离条件</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67E926F6">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工作岗位职责</w:t>
            </w:r>
          </w:p>
        </w:tc>
      </w:tr>
      <w:tr w14:paraId="3383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 w:type="pct"/>
            <w:tcBorders>
              <w:top w:val="single" w:color="auto" w:sz="4" w:space="0"/>
              <w:left w:val="single" w:color="auto" w:sz="4" w:space="0"/>
              <w:bottom w:val="single" w:color="auto" w:sz="4" w:space="0"/>
              <w:right w:val="single" w:color="auto" w:sz="4" w:space="0"/>
            </w:tcBorders>
            <w:noWrap w:val="0"/>
            <w:vAlign w:val="center"/>
          </w:tcPr>
          <w:p w14:paraId="208F3DF9">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4DCD3E33">
            <w:pPr>
              <w:adjustRightInd w:val="0"/>
              <w:snapToGrid w:val="0"/>
              <w:spacing w:line="400" w:lineRule="exact"/>
              <w:jc w:val="center"/>
              <w:rPr>
                <w:rFonts w:ascii="仿宋_GB2312" w:hAnsi="仿宋_GB2312" w:eastAsia="仿宋_GB2312" w:cs="仿宋_GB2312"/>
                <w:sz w:val="28"/>
                <w:szCs w:val="28"/>
              </w:rPr>
            </w:pPr>
            <w:bookmarkStart w:id="29" w:name="_Hlk62219672"/>
            <w:r>
              <w:rPr>
                <w:rFonts w:hint="eastAsia" w:ascii="仿宋_GB2312" w:hAnsi="仿宋_GB2312" w:eastAsia="仿宋_GB2312" w:cs="仿宋_GB2312"/>
                <w:sz w:val="28"/>
                <w:szCs w:val="28"/>
              </w:rPr>
              <w:t>项目负责人兼护林巡查组长</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4D39C208">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1" w:type="pct"/>
            <w:tcBorders>
              <w:top w:val="single" w:color="auto" w:sz="4" w:space="0"/>
              <w:left w:val="single" w:color="auto" w:sz="4" w:space="0"/>
              <w:bottom w:val="single" w:color="auto" w:sz="4" w:space="0"/>
              <w:right w:val="single" w:color="auto" w:sz="4" w:space="0"/>
            </w:tcBorders>
            <w:noWrap w:val="0"/>
            <w:vAlign w:val="center"/>
          </w:tcPr>
          <w:p w14:paraId="56867643">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自有员工</w:t>
            </w:r>
          </w:p>
        </w:tc>
        <w:tc>
          <w:tcPr>
            <w:tcW w:w="1657" w:type="pct"/>
            <w:tcBorders>
              <w:top w:val="single" w:color="auto" w:sz="4" w:space="0"/>
              <w:left w:val="single" w:color="auto" w:sz="4" w:space="0"/>
              <w:bottom w:val="single" w:color="auto" w:sz="4" w:space="0"/>
              <w:right w:val="single" w:color="auto" w:sz="4" w:space="0"/>
            </w:tcBorders>
            <w:noWrap w:val="0"/>
            <w:vAlign w:val="center"/>
          </w:tcPr>
          <w:p w14:paraId="4C6584E8">
            <w:pPr>
              <w:wordWrap w:val="0"/>
              <w:spacing w:line="400" w:lineRule="exact"/>
              <w:rPr>
                <w:rFonts w:ascii="仿宋_GB2312" w:hAnsi="仿宋_GB2312" w:eastAsia="仿宋_GB2312" w:cs="仿宋_GB2312"/>
                <w:sz w:val="28"/>
              </w:rPr>
            </w:pPr>
            <w:r>
              <w:rPr>
                <w:rFonts w:hint="eastAsia" w:ascii="仿宋_GB2312" w:hAnsi="仿宋_GB2312" w:eastAsia="仿宋_GB2312" w:cs="仿宋_GB2312"/>
                <w:sz w:val="28"/>
              </w:rPr>
              <w:t>（1）具有管理类相关专业本科或以上学历；</w:t>
            </w:r>
          </w:p>
          <w:p w14:paraId="23948C28">
            <w:pPr>
              <w:wordWrap w:val="0"/>
              <w:spacing w:line="400" w:lineRule="exact"/>
              <w:rPr>
                <w:rFonts w:ascii="仿宋_GB2312" w:hAnsi="仿宋_GB2312" w:eastAsia="仿宋_GB2312" w:cs="仿宋_GB2312"/>
                <w:sz w:val="28"/>
              </w:rPr>
            </w:pPr>
            <w:r>
              <w:rPr>
                <w:rFonts w:hint="eastAsia" w:ascii="仿宋_GB2312" w:hAnsi="仿宋_GB2312" w:eastAsia="仿宋_GB2312" w:cs="仿宋_GB2312"/>
                <w:sz w:val="28"/>
              </w:rPr>
              <w:t>（2）具有园林绿化工证书；</w:t>
            </w:r>
          </w:p>
          <w:p w14:paraId="7EE990CD">
            <w:pPr>
              <w:wordWrap w:val="0"/>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rPr>
              <w:t>（3）获得政府部门或事业单位颁发的环境卫生类或林业类或爱卫类或安全类或应急类相关的个人荣誉奖项。</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23E3BCF5">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整体统筹辖区内公园市政设施维护，四害消杀设施维护，林地及名树古木巡查，中幼龄抚育，义务植树等工作。</w:t>
            </w:r>
          </w:p>
        </w:tc>
      </w:tr>
      <w:tr w14:paraId="5D3B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F4E35A">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34054B">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护林巡查员</w:t>
            </w:r>
          </w:p>
        </w:tc>
        <w:tc>
          <w:tcPr>
            <w:tcW w:w="4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9FD0BF">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4C96BD">
            <w:pPr>
              <w:widowControl/>
              <w:tabs>
                <w:tab w:val="left" w:pos="312"/>
              </w:tabs>
              <w:autoSpaceDE w:val="0"/>
              <w:autoSpaceDN w:val="0"/>
              <w:adjustRightInd w:val="0"/>
              <w:spacing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自有员工</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8A7C1D">
            <w:pPr>
              <w:spacing w:line="400" w:lineRule="exact"/>
              <w:jc w:val="left"/>
              <w:rPr>
                <w:rFonts w:ascii="仿宋_GB2312" w:hAnsi="仿宋_GB2312" w:eastAsia="仿宋_GB2312" w:cs="仿宋_GB2312"/>
                <w:kern w:val="0"/>
                <w:sz w:val="28"/>
              </w:rPr>
            </w:pPr>
            <w:r>
              <w:rPr>
                <w:rFonts w:hint="eastAsia" w:ascii="仿宋_GB2312" w:hAnsi="仿宋_GB2312" w:eastAsia="仿宋_GB2312" w:cs="仿宋_GB2312"/>
                <w:kern w:val="0"/>
                <w:sz w:val="28"/>
              </w:rPr>
              <w:t>（1）具有退役军人证明的2人。</w:t>
            </w:r>
          </w:p>
          <w:p w14:paraId="486FF1B8">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rPr>
              <w:t>（2）具有森林消防类或安全生产类相关证书的2人。</w:t>
            </w:r>
          </w:p>
        </w:tc>
        <w:tc>
          <w:tcPr>
            <w:tcW w:w="15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4F892F">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按照采购人的要求以及组长的安排，负责管护网格内的整体护林工作，对林业资源及管护设施进行日常巡护，发现问题第一时间报告处理。</w:t>
            </w:r>
          </w:p>
        </w:tc>
      </w:tr>
      <w:tr w14:paraId="4D15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4" w:type="pct"/>
            <w:gridSpan w:val="2"/>
            <w:tcBorders>
              <w:top w:val="single" w:color="auto" w:sz="4" w:space="0"/>
              <w:left w:val="single" w:color="auto" w:sz="4" w:space="0"/>
              <w:bottom w:val="single" w:color="auto" w:sz="4" w:space="0"/>
              <w:right w:val="single" w:color="auto" w:sz="4" w:space="0"/>
            </w:tcBorders>
            <w:noWrap w:val="0"/>
            <w:vAlign w:val="center"/>
          </w:tcPr>
          <w:p w14:paraId="13E0EDB3">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合计</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760B307C">
            <w:pPr>
              <w:adjustRightInd w:val="0"/>
              <w:snapToGrid w:val="0"/>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w:t>
            </w:r>
          </w:p>
        </w:tc>
        <w:tc>
          <w:tcPr>
            <w:tcW w:w="571" w:type="pct"/>
            <w:tcBorders>
              <w:top w:val="single" w:color="auto" w:sz="4" w:space="0"/>
              <w:left w:val="single" w:color="auto" w:sz="4" w:space="0"/>
              <w:bottom w:val="single" w:color="auto" w:sz="4" w:space="0"/>
              <w:right w:val="single" w:color="auto" w:sz="4" w:space="0"/>
            </w:tcBorders>
            <w:noWrap w:val="0"/>
            <w:vAlign w:val="center"/>
          </w:tcPr>
          <w:p w14:paraId="7F90243A">
            <w:pPr>
              <w:widowControl/>
              <w:tabs>
                <w:tab w:val="left" w:pos="312"/>
              </w:tabs>
              <w:autoSpaceDE w:val="0"/>
              <w:autoSpaceDN w:val="0"/>
              <w:adjustRightInd w:val="0"/>
              <w:spacing w:line="400" w:lineRule="exact"/>
              <w:jc w:val="left"/>
              <w:textAlignment w:val="baseline"/>
              <w:rPr>
                <w:rFonts w:ascii="仿宋_GB2312" w:hAnsi="仿宋_GB2312" w:eastAsia="仿宋_GB2312" w:cs="仿宋_GB2312"/>
                <w:b/>
                <w:bCs/>
                <w:sz w:val="28"/>
                <w:szCs w:val="28"/>
              </w:rPr>
            </w:pPr>
          </w:p>
        </w:tc>
        <w:tc>
          <w:tcPr>
            <w:tcW w:w="1657" w:type="pct"/>
            <w:tcBorders>
              <w:top w:val="single" w:color="auto" w:sz="4" w:space="0"/>
              <w:left w:val="single" w:color="auto" w:sz="4" w:space="0"/>
              <w:bottom w:val="single" w:color="auto" w:sz="4" w:space="0"/>
              <w:right w:val="single" w:color="auto" w:sz="4" w:space="0"/>
            </w:tcBorders>
            <w:noWrap w:val="0"/>
            <w:vAlign w:val="center"/>
          </w:tcPr>
          <w:p w14:paraId="75E73F92">
            <w:pPr>
              <w:spacing w:line="400" w:lineRule="exact"/>
              <w:rPr>
                <w:rFonts w:ascii="仿宋_GB2312" w:hAnsi="仿宋_GB2312" w:eastAsia="仿宋_GB2312" w:cs="仿宋_GB2312"/>
                <w:b/>
                <w:bCs/>
                <w:sz w:val="28"/>
                <w:szCs w:val="28"/>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59A6BE60">
            <w:pPr>
              <w:spacing w:line="400" w:lineRule="exact"/>
              <w:rPr>
                <w:rFonts w:ascii="仿宋_GB2312" w:hAnsi="仿宋_GB2312" w:eastAsia="仿宋_GB2312" w:cs="仿宋_GB2312"/>
                <w:b/>
                <w:bCs/>
                <w:sz w:val="28"/>
                <w:szCs w:val="28"/>
              </w:rPr>
            </w:pPr>
          </w:p>
        </w:tc>
      </w:tr>
      <w:bookmarkEnd w:id="29"/>
    </w:tbl>
    <w:p w14:paraId="4E7B5486">
      <w:pPr>
        <w:spacing w:line="56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（三）其他要求</w:t>
      </w:r>
    </w:p>
    <w:p w14:paraId="2BF8F13C">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供应商应针本项目的特点和实际需要，为本项目制定详细的项目服务方案、应急管理服务方案、质量保障措施，方案措施应具体、可执行。并针对项目实施作出违约承诺及项目完成（服务期满）后的服务承诺。</w:t>
      </w:r>
    </w:p>
    <w:p w14:paraId="0EB07960">
      <w:pPr>
        <w:spacing w:line="54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供应商应具有同类项目服务经验、在环境卫生或林业或爱卫或安全或应急等方面具有较好的信誉，建立有完善的服务保障体系（如质量管理体系、环境管理体系、职业健康安全体系、应急预案管理能力评价等）。</w:t>
      </w:r>
    </w:p>
    <w:p w14:paraId="21C389CD">
      <w:pPr>
        <w:pStyle w:val="5"/>
        <w:adjustRightInd/>
        <w:spacing w:line="360" w:lineRule="auto"/>
        <w:jc w:val="both"/>
        <w:textAlignment w:val="auto"/>
        <w:rPr>
          <w:rFonts w:hint="eastAsia" w:ascii="仿宋_GB2312" w:hAnsi="黑体" w:eastAsia="仿宋_GB2312" w:cs="黑体"/>
          <w:bCs w:val="0"/>
          <w:sz w:val="28"/>
          <w:szCs w:val="28"/>
        </w:rPr>
      </w:pPr>
      <w:bookmarkStart w:id="30" w:name="_Toc2734"/>
      <w:r>
        <w:rPr>
          <w:rFonts w:hint="eastAsia" w:ascii="仿宋_GB2312" w:hAnsi="黑体" w:eastAsia="仿宋_GB2312" w:cs="黑体"/>
          <w:bCs w:val="0"/>
          <w:sz w:val="28"/>
          <w:szCs w:val="28"/>
        </w:rPr>
        <w:t>三、商务要求</w:t>
      </w:r>
      <w:bookmarkEnd w:id="23"/>
      <w:bookmarkEnd w:id="24"/>
      <w:bookmarkEnd w:id="25"/>
      <w:bookmarkEnd w:id="26"/>
      <w:bookmarkEnd w:id="27"/>
      <w:bookmarkEnd w:id="28"/>
      <w:bookmarkEnd w:id="30"/>
    </w:p>
    <w:p w14:paraId="12D80823">
      <w:pPr>
        <w:adjustRightInd w:val="0"/>
        <w:spacing w:line="360" w:lineRule="auto"/>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★1、服务期限</w:t>
      </w:r>
    </w:p>
    <w:p w14:paraId="393C3557">
      <w:pPr>
        <w:adjustRightInd w:val="0"/>
        <w:spacing w:line="360" w:lineRule="auto"/>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本项目服务期限为1年。一年合同期满后，经考核验收合格且履约评价为良或以上的可按原合同条款续签下一年度合同，每次续签期限为一年，最多可续签两次。且续签年度内不得对项目的实质性内容进行更改。续签年度内的实际结算费用将结合龙岗区财政局年度预算安排进行动态调整。</w:t>
      </w:r>
    </w:p>
    <w:p w14:paraId="239ECEEB">
      <w:pPr>
        <w:adjustRightInd w:val="0"/>
        <w:spacing w:line="360" w:lineRule="auto"/>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2、报价、付款方式</w:t>
      </w:r>
    </w:p>
    <w:p w14:paraId="5F3F7CA5">
      <w:pPr>
        <w:adjustRightInd w:val="0"/>
        <w:spacing w:line="360" w:lineRule="auto"/>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中标方应承担费用：包括：员工／管理人员工资、加班费、过节费、社保等费用，办公经费等；开展服务所需的管理服务设备及工具和人员的装备等；不可预见费；法定税费；合理利润等。</w:t>
      </w:r>
    </w:p>
    <w:p w14:paraId="79BFC8A8">
      <w:pPr>
        <w:adjustRightInd w:val="0"/>
        <w:spacing w:line="360" w:lineRule="auto"/>
        <w:ind w:firstLine="560" w:firstLineChars="200"/>
      </w:pPr>
      <w:r>
        <w:rPr>
          <w:rFonts w:hint="eastAsia" w:ascii="仿宋_GB2312" w:hAnsi="仿宋_GB2312" w:eastAsia="仿宋_GB2312" w:cs="仿宋_GB2312"/>
          <w:bCs/>
          <w:kern w:val="0"/>
          <w:sz w:val="28"/>
          <w:szCs w:val="28"/>
        </w:rPr>
        <w:t>付款方式：按月据实结算，在合同签订时详细约定</w:t>
      </w:r>
      <w:r>
        <w:rPr>
          <w:rFonts w:hint="eastAsia" w:ascii="仿宋_GB2312" w:hAnsi="仿宋_GB2312" w:eastAsia="仿宋_GB2312" w:cs="仿宋_GB2312"/>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
    <w:altName w:val="宋体"/>
    <w:panose1 w:val="00000000000000000000"/>
    <w:charset w:val="81"/>
    <w:family w:val="roman"/>
    <w:pitch w:val="default"/>
    <w:sig w:usb0="00000000" w:usb1="00000000" w:usb2="00000000" w:usb3="00000000" w:csb0="0008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E0A49"/>
    <w:rsid w:val="767E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6"/>
    <w:next w:val="7"/>
    <w:qFormat/>
    <w:uiPriority w:val="0"/>
    <w:pPr>
      <w:adjustRightInd w:val="0"/>
      <w:spacing w:line="240" w:lineRule="auto"/>
      <w:jc w:val="center"/>
      <w:textAlignment w:val="baseline"/>
      <w:outlineLvl w:val="1"/>
    </w:pPr>
    <w:rPr>
      <w:rFonts w:ascii="宋体" w:hAnsi="宋体"/>
      <w:kern w:val="0"/>
      <w:sz w:val="24"/>
      <w:szCs w:val="20"/>
    </w:rPr>
  </w:style>
  <w:style w:type="paragraph" w:styleId="6">
    <w:name w:val="heading 3"/>
    <w:basedOn w:val="7"/>
    <w:next w:val="1"/>
    <w:qFormat/>
    <w:uiPriority w:val="0"/>
    <w:pPr>
      <w:keepNext/>
      <w:keepLines/>
      <w:spacing w:before="260" w:beforeLines="0" w:after="260" w:afterLines="0" w:line="416" w:lineRule="auto"/>
      <w:outlineLvl w:val="2"/>
    </w:pPr>
    <w:rPr>
      <w:rFonts w:ascii="Times New Roman" w:hAnsi="Times New Roman" w:eastAsia="宋体"/>
      <w:sz w:val="32"/>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rFonts w:eastAsia="宋?"/>
      <w:sz w:val="21"/>
    </w:rPr>
  </w:style>
  <w:style w:type="paragraph" w:styleId="3">
    <w:name w:val="Body Text Indent"/>
    <w:basedOn w:val="1"/>
    <w:next w:val="1"/>
    <w:qFormat/>
    <w:uiPriority w:val="0"/>
    <w:pPr>
      <w:ind w:left="2098"/>
    </w:pPr>
    <w:rPr>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2025-11-10T03:14:00Z</dcterms:created>
  <dc:creator>过眼～云烟～</dc:creator>
  <cp:lastModifiedBy>过眼～云烟～</cp:lastModifiedBy>
  <dcterms:modified xsi:type="dcterms:W3CDTF">2025-11-10T03:15:17Z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6C2DDEA384AF463EA28741BF96631C03_11</vt:lpwstr>
  </property>
  <property fmtid="{D5CDD505-2E9C-101B-9397-08002B2CF9AE}" pid="4" name="KSOTemplateDocerSaveRecord">
    <vt:lpwstr>eyJoZGlkIjoiYjU3ZDE5YWNkMGVkMDJjZTBmOTQ1OGE4M2ZhZjBiNTEiLCJ1c2VySWQiOiIzMjMwNDEyNDYifQ==</vt:lpwstr>
  </property>
</Properties>
</file>