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1B" w:rsidRPr="00407A1B" w:rsidRDefault="00407A1B" w:rsidP="00407A1B">
      <w:pPr>
        <w:keepNext/>
        <w:keepLines/>
        <w:spacing w:line="360" w:lineRule="auto"/>
        <w:jc w:val="center"/>
        <w:outlineLvl w:val="0"/>
        <w:rPr>
          <w:rFonts w:ascii="黑体" w:eastAsia="黑体" w:hAnsi="黑体" w:cs="Times New Roman" w:hint="eastAsia"/>
          <w:b/>
          <w:bCs/>
          <w:color w:val="000000"/>
          <w:kern w:val="44"/>
          <w:sz w:val="44"/>
          <w:szCs w:val="44"/>
          <w:lang/>
        </w:rPr>
      </w:pPr>
      <w:r w:rsidRPr="00407A1B">
        <w:rPr>
          <w:rFonts w:ascii="黑体" w:eastAsia="黑体" w:hAnsi="黑体" w:cs="Times New Roman"/>
          <w:b/>
          <w:bCs/>
          <w:color w:val="000000"/>
          <w:kern w:val="44"/>
          <w:sz w:val="44"/>
          <w:szCs w:val="44"/>
          <w:lang/>
        </w:rPr>
        <w:fldChar w:fldCharType="begin"/>
      </w:r>
      <w:r w:rsidRPr="00407A1B">
        <w:rPr>
          <w:rFonts w:ascii="黑体" w:eastAsia="黑体" w:hAnsi="黑体" w:cs="Times New Roman"/>
          <w:b/>
          <w:bCs/>
          <w:color w:val="000000"/>
          <w:kern w:val="44"/>
          <w:sz w:val="44"/>
          <w:szCs w:val="44"/>
          <w:lang/>
        </w:rPr>
        <w:instrText xml:space="preserve"> HYPERLINK \l "_Toc488762883" </w:instrText>
      </w:r>
      <w:r w:rsidRPr="00407A1B">
        <w:rPr>
          <w:rFonts w:ascii="黑体" w:eastAsia="黑体" w:hAnsi="黑体" w:cs="Times New Roman"/>
          <w:b/>
          <w:bCs/>
          <w:color w:val="000000"/>
          <w:kern w:val="44"/>
          <w:sz w:val="44"/>
          <w:szCs w:val="44"/>
          <w:lang/>
        </w:rPr>
        <w:fldChar w:fldCharType="separate"/>
      </w:r>
      <w:bookmarkStart w:id="0" w:name="_Toc203579063"/>
      <w:r w:rsidRPr="00407A1B">
        <w:rPr>
          <w:rFonts w:ascii="黑体" w:eastAsia="黑体" w:hAnsi="黑体" w:cs="Times New Roman" w:hint="eastAsia"/>
          <w:b/>
          <w:bCs/>
          <w:color w:val="000000"/>
          <w:kern w:val="44"/>
          <w:sz w:val="44"/>
          <w:szCs w:val="44"/>
          <w:lang/>
        </w:rPr>
        <w:t>招标项目需求</w:t>
      </w:r>
      <w:bookmarkEnd w:id="0"/>
      <w:r w:rsidRPr="00407A1B">
        <w:rPr>
          <w:rFonts w:ascii="黑体" w:eastAsia="黑体" w:hAnsi="黑体" w:cs="Times New Roman"/>
          <w:b/>
          <w:bCs/>
          <w:color w:val="000000"/>
          <w:kern w:val="44"/>
          <w:sz w:val="44"/>
          <w:szCs w:val="44"/>
          <w:lang/>
        </w:rPr>
        <w:fldChar w:fldCharType="end"/>
      </w:r>
    </w:p>
    <w:p w:rsidR="00407A1B" w:rsidRPr="00407A1B" w:rsidRDefault="00407A1B" w:rsidP="00407A1B">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1" w:name="sixxiangmugaisu"/>
      <w:bookmarkStart w:id="2" w:name="_Toc13528"/>
      <w:bookmarkStart w:id="3" w:name="_Toc203579064"/>
      <w:bookmarkStart w:id="4" w:name="_Toc266949377"/>
      <w:bookmarkEnd w:id="1"/>
      <w:proofErr w:type="spellStart"/>
      <w:r w:rsidRPr="00407A1B">
        <w:rPr>
          <w:rFonts w:ascii="宋体" w:eastAsia="宋体" w:hAnsi="宋体" w:cs="Times New Roman" w:hint="eastAsia"/>
          <w:b/>
          <w:bCs/>
          <w:color w:val="000000"/>
          <w:kern w:val="0"/>
          <w:sz w:val="28"/>
          <w:szCs w:val="28"/>
          <w:lang/>
        </w:rPr>
        <w:t>一、货物清单</w:t>
      </w:r>
      <w:bookmarkEnd w:id="2"/>
      <w:bookmarkEnd w:id="3"/>
      <w:proofErr w:type="spellEnd"/>
    </w:p>
    <w:p w:rsidR="00407A1B" w:rsidRPr="00407A1B" w:rsidRDefault="00407A1B" w:rsidP="00407A1B">
      <w:pPr>
        <w:spacing w:after="78"/>
        <w:rPr>
          <w:rFonts w:ascii="Times New Roman" w:eastAsia="宋体" w:hAnsi="Times New Roman" w:cs="Times New Roman"/>
          <w:b/>
          <w:sz w:val="24"/>
          <w:szCs w:val="24"/>
        </w:rPr>
      </w:pPr>
      <w:r w:rsidRPr="00407A1B">
        <w:rPr>
          <w:rFonts w:ascii="Times New Roman" w:eastAsia="宋体" w:hAnsi="Times New Roman" w:cs="Times New Roman" w:hint="eastAsia"/>
          <w:b/>
          <w:sz w:val="24"/>
          <w:szCs w:val="24"/>
        </w:rPr>
        <w:t>（一）货物总清单</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2898"/>
        <w:gridCol w:w="806"/>
        <w:gridCol w:w="1083"/>
        <w:gridCol w:w="1876"/>
        <w:gridCol w:w="1417"/>
      </w:tblGrid>
      <w:tr w:rsidR="00407A1B" w:rsidRPr="00407A1B" w:rsidTr="00B14228">
        <w:trPr>
          <w:trHeight w:val="59"/>
          <w:jc w:val="center"/>
        </w:trPr>
        <w:tc>
          <w:tcPr>
            <w:tcW w:w="851" w:type="dxa"/>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序号</w:t>
            </w:r>
          </w:p>
        </w:tc>
        <w:tc>
          <w:tcPr>
            <w:tcW w:w="2898" w:type="dxa"/>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货物名称</w:t>
            </w:r>
          </w:p>
        </w:tc>
        <w:tc>
          <w:tcPr>
            <w:tcW w:w="806" w:type="dxa"/>
            <w:tcMar>
              <w:top w:w="0" w:type="dxa"/>
              <w:left w:w="108" w:type="dxa"/>
              <w:bottom w:w="0" w:type="dxa"/>
              <w:right w:w="108" w:type="dxa"/>
            </w:tcMar>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数量</w:t>
            </w:r>
          </w:p>
        </w:tc>
        <w:tc>
          <w:tcPr>
            <w:tcW w:w="1083" w:type="dxa"/>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单位</w:t>
            </w:r>
          </w:p>
        </w:tc>
        <w:tc>
          <w:tcPr>
            <w:tcW w:w="1876" w:type="dxa"/>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采购预算金额</w:t>
            </w:r>
          </w:p>
          <w:p w:rsidR="00407A1B" w:rsidRPr="00407A1B" w:rsidRDefault="00407A1B" w:rsidP="00407A1B">
            <w:pPr>
              <w:widowControl/>
              <w:spacing w:after="78" w:line="360" w:lineRule="auto"/>
              <w:jc w:val="center"/>
              <w:rPr>
                <w:rFonts w:ascii="Times New Roman" w:eastAsia="宋体" w:hAnsi="Times New Roman" w:cs="宋体"/>
                <w:bCs/>
                <w:kern w:val="0"/>
                <w:szCs w:val="21"/>
              </w:rPr>
            </w:pPr>
            <w:r w:rsidRPr="00407A1B">
              <w:rPr>
                <w:rFonts w:ascii="Times New Roman" w:eastAsia="宋体" w:hAnsi="Times New Roman" w:cs="宋体" w:hint="eastAsia"/>
                <w:b/>
                <w:szCs w:val="21"/>
              </w:rPr>
              <w:t>（人民币元）</w:t>
            </w:r>
          </w:p>
        </w:tc>
        <w:tc>
          <w:tcPr>
            <w:tcW w:w="1417" w:type="dxa"/>
            <w:vAlign w:val="center"/>
          </w:tcPr>
          <w:p w:rsidR="00407A1B" w:rsidRPr="00407A1B" w:rsidRDefault="00407A1B" w:rsidP="00407A1B">
            <w:pPr>
              <w:widowControl/>
              <w:spacing w:after="78" w:line="360" w:lineRule="auto"/>
              <w:jc w:val="center"/>
              <w:rPr>
                <w:rFonts w:ascii="Times New Roman" w:eastAsia="宋体" w:hAnsi="Times New Roman" w:cs="宋体"/>
                <w:b/>
                <w:kern w:val="0"/>
                <w:szCs w:val="21"/>
              </w:rPr>
            </w:pPr>
            <w:r w:rsidRPr="00407A1B">
              <w:rPr>
                <w:rFonts w:ascii="Times New Roman" w:eastAsia="宋体" w:hAnsi="Times New Roman" w:cs="宋体" w:hint="eastAsia"/>
                <w:b/>
                <w:kern w:val="0"/>
                <w:szCs w:val="21"/>
              </w:rPr>
              <w:t>备注</w:t>
            </w:r>
          </w:p>
        </w:tc>
      </w:tr>
      <w:tr w:rsidR="00407A1B" w:rsidRPr="00407A1B" w:rsidTr="00B14228">
        <w:trPr>
          <w:trHeight w:val="582"/>
          <w:jc w:val="center"/>
        </w:trPr>
        <w:tc>
          <w:tcPr>
            <w:tcW w:w="851" w:type="dxa"/>
            <w:vAlign w:val="center"/>
          </w:tcPr>
          <w:p w:rsidR="00407A1B" w:rsidRPr="00407A1B" w:rsidRDefault="00407A1B" w:rsidP="00407A1B">
            <w:pPr>
              <w:widowControl/>
              <w:spacing w:after="78" w:line="360" w:lineRule="auto"/>
              <w:jc w:val="center"/>
              <w:rPr>
                <w:rFonts w:ascii="宋体" w:eastAsia="宋体" w:hAnsi="宋体" w:cs="宋体" w:hint="eastAsia"/>
                <w:bCs/>
                <w:kern w:val="0"/>
                <w:szCs w:val="21"/>
              </w:rPr>
            </w:pPr>
            <w:r w:rsidRPr="00407A1B">
              <w:rPr>
                <w:rFonts w:ascii="宋体" w:eastAsia="宋体" w:hAnsi="宋体" w:cs="宋体" w:hint="eastAsia"/>
                <w:bCs/>
                <w:kern w:val="0"/>
                <w:szCs w:val="21"/>
              </w:rPr>
              <w:t>1</w:t>
            </w:r>
          </w:p>
        </w:tc>
        <w:tc>
          <w:tcPr>
            <w:tcW w:w="2898" w:type="dxa"/>
            <w:vAlign w:val="center"/>
          </w:tcPr>
          <w:p w:rsidR="00407A1B" w:rsidRPr="00407A1B" w:rsidRDefault="00407A1B" w:rsidP="00407A1B">
            <w:pPr>
              <w:widowControl/>
              <w:spacing w:line="360" w:lineRule="auto"/>
              <w:jc w:val="center"/>
              <w:rPr>
                <w:rFonts w:ascii="宋体" w:eastAsia="宋体" w:hAnsi="宋体" w:cs="仿宋"/>
                <w:sz w:val="24"/>
                <w:szCs w:val="24"/>
                <w:highlight w:val="yellow"/>
              </w:rPr>
            </w:pPr>
            <w:r w:rsidRPr="00407A1B">
              <w:rPr>
                <w:rFonts w:ascii="宋体" w:eastAsia="宋体" w:hAnsi="宋体" w:cs="仿宋" w:hint="eastAsia"/>
                <w:kern w:val="0"/>
                <w:sz w:val="24"/>
                <w:szCs w:val="24"/>
              </w:rPr>
              <w:t>近红外脑功能成像系统</w:t>
            </w:r>
          </w:p>
        </w:tc>
        <w:tc>
          <w:tcPr>
            <w:tcW w:w="806" w:type="dxa"/>
            <w:tcMar>
              <w:top w:w="0" w:type="dxa"/>
              <w:left w:w="108" w:type="dxa"/>
              <w:bottom w:w="0" w:type="dxa"/>
              <w:right w:w="108" w:type="dxa"/>
            </w:tcMar>
            <w:vAlign w:val="center"/>
          </w:tcPr>
          <w:p w:rsidR="00407A1B" w:rsidRPr="00407A1B" w:rsidRDefault="00407A1B" w:rsidP="00407A1B">
            <w:pPr>
              <w:widowControl/>
              <w:spacing w:after="78" w:line="360" w:lineRule="auto"/>
              <w:jc w:val="center"/>
              <w:rPr>
                <w:rFonts w:ascii="宋体" w:eastAsia="宋体" w:hAnsi="宋体" w:cs="宋体" w:hint="eastAsia"/>
                <w:bCs/>
                <w:kern w:val="0"/>
                <w:szCs w:val="21"/>
              </w:rPr>
            </w:pPr>
            <w:r w:rsidRPr="00407A1B">
              <w:rPr>
                <w:rFonts w:ascii="宋体" w:eastAsia="宋体" w:hAnsi="宋体" w:cs="宋体" w:hint="eastAsia"/>
                <w:bCs/>
                <w:kern w:val="0"/>
                <w:szCs w:val="21"/>
              </w:rPr>
              <w:t>1</w:t>
            </w:r>
          </w:p>
        </w:tc>
        <w:tc>
          <w:tcPr>
            <w:tcW w:w="1083" w:type="dxa"/>
            <w:vAlign w:val="center"/>
          </w:tcPr>
          <w:p w:rsidR="00407A1B" w:rsidRPr="00407A1B" w:rsidRDefault="00407A1B" w:rsidP="00407A1B">
            <w:pPr>
              <w:widowControl/>
              <w:spacing w:after="78" w:line="360" w:lineRule="auto"/>
              <w:jc w:val="center"/>
              <w:rPr>
                <w:rFonts w:ascii="宋体" w:eastAsia="宋体" w:hAnsi="宋体" w:cs="宋体" w:hint="eastAsia"/>
                <w:bCs/>
                <w:kern w:val="0"/>
                <w:szCs w:val="21"/>
              </w:rPr>
            </w:pPr>
            <w:r w:rsidRPr="00407A1B">
              <w:rPr>
                <w:rFonts w:ascii="宋体" w:eastAsia="宋体" w:hAnsi="宋体" w:cs="宋体" w:hint="eastAsia"/>
                <w:bCs/>
                <w:kern w:val="0"/>
                <w:szCs w:val="21"/>
              </w:rPr>
              <w:t>套</w:t>
            </w:r>
          </w:p>
        </w:tc>
        <w:tc>
          <w:tcPr>
            <w:tcW w:w="1876" w:type="dxa"/>
            <w:vAlign w:val="center"/>
          </w:tcPr>
          <w:p w:rsidR="00407A1B" w:rsidRPr="00407A1B" w:rsidRDefault="00407A1B" w:rsidP="00407A1B">
            <w:pPr>
              <w:spacing w:after="78"/>
              <w:jc w:val="center"/>
              <w:rPr>
                <w:rFonts w:ascii="宋体" w:eastAsia="宋体" w:hAnsi="宋体" w:cs="宋体"/>
                <w:bCs/>
                <w:kern w:val="0"/>
                <w:szCs w:val="21"/>
              </w:rPr>
            </w:pPr>
            <w:r w:rsidRPr="00407A1B">
              <w:rPr>
                <w:rFonts w:ascii="宋体" w:eastAsia="宋体" w:hAnsi="宋体" w:cs="宋体" w:hint="eastAsia"/>
                <w:bCs/>
                <w:kern w:val="0"/>
                <w:szCs w:val="21"/>
              </w:rPr>
              <w:t>950000</w:t>
            </w:r>
          </w:p>
        </w:tc>
        <w:tc>
          <w:tcPr>
            <w:tcW w:w="1417" w:type="dxa"/>
            <w:vAlign w:val="center"/>
          </w:tcPr>
          <w:p w:rsidR="00407A1B" w:rsidRPr="00407A1B" w:rsidRDefault="00407A1B" w:rsidP="00407A1B">
            <w:pPr>
              <w:spacing w:afterLines="25" w:line="300" w:lineRule="auto"/>
              <w:jc w:val="center"/>
              <w:rPr>
                <w:rFonts w:ascii="宋体" w:eastAsia="宋体" w:hAnsi="宋体" w:cs="宋体"/>
                <w:szCs w:val="24"/>
              </w:rPr>
            </w:pPr>
            <w:r w:rsidRPr="00407A1B">
              <w:rPr>
                <w:rFonts w:ascii="宋体" w:eastAsia="宋体" w:hAnsi="宋体" w:cs="宋体" w:hint="eastAsia"/>
                <w:szCs w:val="24"/>
              </w:rPr>
              <w:t>拒绝进口</w:t>
            </w:r>
          </w:p>
        </w:tc>
      </w:tr>
    </w:tbl>
    <w:p w:rsidR="00407A1B" w:rsidRPr="00407A1B" w:rsidRDefault="00407A1B" w:rsidP="00407A1B">
      <w:pPr>
        <w:widowControl/>
        <w:spacing w:line="360" w:lineRule="auto"/>
        <w:ind w:firstLineChars="200" w:firstLine="422"/>
        <w:jc w:val="left"/>
        <w:rPr>
          <w:rFonts w:ascii="宋体" w:eastAsia="宋体" w:hAnsi="宋体" w:cs="宋体" w:hint="eastAsia"/>
          <w:b/>
          <w:bCs/>
          <w:kern w:val="0"/>
          <w:szCs w:val="21"/>
        </w:rPr>
      </w:pPr>
    </w:p>
    <w:p w:rsidR="00407A1B" w:rsidRPr="00407A1B" w:rsidRDefault="00407A1B" w:rsidP="00407A1B">
      <w:pPr>
        <w:widowControl/>
        <w:spacing w:line="360" w:lineRule="auto"/>
        <w:jc w:val="left"/>
        <w:rPr>
          <w:rFonts w:ascii="宋体" w:eastAsia="宋体" w:hAnsi="宋体" w:cs="宋体" w:hint="eastAsia"/>
          <w:b/>
          <w:bCs/>
          <w:kern w:val="0"/>
          <w:szCs w:val="21"/>
        </w:rPr>
      </w:pPr>
    </w:p>
    <w:p w:rsidR="00407A1B" w:rsidRPr="00407A1B" w:rsidRDefault="00407A1B" w:rsidP="00407A1B">
      <w:pPr>
        <w:widowControl/>
        <w:spacing w:line="360" w:lineRule="auto"/>
        <w:ind w:firstLineChars="200" w:firstLine="422"/>
        <w:jc w:val="left"/>
        <w:rPr>
          <w:rFonts w:ascii="宋体" w:eastAsia="宋体" w:hAnsi="宋体" w:cs="宋体"/>
          <w:bCs/>
          <w:kern w:val="0"/>
          <w:szCs w:val="21"/>
        </w:rPr>
      </w:pPr>
      <w:r w:rsidRPr="00407A1B">
        <w:rPr>
          <w:rFonts w:ascii="宋体" w:eastAsia="宋体" w:hAnsi="宋体" w:cs="宋体" w:hint="eastAsia"/>
          <w:b/>
          <w:bCs/>
          <w:kern w:val="0"/>
          <w:szCs w:val="21"/>
        </w:rPr>
        <w:t>说明：</w:t>
      </w:r>
    </w:p>
    <w:p w:rsidR="00407A1B" w:rsidRPr="00407A1B" w:rsidRDefault="00407A1B" w:rsidP="00407A1B">
      <w:pPr>
        <w:widowControl/>
        <w:spacing w:line="360" w:lineRule="auto"/>
        <w:ind w:firstLineChars="200" w:firstLine="422"/>
        <w:jc w:val="left"/>
        <w:rPr>
          <w:rFonts w:ascii="宋体" w:eastAsia="宋体" w:hAnsi="宋体" w:cs="宋体" w:hint="eastAsia"/>
          <w:b/>
          <w:bCs/>
          <w:kern w:val="0"/>
          <w:szCs w:val="21"/>
        </w:rPr>
      </w:pPr>
      <w:r w:rsidRPr="00407A1B">
        <w:rPr>
          <w:rFonts w:ascii="宋体" w:eastAsia="宋体" w:hAnsi="宋体" w:cs="宋体" w:hint="eastAsia"/>
          <w:b/>
          <w:bCs/>
          <w:kern w:val="0"/>
          <w:szCs w:val="21"/>
        </w:rPr>
        <w:t>1、进口产品，是指通过中国海关报关验放进入中国境内且产自关境外的产品。</w:t>
      </w:r>
    </w:p>
    <w:p w:rsidR="00407A1B" w:rsidRPr="00407A1B" w:rsidRDefault="00407A1B" w:rsidP="00407A1B">
      <w:pPr>
        <w:widowControl/>
        <w:spacing w:line="360" w:lineRule="auto"/>
        <w:ind w:firstLineChars="200" w:firstLine="422"/>
        <w:jc w:val="left"/>
        <w:rPr>
          <w:rFonts w:ascii="宋体" w:eastAsia="宋体" w:hAnsi="宋体" w:cs="宋体" w:hint="eastAsia"/>
          <w:b/>
          <w:bCs/>
          <w:kern w:val="0"/>
          <w:szCs w:val="21"/>
        </w:rPr>
      </w:pPr>
      <w:r w:rsidRPr="00407A1B">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407A1B" w:rsidRPr="00407A1B" w:rsidRDefault="00407A1B" w:rsidP="00407A1B">
      <w:pPr>
        <w:widowControl/>
        <w:spacing w:line="360" w:lineRule="auto"/>
        <w:ind w:firstLineChars="200" w:firstLine="422"/>
        <w:jc w:val="left"/>
        <w:rPr>
          <w:rFonts w:ascii="宋体" w:eastAsia="宋体" w:hAnsi="宋体" w:cs="宋体"/>
          <w:b/>
          <w:bCs/>
          <w:kern w:val="0"/>
          <w:szCs w:val="21"/>
        </w:rPr>
      </w:pPr>
      <w:r w:rsidRPr="00407A1B">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407A1B" w:rsidRPr="00407A1B" w:rsidRDefault="00407A1B" w:rsidP="00407A1B">
      <w:pPr>
        <w:widowControl/>
        <w:spacing w:line="360" w:lineRule="auto"/>
        <w:ind w:firstLineChars="200" w:firstLine="420"/>
        <w:jc w:val="left"/>
        <w:rPr>
          <w:rFonts w:ascii="宋体" w:eastAsia="宋体" w:hAnsi="宋体" w:cs="宋体"/>
          <w:bCs/>
          <w:kern w:val="0"/>
          <w:szCs w:val="21"/>
        </w:rPr>
      </w:pPr>
      <w:r w:rsidRPr="00407A1B">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07A1B" w:rsidRPr="00407A1B" w:rsidRDefault="00407A1B" w:rsidP="00407A1B">
      <w:pPr>
        <w:widowControl/>
        <w:spacing w:line="360" w:lineRule="auto"/>
        <w:ind w:firstLineChars="200" w:firstLine="420"/>
        <w:jc w:val="left"/>
        <w:rPr>
          <w:rFonts w:ascii="宋体" w:eastAsia="宋体" w:hAnsi="宋体" w:cs="宋体"/>
          <w:bCs/>
          <w:kern w:val="0"/>
          <w:szCs w:val="21"/>
        </w:rPr>
      </w:pPr>
      <w:r w:rsidRPr="00407A1B">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07A1B" w:rsidRPr="00407A1B" w:rsidRDefault="00407A1B" w:rsidP="00407A1B">
      <w:pPr>
        <w:spacing w:after="60" w:line="360" w:lineRule="auto"/>
        <w:ind w:firstLineChars="196" w:firstLine="412"/>
        <w:rPr>
          <w:rFonts w:ascii="宋体" w:eastAsia="宋体" w:hAnsi="宋体" w:cs="宋体" w:hint="eastAsia"/>
          <w:bCs/>
          <w:kern w:val="0"/>
          <w:szCs w:val="21"/>
        </w:rPr>
      </w:pPr>
      <w:r w:rsidRPr="00407A1B">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（3）非单一产品采购项目，采购人应当根据采购项目技术构成、产品价格比重等合理确定核心产品，并在招标文件中载明。多家投标人提供的核心产品品牌相同的，按前两款规定处理。</w:t>
      </w:r>
    </w:p>
    <w:p w:rsidR="00407A1B" w:rsidRPr="00407A1B" w:rsidRDefault="00407A1B" w:rsidP="00407A1B">
      <w:pPr>
        <w:spacing w:after="60" w:line="360" w:lineRule="auto"/>
        <w:ind w:firstLineChars="196" w:firstLine="413"/>
        <w:rPr>
          <w:rFonts w:ascii="Times New Roman" w:eastAsia="宋体" w:hAnsi="Times New Roman" w:cs="Times New Roman"/>
          <w:szCs w:val="24"/>
        </w:rPr>
      </w:pPr>
      <w:r w:rsidRPr="00407A1B">
        <w:rPr>
          <w:rFonts w:ascii="宋体" w:eastAsia="宋体" w:hAnsi="宋体" w:cs="宋体" w:hint="eastAsia"/>
          <w:b/>
          <w:bCs/>
          <w:kern w:val="0"/>
          <w:szCs w:val="21"/>
          <w:highlight w:val="yellow"/>
        </w:rPr>
        <w:t>（本项目的核心产品为：近红外脑功能成像系统）</w:t>
      </w:r>
      <w:r w:rsidRPr="00407A1B">
        <w:rPr>
          <w:rFonts w:ascii="宋体" w:eastAsia="宋体" w:hAnsi="宋体" w:cs="宋体" w:hint="eastAsia"/>
          <w:bCs/>
          <w:kern w:val="0"/>
          <w:szCs w:val="21"/>
        </w:rPr>
        <w:t>。</w:t>
      </w:r>
    </w:p>
    <w:p w:rsidR="00407A1B" w:rsidRPr="00407A1B" w:rsidRDefault="00407A1B" w:rsidP="00407A1B">
      <w:pPr>
        <w:keepNext/>
        <w:keepLines/>
        <w:spacing w:before="260" w:after="260" w:line="360" w:lineRule="auto"/>
        <w:outlineLvl w:val="1"/>
        <w:rPr>
          <w:rFonts w:ascii="宋体" w:eastAsia="宋体" w:hAnsi="宋体" w:cs="Times New Roman" w:hint="eastAsia"/>
          <w:b/>
          <w:bCs/>
          <w:color w:val="000000"/>
          <w:kern w:val="0"/>
          <w:sz w:val="24"/>
          <w:szCs w:val="24"/>
          <w:lang/>
        </w:rPr>
      </w:pPr>
      <w:bookmarkStart w:id="5" w:name="_Toc203579065"/>
      <w:proofErr w:type="spellStart"/>
      <w:r w:rsidRPr="00407A1B">
        <w:rPr>
          <w:rFonts w:ascii="宋体" w:eastAsia="宋体" w:hAnsi="宋体" w:cs="Times New Roman" w:hint="eastAsia"/>
          <w:b/>
          <w:bCs/>
          <w:color w:val="000000"/>
          <w:kern w:val="0"/>
          <w:sz w:val="28"/>
          <w:szCs w:val="28"/>
          <w:lang/>
        </w:rPr>
        <w:lastRenderedPageBreak/>
        <w:t>二、技术要求</w:t>
      </w:r>
      <w:bookmarkEnd w:id="5"/>
      <w:proofErr w:type="spellEnd"/>
    </w:p>
    <w:p w:rsidR="00407A1B" w:rsidRPr="00407A1B" w:rsidRDefault="00407A1B" w:rsidP="00407A1B">
      <w:pPr>
        <w:widowControl/>
        <w:spacing w:line="360" w:lineRule="auto"/>
        <w:ind w:firstLineChars="200" w:firstLine="482"/>
        <w:jc w:val="left"/>
        <w:rPr>
          <w:rFonts w:ascii="仿宋_GB2312" w:eastAsia="宋体" w:hAnsi="Calibri" w:cs="Times New Roman"/>
          <w:b/>
          <w:bCs/>
          <w:sz w:val="24"/>
          <w:szCs w:val="28"/>
        </w:rPr>
      </w:pPr>
      <w:bookmarkStart w:id="6" w:name="_Hlk72585069"/>
      <w:r w:rsidRPr="00407A1B">
        <w:rPr>
          <w:rFonts w:ascii="仿宋_GB2312" w:eastAsia="宋体" w:hAnsi="Calibri" w:cs="Times New Roman" w:hint="eastAsia"/>
          <w:b/>
          <w:bCs/>
          <w:sz w:val="24"/>
          <w:szCs w:val="28"/>
        </w:rPr>
        <w:t>（一）货物用途</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6"/>
        <w:gridCol w:w="7473"/>
      </w:tblGrid>
      <w:tr w:rsidR="00407A1B" w:rsidRPr="00407A1B" w:rsidTr="00B14228">
        <w:trPr>
          <w:trHeight w:val="397"/>
          <w:jc w:val="center"/>
        </w:trPr>
        <w:tc>
          <w:tcPr>
            <w:tcW w:w="1236" w:type="dxa"/>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用途</w:t>
            </w:r>
          </w:p>
        </w:tc>
        <w:tc>
          <w:tcPr>
            <w:tcW w:w="7473" w:type="dxa"/>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通过检测照射在生理机体表面的近红外光的吸收量变化，从而对脑皮质表面区域血液中的氧合、脱氧血红蛋白的浓度变化进行多点测量，可获得血液量变化的分布、脑代谢及循环状态的图谱图像，显示脑活化状态数据。</w:t>
            </w:r>
          </w:p>
        </w:tc>
      </w:tr>
    </w:tbl>
    <w:p w:rsidR="00407A1B" w:rsidRPr="00407A1B" w:rsidRDefault="00407A1B" w:rsidP="00407A1B">
      <w:pPr>
        <w:widowControl/>
        <w:spacing w:line="360" w:lineRule="auto"/>
        <w:ind w:firstLineChars="200" w:firstLine="482"/>
        <w:jc w:val="left"/>
        <w:rPr>
          <w:rFonts w:ascii="仿宋_GB2312" w:eastAsia="宋体" w:hAnsi="Calibri" w:cs="Times New Roman" w:hint="eastAsia"/>
          <w:b/>
          <w:bCs/>
          <w:sz w:val="24"/>
          <w:szCs w:val="28"/>
        </w:rPr>
      </w:pPr>
    </w:p>
    <w:p w:rsidR="00407A1B" w:rsidRPr="00407A1B" w:rsidRDefault="00407A1B" w:rsidP="00407A1B">
      <w:pPr>
        <w:widowControl/>
        <w:spacing w:line="360" w:lineRule="auto"/>
        <w:ind w:firstLineChars="200" w:firstLine="482"/>
        <w:jc w:val="left"/>
        <w:rPr>
          <w:rFonts w:ascii="仿宋_GB2312" w:eastAsia="宋体" w:hAnsi="Calibri" w:cs="Times New Roman" w:hint="eastAsia"/>
          <w:b/>
          <w:bCs/>
          <w:sz w:val="24"/>
          <w:szCs w:val="28"/>
        </w:rPr>
      </w:pPr>
      <w:r w:rsidRPr="00407A1B">
        <w:rPr>
          <w:rFonts w:ascii="仿宋_GB2312" w:eastAsia="宋体" w:hAnsi="Calibri" w:cs="Times New Roman" w:hint="eastAsia"/>
          <w:b/>
          <w:bCs/>
          <w:sz w:val="24"/>
          <w:szCs w:val="28"/>
        </w:rPr>
        <w:t>（二）主要技术参数和指标</w:t>
      </w:r>
    </w:p>
    <w:p w:rsidR="00407A1B" w:rsidRPr="00407A1B" w:rsidRDefault="00407A1B" w:rsidP="00407A1B">
      <w:pPr>
        <w:widowControl/>
        <w:spacing w:line="360" w:lineRule="auto"/>
        <w:ind w:firstLineChars="200" w:firstLine="482"/>
        <w:jc w:val="left"/>
        <w:rPr>
          <w:rFonts w:ascii="仿宋_GB2312" w:eastAsia="宋体" w:hAnsi="Calibri" w:cs="Times New Roman" w:hint="eastAsia"/>
          <w:sz w:val="24"/>
          <w:szCs w:val="28"/>
        </w:rPr>
      </w:pPr>
      <w:r w:rsidRPr="00407A1B">
        <w:rPr>
          <w:rFonts w:ascii="仿宋_GB2312" w:eastAsia="宋体" w:hAnsi="Calibri" w:cs="Times New Roman" w:hint="eastAsia"/>
          <w:b/>
          <w:bCs/>
          <w:sz w:val="24"/>
          <w:szCs w:val="28"/>
        </w:rPr>
        <w:t>（带▲号参数为重要参数，其他参数（非▲号参数）为普通参数，如出现负偏离，将按照评分准则做扣分处理。带★号参数为不可负偏离参数，如出现负偏离，将按投标无效处理）。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1026"/>
        <w:gridCol w:w="1318"/>
        <w:gridCol w:w="5718"/>
      </w:tblGrid>
      <w:tr w:rsidR="00407A1B" w:rsidRPr="00407A1B" w:rsidTr="00B14228">
        <w:trPr>
          <w:trHeight w:val="585"/>
        </w:trPr>
        <w:tc>
          <w:tcPr>
            <w:tcW w:w="267" w:type="pct"/>
            <w:vAlign w:val="center"/>
          </w:tcPr>
          <w:bookmarkEnd w:id="6"/>
          <w:p w:rsidR="00407A1B" w:rsidRPr="00407A1B" w:rsidRDefault="00407A1B" w:rsidP="00407A1B">
            <w:pPr>
              <w:widowControl/>
              <w:spacing w:line="360" w:lineRule="auto"/>
              <w:jc w:val="center"/>
              <w:rPr>
                <w:rFonts w:ascii="仿宋_GB2312" w:eastAsia="宋体" w:hAnsi="Calibri" w:cs="Times New Roman"/>
                <w:b/>
                <w:bCs/>
                <w:sz w:val="24"/>
                <w:szCs w:val="28"/>
              </w:rPr>
            </w:pPr>
            <w:r w:rsidRPr="00407A1B">
              <w:rPr>
                <w:rFonts w:ascii="仿宋_GB2312" w:eastAsia="宋体" w:hAnsi="Calibri" w:cs="Times New Roman" w:hint="eastAsia"/>
                <w:b/>
                <w:bCs/>
                <w:sz w:val="24"/>
                <w:szCs w:val="28"/>
              </w:rPr>
              <w:t>序号</w:t>
            </w:r>
          </w:p>
        </w:tc>
        <w:tc>
          <w:tcPr>
            <w:tcW w:w="603" w:type="pct"/>
            <w:vAlign w:val="center"/>
          </w:tcPr>
          <w:p w:rsidR="00407A1B" w:rsidRPr="00407A1B" w:rsidRDefault="00407A1B" w:rsidP="00407A1B">
            <w:pPr>
              <w:widowControl/>
              <w:spacing w:line="360" w:lineRule="auto"/>
              <w:jc w:val="center"/>
              <w:rPr>
                <w:rFonts w:ascii="仿宋_GB2312" w:eastAsia="宋体" w:hAnsi="Calibri" w:cs="Times New Roman"/>
                <w:b/>
                <w:bCs/>
                <w:sz w:val="24"/>
                <w:szCs w:val="28"/>
              </w:rPr>
            </w:pPr>
            <w:r w:rsidRPr="00407A1B">
              <w:rPr>
                <w:rFonts w:ascii="仿宋_GB2312" w:eastAsia="宋体" w:hAnsi="Calibri" w:cs="Times New Roman" w:hint="eastAsia"/>
                <w:b/>
                <w:bCs/>
                <w:sz w:val="24"/>
                <w:szCs w:val="28"/>
              </w:rPr>
              <w:t>货物名称</w:t>
            </w:r>
          </w:p>
        </w:tc>
        <w:tc>
          <w:tcPr>
            <w:tcW w:w="774" w:type="pct"/>
            <w:vAlign w:val="center"/>
          </w:tcPr>
          <w:p w:rsidR="00407A1B" w:rsidRPr="00407A1B" w:rsidRDefault="00407A1B" w:rsidP="00407A1B">
            <w:pPr>
              <w:widowControl/>
              <w:spacing w:line="360" w:lineRule="auto"/>
              <w:ind w:firstLineChars="82" w:firstLine="198"/>
              <w:jc w:val="center"/>
              <w:rPr>
                <w:rFonts w:ascii="仿宋_GB2312" w:eastAsia="宋体" w:hAnsi="Calibri" w:cs="Times New Roman" w:hint="eastAsia"/>
                <w:b/>
                <w:bCs/>
                <w:sz w:val="24"/>
                <w:szCs w:val="28"/>
              </w:rPr>
            </w:pPr>
            <w:r w:rsidRPr="00407A1B">
              <w:rPr>
                <w:rFonts w:ascii="仿宋_GB2312" w:eastAsia="宋体" w:hAnsi="Calibri" w:cs="Times New Roman" w:hint="eastAsia"/>
                <w:b/>
                <w:bCs/>
                <w:sz w:val="24"/>
                <w:szCs w:val="28"/>
              </w:rPr>
              <w:t>配置</w:t>
            </w:r>
          </w:p>
        </w:tc>
        <w:tc>
          <w:tcPr>
            <w:tcW w:w="3355" w:type="pct"/>
            <w:vAlign w:val="center"/>
          </w:tcPr>
          <w:p w:rsidR="00407A1B" w:rsidRPr="00407A1B" w:rsidRDefault="00407A1B" w:rsidP="00407A1B">
            <w:pPr>
              <w:widowControl/>
              <w:spacing w:line="360" w:lineRule="auto"/>
              <w:ind w:firstLineChars="200" w:firstLine="482"/>
              <w:jc w:val="center"/>
              <w:rPr>
                <w:rFonts w:ascii="仿宋_GB2312" w:eastAsia="宋体" w:hAnsi="Calibri" w:cs="Times New Roman"/>
                <w:b/>
                <w:bCs/>
                <w:sz w:val="24"/>
                <w:szCs w:val="28"/>
              </w:rPr>
            </w:pPr>
            <w:r w:rsidRPr="00407A1B">
              <w:rPr>
                <w:rFonts w:ascii="仿宋_GB2312" w:eastAsia="宋体" w:hAnsi="Calibri" w:cs="Times New Roman" w:hint="eastAsia"/>
                <w:b/>
                <w:bCs/>
                <w:sz w:val="24"/>
                <w:szCs w:val="28"/>
              </w:rPr>
              <w:t>招标技术要求</w:t>
            </w:r>
          </w:p>
        </w:tc>
      </w:tr>
      <w:tr w:rsidR="00407A1B" w:rsidRPr="00407A1B" w:rsidTr="00B14228">
        <w:trPr>
          <w:trHeight w:val="94"/>
        </w:trPr>
        <w:tc>
          <w:tcPr>
            <w:tcW w:w="267" w:type="pct"/>
            <w:vMerge w:val="restart"/>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w:t>
            </w:r>
          </w:p>
        </w:tc>
        <w:tc>
          <w:tcPr>
            <w:tcW w:w="603" w:type="pct"/>
            <w:vMerge w:val="restart"/>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近红外脑功能成像系统</w:t>
            </w:r>
          </w:p>
        </w:tc>
        <w:tc>
          <w:tcPr>
            <w:tcW w:w="774" w:type="pct"/>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主要技术及系统要求</w:t>
            </w:r>
          </w:p>
        </w:tc>
        <w:tc>
          <w:tcPr>
            <w:tcW w:w="3355" w:type="pct"/>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技术路线：分频采集；</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2.</w:t>
            </w:r>
            <w:r w:rsidRPr="00407A1B">
              <w:rPr>
                <w:rFonts w:ascii="仿宋_GB2312" w:eastAsia="宋体" w:hAnsi="Calibri" w:cs="Times New Roman" w:hint="eastAsia"/>
                <w:sz w:val="24"/>
                <w:szCs w:val="28"/>
              </w:rPr>
              <w:t>检测光源：采用两波长光源进行测量；</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w:t>
            </w:r>
            <w:r w:rsidRPr="00407A1B">
              <w:rPr>
                <w:rFonts w:ascii="仿宋_GB2312" w:eastAsia="宋体" w:hAnsi="Calibri" w:cs="Times New Roman"/>
                <w:sz w:val="24"/>
                <w:szCs w:val="28"/>
              </w:rPr>
              <w:t>3.</w:t>
            </w:r>
            <w:r w:rsidRPr="00407A1B">
              <w:rPr>
                <w:rFonts w:ascii="仿宋_GB2312" w:eastAsia="宋体" w:hAnsi="Calibri" w:cs="Times New Roman" w:hint="eastAsia"/>
                <w:sz w:val="24"/>
                <w:szCs w:val="28"/>
              </w:rPr>
              <w:t>波长间隔≥</w:t>
            </w:r>
            <w:r w:rsidRPr="00407A1B">
              <w:rPr>
                <w:rFonts w:ascii="仿宋_GB2312" w:eastAsia="宋体" w:hAnsi="Calibri" w:cs="Times New Roman"/>
                <w:sz w:val="24"/>
                <w:szCs w:val="28"/>
              </w:rPr>
              <w:t>1</w:t>
            </w:r>
            <w:r w:rsidRPr="00407A1B">
              <w:rPr>
                <w:rFonts w:ascii="仿宋_GB2312" w:eastAsia="宋体" w:hAnsi="Calibri" w:cs="Times New Roman" w:hint="eastAsia"/>
                <w:sz w:val="24"/>
                <w:szCs w:val="28"/>
              </w:rPr>
              <w:t>20</w:t>
            </w:r>
            <w:r w:rsidRPr="00407A1B">
              <w:rPr>
                <w:rFonts w:ascii="仿宋_GB2312" w:eastAsia="宋体" w:hAnsi="Calibri" w:cs="Times New Roman"/>
                <w:sz w:val="24"/>
                <w:szCs w:val="28"/>
              </w:rPr>
              <w:t>nm</w:t>
            </w:r>
            <w:r w:rsidRPr="00407A1B">
              <w:rPr>
                <w:rFonts w:ascii="仿宋_GB2312" w:eastAsia="宋体" w:hAnsi="Calibri" w:cs="Times New Roman" w:hint="eastAsia"/>
                <w:sz w:val="24"/>
                <w:szCs w:val="28"/>
              </w:rPr>
              <w:t>，在一定范围内，波段间隔越大，所采集到的数据越能区分出不同血红蛋白的真实变化值；</w:t>
            </w:r>
            <w:r w:rsidRPr="00407A1B">
              <w:rPr>
                <w:rFonts w:ascii="仿宋_GB2312" w:eastAsia="宋体" w:hAnsi="Calibri" w:cs="Times New Roman" w:hint="eastAsia"/>
                <w:b/>
                <w:sz w:val="24"/>
                <w:szCs w:val="28"/>
              </w:rPr>
              <w:t>（具备</w:t>
            </w:r>
            <w:r w:rsidRPr="00407A1B">
              <w:rPr>
                <w:rFonts w:ascii="仿宋_GB2312" w:eastAsia="宋体" w:hAnsi="Calibri" w:cs="Times New Roman" w:hint="eastAsia"/>
                <w:b/>
                <w:sz w:val="24"/>
                <w:szCs w:val="28"/>
              </w:rPr>
              <w:t>CMA</w:t>
            </w:r>
            <w:r w:rsidRPr="00407A1B">
              <w:rPr>
                <w:rFonts w:ascii="仿宋_GB2312" w:eastAsia="宋体" w:hAnsi="Calibri" w:cs="Times New Roman" w:hint="eastAsia"/>
                <w:b/>
                <w:sz w:val="24"/>
                <w:szCs w:val="28"/>
              </w:rPr>
              <w:t>认证资质的第三方机构出具的检测报告或药监局备案的技术要求证明）</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b/>
                <w:sz w:val="24"/>
                <w:szCs w:val="28"/>
              </w:rPr>
            </w:pP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 xml:space="preserve">4. </w:t>
            </w:r>
            <w:r w:rsidRPr="00407A1B">
              <w:rPr>
                <w:rFonts w:ascii="仿宋_GB2312" w:eastAsia="宋体" w:hAnsi="Calibri" w:cs="Times New Roman" w:hint="eastAsia"/>
                <w:sz w:val="24"/>
                <w:szCs w:val="28"/>
              </w:rPr>
              <w:t>检测波长：最长波长≤</w:t>
            </w:r>
            <w:r w:rsidRPr="00407A1B">
              <w:rPr>
                <w:rFonts w:ascii="仿宋_GB2312" w:eastAsia="宋体" w:hAnsi="Calibri" w:cs="Times New Roman" w:hint="eastAsia"/>
                <w:sz w:val="24"/>
                <w:szCs w:val="28"/>
              </w:rPr>
              <w:t>835nm</w:t>
            </w:r>
            <w:r w:rsidRPr="00407A1B">
              <w:rPr>
                <w:rFonts w:ascii="仿宋_GB2312" w:eastAsia="宋体" w:hAnsi="Calibri" w:cs="Times New Roman" w:hint="eastAsia"/>
                <w:sz w:val="24"/>
                <w:szCs w:val="28"/>
              </w:rPr>
              <w:t>；</w:t>
            </w:r>
            <w:r w:rsidRPr="00407A1B">
              <w:rPr>
                <w:rFonts w:ascii="仿宋_GB2312" w:eastAsia="宋体" w:hAnsi="Calibri" w:cs="Times New Roman" w:hint="eastAsia"/>
                <w:b/>
                <w:sz w:val="24"/>
                <w:szCs w:val="28"/>
              </w:rPr>
              <w:t>（具备</w:t>
            </w:r>
            <w:r w:rsidRPr="00407A1B">
              <w:rPr>
                <w:rFonts w:ascii="仿宋_GB2312" w:eastAsia="宋体" w:hAnsi="Calibri" w:cs="Times New Roman" w:hint="eastAsia"/>
                <w:b/>
                <w:sz w:val="24"/>
                <w:szCs w:val="28"/>
              </w:rPr>
              <w:t>CMA</w:t>
            </w:r>
            <w:r w:rsidRPr="00407A1B">
              <w:rPr>
                <w:rFonts w:ascii="仿宋_GB2312" w:eastAsia="宋体" w:hAnsi="Calibri" w:cs="Times New Roman" w:hint="eastAsia"/>
                <w:b/>
                <w:sz w:val="24"/>
                <w:szCs w:val="28"/>
              </w:rPr>
              <w:t>认证资质的第三方机构出具的检测报告或药监局备案的技术要求证明）</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5.</w:t>
            </w:r>
            <w:r w:rsidRPr="00407A1B">
              <w:rPr>
                <w:rFonts w:ascii="仿宋_GB2312" w:eastAsia="宋体" w:hAnsi="Calibri" w:cs="Times New Roman" w:hint="eastAsia"/>
                <w:sz w:val="24"/>
                <w:szCs w:val="28"/>
              </w:rPr>
              <w:t>检测探头动态范围：≥</w:t>
            </w:r>
            <w:r w:rsidRPr="00407A1B">
              <w:rPr>
                <w:rFonts w:ascii="仿宋_GB2312" w:eastAsia="宋体" w:hAnsi="Calibri" w:cs="Times New Roman" w:hint="eastAsia"/>
                <w:sz w:val="24"/>
                <w:szCs w:val="28"/>
              </w:rPr>
              <w:t>100dB</w:t>
            </w:r>
            <w:r w:rsidRPr="00407A1B">
              <w:rPr>
                <w:rFonts w:ascii="仿宋_GB2312" w:eastAsia="宋体" w:hAnsi="Calibri" w:cs="Times New Roman" w:hint="eastAsia"/>
                <w:sz w:val="24"/>
                <w:szCs w:val="28"/>
              </w:rPr>
              <w:t>，支撑从儿童、成人、老年人等不同人群，从额叶到有头发的顶叶不同脑区的探测需要。</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b/>
                <w:sz w:val="24"/>
                <w:szCs w:val="28"/>
              </w:rPr>
            </w:pP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6</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光源类型：设备采用激光光源</w:t>
            </w:r>
            <w:r w:rsidRPr="00407A1B">
              <w:rPr>
                <w:rFonts w:ascii="仿宋_GB2312" w:eastAsia="宋体" w:hAnsi="Calibri" w:cs="Times New Roman" w:hint="eastAsia"/>
                <w:b/>
                <w:sz w:val="24"/>
                <w:szCs w:val="28"/>
              </w:rPr>
              <w:t>（提供技术白皮书并加盖厂家公章作为佐证材料）</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7.</w:t>
            </w:r>
            <w:r w:rsidRPr="00407A1B">
              <w:rPr>
                <w:rFonts w:ascii="仿宋_GB2312" w:eastAsia="宋体" w:hAnsi="Calibri" w:cs="Times New Roman" w:hint="eastAsia"/>
                <w:sz w:val="24"/>
                <w:szCs w:val="28"/>
              </w:rPr>
              <w:t>激光光源安全等级不低于</w:t>
            </w:r>
            <w:r w:rsidRPr="00407A1B">
              <w:rPr>
                <w:rFonts w:ascii="仿宋_GB2312" w:eastAsia="宋体" w:hAnsi="Calibri" w:cs="Times New Roman" w:hint="eastAsia"/>
                <w:sz w:val="24"/>
                <w:szCs w:val="28"/>
              </w:rPr>
              <w:t>Class1</w:t>
            </w:r>
            <w:r w:rsidRPr="00407A1B">
              <w:rPr>
                <w:rFonts w:ascii="仿宋_GB2312" w:eastAsia="宋体" w:hAnsi="Calibri" w:cs="Times New Roman" w:hint="eastAsia"/>
                <w:sz w:val="24"/>
                <w:szCs w:val="28"/>
              </w:rPr>
              <w:t>级；</w:t>
            </w:r>
            <w:r w:rsidRPr="00407A1B">
              <w:rPr>
                <w:rFonts w:ascii="仿宋_GB2312" w:eastAsia="宋体" w:hAnsi="Calibri" w:cs="Times New Roman" w:hint="eastAsia"/>
                <w:b/>
                <w:sz w:val="24"/>
                <w:szCs w:val="28"/>
              </w:rPr>
              <w:t>（具备</w:t>
            </w:r>
            <w:r w:rsidRPr="00407A1B">
              <w:rPr>
                <w:rFonts w:ascii="仿宋_GB2312" w:eastAsia="宋体" w:hAnsi="Calibri" w:cs="Times New Roman" w:hint="eastAsia"/>
                <w:b/>
                <w:sz w:val="24"/>
                <w:szCs w:val="28"/>
              </w:rPr>
              <w:lastRenderedPageBreak/>
              <w:t>CMA</w:t>
            </w:r>
            <w:r w:rsidRPr="00407A1B">
              <w:rPr>
                <w:rFonts w:ascii="仿宋_GB2312" w:eastAsia="宋体" w:hAnsi="Calibri" w:cs="Times New Roman" w:hint="eastAsia"/>
                <w:b/>
                <w:sz w:val="24"/>
                <w:szCs w:val="28"/>
              </w:rPr>
              <w:t>认证资质的第三方机构出具的检测报告或药监局备案的技术要求证明）</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8.</w:t>
            </w:r>
            <w:r w:rsidRPr="00407A1B">
              <w:rPr>
                <w:rFonts w:ascii="仿宋_GB2312" w:eastAsia="宋体" w:hAnsi="Calibri" w:cs="Times New Roman" w:hint="eastAsia"/>
                <w:sz w:val="24"/>
                <w:szCs w:val="28"/>
              </w:rPr>
              <w:t>探测器类型：</w:t>
            </w:r>
            <w:r w:rsidRPr="00407A1B">
              <w:rPr>
                <w:rFonts w:ascii="仿宋_GB2312" w:eastAsia="宋体" w:hAnsi="Calibri" w:cs="Times New Roman" w:hint="eastAsia"/>
                <w:sz w:val="24"/>
                <w:szCs w:val="28"/>
              </w:rPr>
              <w:t>APD</w:t>
            </w:r>
            <w:r w:rsidRPr="00407A1B">
              <w:rPr>
                <w:rFonts w:ascii="仿宋_GB2312" w:eastAsia="宋体" w:hAnsi="Calibri" w:cs="Times New Roman" w:hint="eastAsia"/>
                <w:sz w:val="24"/>
                <w:szCs w:val="28"/>
              </w:rPr>
              <w:t>（雪崩光电二级管）</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9</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光纤探头形态：采用</w:t>
            </w:r>
            <w:r w:rsidRPr="00407A1B">
              <w:rPr>
                <w:rFonts w:ascii="仿宋_GB2312" w:eastAsia="宋体" w:hAnsi="Calibri" w:cs="Times New Roman" w:hint="eastAsia"/>
                <w:sz w:val="24"/>
                <w:szCs w:val="28"/>
              </w:rPr>
              <w:t>L</w:t>
            </w:r>
            <w:r w:rsidRPr="00407A1B">
              <w:rPr>
                <w:rFonts w:ascii="仿宋_GB2312" w:eastAsia="宋体" w:hAnsi="Calibri" w:cs="Times New Roman" w:hint="eastAsia"/>
                <w:sz w:val="24"/>
                <w:szCs w:val="28"/>
              </w:rPr>
              <w:t>型形态设计，满足不同场景的需求；</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10</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光纤材质与长度：石英光纤，长度≥</w:t>
            </w:r>
            <w:r w:rsidRPr="00407A1B">
              <w:rPr>
                <w:rFonts w:ascii="仿宋_GB2312" w:eastAsia="宋体" w:hAnsi="Calibri" w:cs="Times New Roman"/>
                <w:sz w:val="24"/>
                <w:szCs w:val="28"/>
              </w:rPr>
              <w:t>3</w:t>
            </w:r>
            <w:r w:rsidRPr="00407A1B">
              <w:rPr>
                <w:rFonts w:ascii="仿宋_GB2312" w:eastAsia="宋体" w:hAnsi="Calibri" w:cs="Times New Roman" w:hint="eastAsia"/>
                <w:sz w:val="24"/>
                <w:szCs w:val="28"/>
              </w:rPr>
              <w:t>.5</w:t>
            </w:r>
            <w:r w:rsidRPr="00407A1B">
              <w:rPr>
                <w:rFonts w:ascii="仿宋_GB2312" w:eastAsia="宋体" w:hAnsi="Calibri" w:cs="Times New Roman"/>
                <w:sz w:val="24"/>
                <w:szCs w:val="28"/>
              </w:rPr>
              <w:t>m</w:t>
            </w:r>
            <w:r w:rsidRPr="00407A1B">
              <w:rPr>
                <w:rFonts w:ascii="仿宋_GB2312" w:eastAsia="宋体" w:hAnsi="Calibri" w:cs="Times New Roman" w:hint="eastAsia"/>
                <w:sz w:val="24"/>
                <w:szCs w:val="28"/>
              </w:rPr>
              <w:t>；</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sz w:val="24"/>
                <w:szCs w:val="28"/>
              </w:rPr>
              <w:t>1</w:t>
            </w:r>
            <w:r w:rsidRPr="00407A1B">
              <w:rPr>
                <w:rFonts w:ascii="仿宋_GB2312" w:eastAsia="宋体" w:hAnsi="Calibri" w:cs="Times New Roman" w:hint="eastAsia"/>
                <w:sz w:val="24"/>
                <w:szCs w:val="28"/>
              </w:rPr>
              <w:t>1</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光源数量：≥</w:t>
            </w:r>
            <w:r w:rsidRPr="00407A1B">
              <w:rPr>
                <w:rFonts w:ascii="仿宋_GB2312" w:eastAsia="宋体" w:hAnsi="Calibri" w:cs="Times New Roman" w:hint="eastAsia"/>
                <w:sz w:val="24"/>
                <w:szCs w:val="28"/>
              </w:rPr>
              <w:t>16</w:t>
            </w:r>
            <w:r w:rsidRPr="00407A1B">
              <w:rPr>
                <w:rFonts w:ascii="仿宋_GB2312" w:eastAsia="宋体" w:hAnsi="Calibri" w:cs="Times New Roman" w:hint="eastAsia"/>
                <w:sz w:val="24"/>
                <w:szCs w:val="28"/>
              </w:rPr>
              <w:t>；</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12.</w:t>
            </w:r>
            <w:r w:rsidRPr="00407A1B">
              <w:rPr>
                <w:rFonts w:ascii="仿宋_GB2312" w:eastAsia="宋体" w:hAnsi="Calibri" w:cs="Times New Roman" w:hint="eastAsia"/>
                <w:sz w:val="24"/>
                <w:szCs w:val="28"/>
              </w:rPr>
              <w:t>探头数量：≥</w:t>
            </w:r>
            <w:r w:rsidRPr="00407A1B">
              <w:rPr>
                <w:rFonts w:ascii="仿宋_GB2312" w:eastAsia="宋体" w:hAnsi="Calibri" w:cs="Times New Roman" w:hint="eastAsia"/>
                <w:sz w:val="24"/>
                <w:szCs w:val="28"/>
              </w:rPr>
              <w:t>16</w:t>
            </w:r>
            <w:r w:rsidRPr="00407A1B">
              <w:rPr>
                <w:rFonts w:ascii="仿宋_GB2312" w:eastAsia="宋体" w:hAnsi="Calibri" w:cs="Times New Roman" w:hint="eastAsia"/>
                <w:sz w:val="24"/>
                <w:szCs w:val="28"/>
              </w:rPr>
              <w:t>；</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b/>
                <w:sz w:val="24"/>
                <w:szCs w:val="28"/>
              </w:rPr>
            </w:pP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13.</w:t>
            </w:r>
            <w:r w:rsidRPr="00407A1B">
              <w:rPr>
                <w:rFonts w:ascii="仿宋_GB2312" w:eastAsia="宋体" w:hAnsi="Calibri" w:cs="Times New Roman" w:hint="eastAsia"/>
                <w:sz w:val="24"/>
                <w:szCs w:val="28"/>
              </w:rPr>
              <w:t>有效检测通道数：≥</w:t>
            </w:r>
            <w:r w:rsidRPr="00407A1B">
              <w:rPr>
                <w:rFonts w:ascii="仿宋_GB2312" w:eastAsia="宋体" w:hAnsi="Calibri" w:cs="Times New Roman" w:hint="eastAsia"/>
                <w:sz w:val="24"/>
                <w:szCs w:val="28"/>
              </w:rPr>
              <w:t>49</w:t>
            </w:r>
            <w:r w:rsidRPr="00407A1B">
              <w:rPr>
                <w:rFonts w:ascii="仿宋_GB2312" w:eastAsia="宋体" w:hAnsi="Calibri" w:cs="Times New Roman" w:hint="eastAsia"/>
                <w:sz w:val="24"/>
                <w:szCs w:val="28"/>
              </w:rPr>
              <w:t>通道；</w:t>
            </w:r>
            <w:r w:rsidRPr="00407A1B">
              <w:rPr>
                <w:rFonts w:ascii="仿宋_GB2312" w:eastAsia="宋体" w:hAnsi="Calibri" w:cs="Times New Roman" w:hint="eastAsia"/>
                <w:b/>
                <w:sz w:val="24"/>
                <w:szCs w:val="28"/>
              </w:rPr>
              <w:t>（提供技术白皮书并加盖厂家公章作为佐证材料）</w:t>
            </w:r>
          </w:p>
          <w:p w:rsidR="00407A1B" w:rsidRPr="00407A1B" w:rsidRDefault="00407A1B" w:rsidP="00407A1B">
            <w:pPr>
              <w:widowControl/>
              <w:numPr>
                <w:ilvl w:val="0"/>
                <w:numId w:val="5"/>
              </w:numPr>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全通道采样频率：≥</w:t>
            </w:r>
            <w:r w:rsidRPr="00407A1B">
              <w:rPr>
                <w:rFonts w:ascii="仿宋_GB2312" w:eastAsia="宋体" w:hAnsi="Calibri" w:cs="Times New Roman" w:hint="eastAsia"/>
                <w:sz w:val="24"/>
                <w:szCs w:val="28"/>
              </w:rPr>
              <w:t>50Hz</w:t>
            </w:r>
            <w:r w:rsidRPr="00407A1B">
              <w:rPr>
                <w:rFonts w:ascii="仿宋_GB2312" w:eastAsia="宋体" w:hAnsi="Calibri" w:cs="Times New Roman" w:hint="eastAsia"/>
                <w:sz w:val="24"/>
                <w:szCs w:val="28"/>
              </w:rPr>
              <w:t>；</w:t>
            </w:r>
          </w:p>
          <w:p w:rsidR="00407A1B" w:rsidRPr="00407A1B" w:rsidRDefault="00407A1B" w:rsidP="00407A1B">
            <w:pPr>
              <w:widowControl/>
              <w:numPr>
                <w:ilvl w:val="0"/>
                <w:numId w:val="5"/>
              </w:numPr>
              <w:spacing w:line="360" w:lineRule="auto"/>
              <w:ind w:firstLineChars="200" w:firstLine="480"/>
              <w:jc w:val="left"/>
              <w:rPr>
                <w:rFonts w:ascii="仿宋_GB2312" w:eastAsia="宋体" w:hAnsi="Calibri" w:cs="Times New Roman" w:hint="eastAsia"/>
                <w:b/>
                <w:sz w:val="24"/>
                <w:szCs w:val="28"/>
              </w:rPr>
            </w:pPr>
            <w:r w:rsidRPr="00407A1B">
              <w:rPr>
                <w:rFonts w:ascii="仿宋_GB2312" w:eastAsia="宋体" w:hAnsi="Calibri" w:cs="Times New Roman" w:hint="eastAsia"/>
                <w:sz w:val="24"/>
                <w:szCs w:val="28"/>
              </w:rPr>
              <w:t>近红外设备为落地式一体机型设备（非悬挂式、简易穿戴式便携设备）</w:t>
            </w:r>
            <w:r w:rsidRPr="00407A1B">
              <w:rPr>
                <w:rFonts w:ascii="仿宋_GB2312" w:eastAsia="宋体" w:hAnsi="Calibri" w:cs="Times New Roman" w:hint="eastAsia"/>
                <w:b/>
                <w:sz w:val="24"/>
                <w:szCs w:val="28"/>
              </w:rPr>
              <w:t>（提供技术白皮书并加盖厂家公章作为佐证材料）</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16.</w:t>
            </w:r>
            <w:r w:rsidRPr="00407A1B">
              <w:rPr>
                <w:rFonts w:ascii="仿宋_GB2312" w:eastAsia="宋体" w:hAnsi="Calibri" w:cs="Times New Roman" w:hint="eastAsia"/>
                <w:sz w:val="24"/>
                <w:szCs w:val="28"/>
              </w:rPr>
              <w:t>光纤帽：可根据不同需求提供前额叶、额顶叶、顶叶与语言区、顶叶等多种头帽可选，适用不同头围人群，实现自由探测不同大脑区域；支持光纤帽定制；</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17</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 xml:space="preserve"> </w:t>
            </w:r>
            <w:r w:rsidRPr="00407A1B">
              <w:rPr>
                <w:rFonts w:ascii="仿宋_GB2312" w:eastAsia="宋体" w:hAnsi="Calibri" w:cs="Times New Roman" w:hint="eastAsia"/>
                <w:sz w:val="24"/>
                <w:szCs w:val="28"/>
              </w:rPr>
              <w:t>多模态同步研究：</w:t>
            </w:r>
            <w:r w:rsidRPr="00407A1B">
              <w:rPr>
                <w:rFonts w:ascii="仿宋_GB2312" w:eastAsia="宋体" w:hAnsi="Calibri" w:cs="Times New Roman"/>
                <w:sz w:val="24"/>
                <w:szCs w:val="28"/>
              </w:rPr>
              <w:t>脑电图（</w:t>
            </w:r>
            <w:r w:rsidRPr="00407A1B">
              <w:rPr>
                <w:rFonts w:ascii="仿宋_GB2312" w:eastAsia="宋体" w:hAnsi="Calibri" w:cs="Times New Roman"/>
                <w:sz w:val="24"/>
                <w:szCs w:val="28"/>
              </w:rPr>
              <w:t>EEG</w:t>
            </w:r>
            <w:r w:rsidRPr="00407A1B">
              <w:rPr>
                <w:rFonts w:ascii="仿宋_GB2312" w:eastAsia="宋体" w:hAnsi="Calibri" w:cs="Times New Roman"/>
                <w:sz w:val="24"/>
                <w:szCs w:val="28"/>
              </w:rPr>
              <w:t>）、经颅直流电刺激（</w:t>
            </w:r>
            <w:proofErr w:type="spellStart"/>
            <w:r w:rsidRPr="00407A1B">
              <w:rPr>
                <w:rFonts w:ascii="仿宋_GB2312" w:eastAsia="宋体" w:hAnsi="Calibri" w:cs="Times New Roman"/>
                <w:sz w:val="24"/>
                <w:szCs w:val="28"/>
              </w:rPr>
              <w:t>tDCS</w:t>
            </w:r>
            <w:proofErr w:type="spellEnd"/>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、经颅磁刺激（</w:t>
            </w:r>
            <w:r w:rsidRPr="00407A1B">
              <w:rPr>
                <w:rFonts w:ascii="仿宋_GB2312" w:eastAsia="宋体" w:hAnsi="Calibri" w:cs="Times New Roman"/>
                <w:sz w:val="24"/>
                <w:szCs w:val="28"/>
              </w:rPr>
              <w:t>TMS</w:t>
            </w:r>
            <w:r w:rsidRPr="00407A1B">
              <w:rPr>
                <w:rFonts w:ascii="仿宋_GB2312" w:eastAsia="宋体" w:hAnsi="Calibri" w:cs="Times New Roman" w:hint="eastAsia"/>
                <w:sz w:val="24"/>
                <w:szCs w:val="28"/>
              </w:rPr>
              <w:t>）</w:t>
            </w:r>
            <w:r w:rsidRPr="00407A1B">
              <w:rPr>
                <w:rFonts w:ascii="仿宋_GB2312" w:eastAsia="宋体" w:hAnsi="Calibri" w:cs="Times New Roman"/>
                <w:sz w:val="24"/>
                <w:szCs w:val="28"/>
              </w:rPr>
              <w:t>等多模态同步研究</w:t>
            </w:r>
            <w:r w:rsidRPr="00407A1B">
              <w:rPr>
                <w:rFonts w:ascii="仿宋_GB2312" w:eastAsia="宋体" w:hAnsi="Calibri" w:cs="Times New Roman" w:hint="eastAsia"/>
                <w:sz w:val="24"/>
                <w:szCs w:val="28"/>
              </w:rPr>
              <w:t>；</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b/>
                <w:sz w:val="24"/>
                <w:szCs w:val="28"/>
              </w:rPr>
            </w:pPr>
            <w:r w:rsidRPr="00407A1B">
              <w:rPr>
                <w:rFonts w:ascii="仿宋_GB2312" w:eastAsia="宋体" w:hAnsi="Calibri" w:cs="Times New Roman" w:hint="eastAsia"/>
                <w:sz w:val="24"/>
                <w:szCs w:val="28"/>
              </w:rPr>
              <w:t>18.</w:t>
            </w:r>
            <w:r w:rsidRPr="00407A1B">
              <w:rPr>
                <w:rFonts w:ascii="仿宋_GB2312" w:eastAsia="宋体" w:hAnsi="Calibri" w:cs="Times New Roman" w:hint="eastAsia"/>
                <w:sz w:val="24"/>
                <w:szCs w:val="28"/>
              </w:rPr>
              <w:t>检测软件内置经典的</w:t>
            </w:r>
            <w:r w:rsidRPr="00407A1B">
              <w:rPr>
                <w:rFonts w:ascii="仿宋_GB2312" w:eastAsia="宋体" w:hAnsi="Calibri" w:cs="Times New Roman" w:hint="eastAsia"/>
                <w:sz w:val="24"/>
                <w:szCs w:val="28"/>
              </w:rPr>
              <w:t>V</w:t>
            </w:r>
            <w:r w:rsidRPr="00407A1B">
              <w:rPr>
                <w:rFonts w:ascii="仿宋_GB2312" w:eastAsia="宋体" w:hAnsi="Calibri" w:cs="Times New Roman"/>
                <w:sz w:val="24"/>
                <w:szCs w:val="28"/>
              </w:rPr>
              <w:t>FT</w:t>
            </w:r>
            <w:r w:rsidRPr="00407A1B">
              <w:rPr>
                <w:rFonts w:ascii="仿宋_GB2312" w:eastAsia="宋体" w:hAnsi="Calibri" w:cs="Times New Roman" w:hint="eastAsia"/>
                <w:sz w:val="24"/>
                <w:szCs w:val="28"/>
              </w:rPr>
              <w:t>言语流畅刺激任务，以及数据分析与报告输出，输出指标有波形特征、峰值、均值、重心值、积分值、斜率值等，且带各类精神疾病的评语模板；</w:t>
            </w:r>
            <w:r w:rsidRPr="00407A1B">
              <w:rPr>
                <w:rFonts w:ascii="仿宋_GB2312" w:eastAsia="宋体" w:hAnsi="Calibri" w:cs="Times New Roman" w:hint="eastAsia"/>
                <w:b/>
                <w:sz w:val="24"/>
                <w:szCs w:val="28"/>
              </w:rPr>
              <w:t>（提供技术白皮书并加盖厂家公章作为佐证材料）</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19</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检测软件内置</w:t>
            </w:r>
            <w:r w:rsidRPr="00407A1B">
              <w:rPr>
                <w:rFonts w:ascii="仿宋_GB2312" w:eastAsia="宋体" w:hAnsi="Calibri" w:cs="Times New Roman"/>
                <w:sz w:val="24"/>
                <w:szCs w:val="28"/>
              </w:rPr>
              <w:t>go/</w:t>
            </w:r>
            <w:proofErr w:type="spellStart"/>
            <w:r w:rsidRPr="00407A1B">
              <w:rPr>
                <w:rFonts w:ascii="仿宋_GB2312" w:eastAsia="宋体" w:hAnsi="Calibri" w:cs="Times New Roman"/>
                <w:sz w:val="24"/>
                <w:szCs w:val="28"/>
              </w:rPr>
              <w:t>nogo</w:t>
            </w:r>
            <w:proofErr w:type="spellEnd"/>
            <w:r w:rsidRPr="00407A1B">
              <w:rPr>
                <w:rFonts w:ascii="仿宋_GB2312" w:eastAsia="宋体" w:hAnsi="Calibri" w:cs="Times New Roman" w:hint="eastAsia"/>
                <w:sz w:val="24"/>
                <w:szCs w:val="28"/>
              </w:rPr>
              <w:t>刺激任务，以及数据分析与报告输出，输出图像、指标有</w:t>
            </w: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脑激活波形图谱、三维大脑</w:t>
            </w:r>
            <w:r w:rsidRPr="00407A1B">
              <w:rPr>
                <w:rFonts w:ascii="仿宋_GB2312" w:eastAsia="宋体" w:hAnsi="Calibri" w:cs="Times New Roman" w:hint="eastAsia"/>
                <w:sz w:val="24"/>
                <w:szCs w:val="28"/>
              </w:rPr>
              <w:t>t</w:t>
            </w:r>
            <w:r w:rsidRPr="00407A1B">
              <w:rPr>
                <w:rFonts w:ascii="仿宋_GB2312" w:eastAsia="宋体" w:hAnsi="Calibri" w:cs="Times New Roman" w:hint="eastAsia"/>
                <w:sz w:val="24"/>
                <w:szCs w:val="28"/>
              </w:rPr>
              <w:t>值图、</w:t>
            </w:r>
            <w:r w:rsidRPr="00407A1B">
              <w:rPr>
                <w:rFonts w:ascii="仿宋_GB2312" w:eastAsia="宋体" w:hAnsi="Calibri" w:cs="Times New Roman" w:hint="eastAsia"/>
                <w:sz w:val="24"/>
                <w:szCs w:val="28"/>
              </w:rPr>
              <w:t>Beta</w:t>
            </w:r>
            <w:r w:rsidRPr="00407A1B">
              <w:rPr>
                <w:rFonts w:ascii="仿宋_GB2312" w:eastAsia="宋体" w:hAnsi="Calibri" w:cs="Times New Roman" w:hint="eastAsia"/>
                <w:sz w:val="24"/>
                <w:szCs w:val="28"/>
              </w:rPr>
              <w:t>值、激活范围、积分值、</w:t>
            </w:r>
            <w:r w:rsidRPr="00407A1B">
              <w:rPr>
                <w:rFonts w:ascii="仿宋_GB2312" w:eastAsia="宋体" w:hAnsi="Calibri" w:cs="Times New Roman" w:hint="eastAsia"/>
                <w:sz w:val="24"/>
                <w:szCs w:val="28"/>
              </w:rPr>
              <w:lastRenderedPageBreak/>
              <w:t>均值、峰值、行为指标（反应时、正确率、漏报率、误报率、有效</w:t>
            </w:r>
            <w:r w:rsidRPr="00407A1B">
              <w:rPr>
                <w:rFonts w:ascii="仿宋_GB2312" w:eastAsia="宋体" w:hAnsi="Calibri" w:cs="Times New Roman" w:hint="eastAsia"/>
                <w:sz w:val="24"/>
                <w:szCs w:val="28"/>
              </w:rPr>
              <w:t>block</w:t>
            </w:r>
            <w:r w:rsidRPr="00407A1B">
              <w:rPr>
                <w:rFonts w:ascii="仿宋_GB2312" w:eastAsia="宋体" w:hAnsi="Calibri" w:cs="Times New Roman" w:hint="eastAsia"/>
                <w:sz w:val="24"/>
                <w:szCs w:val="28"/>
              </w:rPr>
              <w:t>数）等；</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20</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检测软件内置</w:t>
            </w:r>
            <w:r w:rsidRPr="00407A1B">
              <w:rPr>
                <w:rFonts w:ascii="仿宋_GB2312" w:eastAsia="宋体" w:hAnsi="Calibri" w:cs="Times New Roman"/>
                <w:sz w:val="24"/>
                <w:szCs w:val="28"/>
              </w:rPr>
              <w:t>n-back</w:t>
            </w:r>
            <w:r w:rsidRPr="00407A1B">
              <w:rPr>
                <w:rFonts w:ascii="仿宋_GB2312" w:eastAsia="宋体" w:hAnsi="Calibri" w:cs="Times New Roman" w:hint="eastAsia"/>
                <w:sz w:val="24"/>
                <w:szCs w:val="28"/>
              </w:rPr>
              <w:t>刺激任务，以及数据分析与报告输出，输出图像和指标有：脑激活波形图谱、三维脑图、</w:t>
            </w:r>
            <w:r w:rsidRPr="00407A1B">
              <w:rPr>
                <w:rFonts w:ascii="仿宋_GB2312" w:eastAsia="宋体" w:hAnsi="Calibri" w:cs="Times New Roman" w:hint="eastAsia"/>
                <w:sz w:val="24"/>
                <w:szCs w:val="28"/>
              </w:rPr>
              <w:t>Beta</w:t>
            </w:r>
            <w:r w:rsidRPr="00407A1B">
              <w:rPr>
                <w:rFonts w:ascii="仿宋_GB2312" w:eastAsia="宋体" w:hAnsi="Calibri" w:cs="Times New Roman" w:hint="eastAsia"/>
                <w:sz w:val="24"/>
                <w:szCs w:val="28"/>
              </w:rPr>
              <w:t>值、激活范围、积分值、均值、峰值、行为指标（反应时、正确率、击中率、虚报率、有效</w:t>
            </w:r>
            <w:r w:rsidRPr="00407A1B">
              <w:rPr>
                <w:rFonts w:ascii="仿宋_GB2312" w:eastAsia="宋体" w:hAnsi="Calibri" w:cs="Times New Roman" w:hint="eastAsia"/>
                <w:sz w:val="24"/>
                <w:szCs w:val="28"/>
              </w:rPr>
              <w:t>block</w:t>
            </w:r>
            <w:r w:rsidRPr="00407A1B">
              <w:rPr>
                <w:rFonts w:ascii="仿宋_GB2312" w:eastAsia="宋体" w:hAnsi="Calibri" w:cs="Times New Roman" w:hint="eastAsia"/>
                <w:sz w:val="24"/>
                <w:szCs w:val="28"/>
              </w:rPr>
              <w:t>数）等；</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21.</w:t>
            </w:r>
            <w:r w:rsidRPr="00407A1B">
              <w:rPr>
                <w:rFonts w:ascii="仿宋_GB2312" w:eastAsia="宋体" w:hAnsi="Calibri" w:cs="Times New Roman" w:hint="eastAsia"/>
                <w:sz w:val="24"/>
                <w:szCs w:val="28"/>
              </w:rPr>
              <w:t>检测软件支持根据用户需求添加个性化检测方案；</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22.</w:t>
            </w:r>
            <w:r w:rsidRPr="00407A1B">
              <w:rPr>
                <w:rFonts w:ascii="仿宋_GB2312" w:eastAsia="宋体" w:hAnsi="Calibri" w:cs="Times New Roman" w:hint="eastAsia"/>
                <w:sz w:val="24"/>
                <w:szCs w:val="28"/>
              </w:rPr>
              <w:t>多维度信号呈现：</w:t>
            </w:r>
            <w:r w:rsidRPr="00407A1B">
              <w:rPr>
                <w:rFonts w:ascii="仿宋_GB2312" w:eastAsia="宋体" w:hAnsi="Calibri" w:cs="Times New Roman"/>
                <w:sz w:val="24"/>
                <w:szCs w:val="28"/>
              </w:rPr>
              <w:t>软件</w:t>
            </w:r>
            <w:r w:rsidRPr="00407A1B">
              <w:rPr>
                <w:rFonts w:ascii="仿宋_GB2312" w:eastAsia="宋体" w:hAnsi="Calibri" w:cs="Times New Roman" w:hint="eastAsia"/>
                <w:sz w:val="24"/>
                <w:szCs w:val="28"/>
              </w:rPr>
              <w:t>支持实时二维波形曲线图、三维脑功能定量图像，实时长窗口层叠曲线等多种实时信号显示；</w:t>
            </w:r>
          </w:p>
          <w:p w:rsidR="00407A1B" w:rsidRPr="00407A1B" w:rsidRDefault="00407A1B" w:rsidP="00407A1B">
            <w:pPr>
              <w:widowControl/>
              <w:spacing w:line="360" w:lineRule="auto"/>
              <w:ind w:firstLineChars="200" w:firstLine="480"/>
              <w:jc w:val="left"/>
              <w:rPr>
                <w:rFonts w:ascii="仿宋_GB2312" w:eastAsia="宋体" w:hAnsi="Calibri" w:cs="Times New Roman"/>
                <w:b/>
                <w:sz w:val="24"/>
                <w:szCs w:val="28"/>
              </w:rPr>
            </w:pPr>
            <w:r w:rsidRPr="00407A1B">
              <w:rPr>
                <w:rFonts w:ascii="仿宋_GB2312" w:eastAsia="宋体" w:hAnsi="Calibri" w:cs="Times New Roman" w:hint="eastAsia"/>
                <w:sz w:val="24"/>
                <w:szCs w:val="28"/>
              </w:rPr>
              <w:t>23</w:t>
            </w:r>
            <w:r w:rsidRPr="00407A1B">
              <w:rPr>
                <w:rFonts w:ascii="仿宋_GB2312" w:eastAsia="宋体" w:hAnsi="Calibri" w:cs="Times New Roman"/>
                <w:sz w:val="24"/>
                <w:szCs w:val="28"/>
              </w:rPr>
              <w:t>.</w:t>
            </w:r>
            <w:r w:rsidRPr="00407A1B">
              <w:rPr>
                <w:rFonts w:ascii="仿宋_GB2312" w:eastAsia="宋体" w:hAnsi="Calibri" w:cs="Times New Roman" w:hint="eastAsia"/>
                <w:sz w:val="24"/>
                <w:szCs w:val="28"/>
              </w:rPr>
              <w:t>提供基于国际通用开源科研软件的一站式数据分析脚本全套脚本库，任务态与静息态脚本每种不少于</w:t>
            </w:r>
            <w:r w:rsidRPr="00407A1B">
              <w:rPr>
                <w:rFonts w:ascii="仿宋_GB2312" w:eastAsia="宋体" w:hAnsi="Calibri" w:cs="Times New Roman" w:hint="eastAsia"/>
                <w:sz w:val="24"/>
                <w:szCs w:val="28"/>
              </w:rPr>
              <w:t>15</w:t>
            </w:r>
            <w:r w:rsidRPr="00407A1B">
              <w:rPr>
                <w:rFonts w:ascii="仿宋_GB2312" w:eastAsia="宋体" w:hAnsi="Calibri" w:cs="Times New Roman" w:hint="eastAsia"/>
                <w:sz w:val="24"/>
                <w:szCs w:val="28"/>
              </w:rPr>
              <w:t>种，提供脚本</w:t>
            </w:r>
            <w:proofErr w:type="gramStart"/>
            <w:r w:rsidRPr="00407A1B">
              <w:rPr>
                <w:rFonts w:ascii="仿宋_GB2312" w:eastAsia="宋体" w:hAnsi="Calibri" w:cs="Times New Roman" w:hint="eastAsia"/>
                <w:sz w:val="24"/>
                <w:szCs w:val="28"/>
              </w:rPr>
              <w:t>库说明</w:t>
            </w:r>
            <w:proofErr w:type="gramEnd"/>
            <w:r w:rsidRPr="00407A1B">
              <w:rPr>
                <w:rFonts w:ascii="仿宋_GB2312" w:eastAsia="宋体" w:hAnsi="Calibri" w:cs="Times New Roman" w:hint="eastAsia"/>
                <w:sz w:val="24"/>
                <w:szCs w:val="28"/>
              </w:rPr>
              <w:t>文件和脚本库截图；以便最大程度降低用户数据分析门槛</w:t>
            </w:r>
            <w:r w:rsidRPr="00407A1B">
              <w:rPr>
                <w:rFonts w:ascii="仿宋_GB2312" w:eastAsia="宋体" w:hAnsi="Calibri" w:cs="Times New Roman" w:hint="eastAsia"/>
                <w:b/>
                <w:sz w:val="24"/>
                <w:szCs w:val="28"/>
              </w:rPr>
              <w:t>（提供截</w:t>
            </w:r>
            <w:proofErr w:type="gramStart"/>
            <w:r w:rsidRPr="00407A1B">
              <w:rPr>
                <w:rFonts w:ascii="仿宋_GB2312" w:eastAsia="宋体" w:hAnsi="Calibri" w:cs="Times New Roman" w:hint="eastAsia"/>
                <w:b/>
                <w:sz w:val="24"/>
                <w:szCs w:val="28"/>
              </w:rPr>
              <w:t>图文件</w:t>
            </w:r>
            <w:proofErr w:type="gramEnd"/>
            <w:r w:rsidRPr="00407A1B">
              <w:rPr>
                <w:rFonts w:ascii="仿宋_GB2312" w:eastAsia="宋体" w:hAnsi="Calibri" w:cs="Times New Roman" w:hint="eastAsia"/>
                <w:b/>
                <w:sz w:val="24"/>
                <w:szCs w:val="28"/>
              </w:rPr>
              <w:t>证明并加盖厂家公章作为佐证材料）；</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 xml:space="preserve">24. </w:t>
            </w:r>
            <w:r w:rsidRPr="00407A1B">
              <w:rPr>
                <w:rFonts w:ascii="仿宋_GB2312" w:eastAsia="宋体" w:hAnsi="Calibri" w:cs="Times New Roman" w:hint="eastAsia"/>
                <w:sz w:val="24"/>
                <w:szCs w:val="28"/>
              </w:rPr>
              <w:t>可提供配套厂家同品牌科学研究分析软件，非第三方开源软件，支持设置≥</w:t>
            </w:r>
            <w:r w:rsidRPr="00407A1B">
              <w:rPr>
                <w:rFonts w:ascii="仿宋_GB2312" w:eastAsia="宋体" w:hAnsi="Calibri" w:cs="Times New Roman" w:hint="eastAsia"/>
                <w:sz w:val="24"/>
                <w:szCs w:val="28"/>
              </w:rPr>
              <w:t>8</w:t>
            </w:r>
            <w:r w:rsidRPr="00407A1B">
              <w:rPr>
                <w:rFonts w:ascii="仿宋_GB2312" w:eastAsia="宋体" w:hAnsi="Calibri" w:cs="Times New Roman" w:hint="eastAsia"/>
                <w:sz w:val="24"/>
                <w:szCs w:val="28"/>
              </w:rPr>
              <w:t>种特征值</w:t>
            </w: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需包含均值、差值、重心值、积分值、斜率、峰值、变化量、标准差</w:t>
            </w: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的计算；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 xml:space="preserve">25. </w:t>
            </w:r>
            <w:r w:rsidRPr="00407A1B">
              <w:rPr>
                <w:rFonts w:ascii="仿宋_GB2312" w:eastAsia="宋体" w:hAnsi="Calibri" w:cs="Times New Roman" w:hint="eastAsia"/>
                <w:sz w:val="24"/>
                <w:szCs w:val="28"/>
              </w:rPr>
              <w:t>可提供配套厂家同品牌科学研究分析软件，非第三方开源软件，</w:t>
            </w:r>
            <w:r w:rsidRPr="00407A1B">
              <w:rPr>
                <w:rFonts w:ascii="仿宋_GB2312" w:eastAsia="宋体" w:hAnsi="Calibri" w:cs="Times New Roman"/>
                <w:sz w:val="24"/>
                <w:szCs w:val="28"/>
              </w:rPr>
              <w:t>支持</w:t>
            </w:r>
            <w:r w:rsidRPr="00407A1B">
              <w:rPr>
                <w:rFonts w:ascii="仿宋_GB2312" w:eastAsia="宋体" w:hAnsi="Calibri" w:cs="Times New Roman"/>
                <w:sz w:val="24"/>
                <w:szCs w:val="28"/>
              </w:rPr>
              <w:t>Block Average</w:t>
            </w:r>
            <w:r w:rsidRPr="00407A1B">
              <w:rPr>
                <w:rFonts w:ascii="仿宋_GB2312" w:eastAsia="宋体" w:hAnsi="Calibri" w:cs="Times New Roman"/>
                <w:sz w:val="24"/>
                <w:szCs w:val="28"/>
              </w:rPr>
              <w:t>、功能连接、</w:t>
            </w:r>
            <w:r w:rsidRPr="00407A1B">
              <w:rPr>
                <w:rFonts w:ascii="仿宋_GB2312" w:eastAsia="宋体" w:hAnsi="Calibri" w:cs="Times New Roman"/>
                <w:sz w:val="24"/>
                <w:szCs w:val="28"/>
              </w:rPr>
              <w:t>GLM</w:t>
            </w:r>
            <w:r w:rsidRPr="00407A1B">
              <w:rPr>
                <w:rFonts w:ascii="仿宋_GB2312" w:eastAsia="宋体" w:hAnsi="Calibri" w:cs="Times New Roman"/>
                <w:sz w:val="24"/>
                <w:szCs w:val="28"/>
              </w:rPr>
              <w:t>数据文件</w:t>
            </w:r>
            <w:r w:rsidRPr="00407A1B">
              <w:rPr>
                <w:rFonts w:ascii="仿宋_GB2312" w:eastAsia="宋体" w:hAnsi="Calibri" w:cs="Times New Roman" w:hint="eastAsia"/>
                <w:sz w:val="24"/>
                <w:szCs w:val="28"/>
              </w:rPr>
              <w:t>一</w:t>
            </w:r>
            <w:r w:rsidRPr="00407A1B">
              <w:rPr>
                <w:rFonts w:ascii="仿宋_GB2312" w:eastAsia="宋体" w:hAnsi="Calibri" w:cs="Times New Roman"/>
                <w:sz w:val="24"/>
                <w:szCs w:val="28"/>
              </w:rPr>
              <w:t>键批量处理，简化操作，提高分析效率；支持重采样、编辑标记、数据截断、质量控制、空间定位、数据预处理的全流程批量执行</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 xml:space="preserve">26. </w:t>
            </w:r>
            <w:r w:rsidRPr="00407A1B">
              <w:rPr>
                <w:rFonts w:ascii="仿宋_GB2312" w:eastAsia="宋体" w:hAnsi="Calibri" w:cs="Times New Roman" w:hint="eastAsia"/>
                <w:sz w:val="24"/>
                <w:szCs w:val="28"/>
              </w:rPr>
              <w:t>可提供配套厂家同品牌科学研究分析软件，非第三方开源软件，</w:t>
            </w:r>
            <w:r w:rsidRPr="00407A1B">
              <w:rPr>
                <w:rFonts w:ascii="仿宋_GB2312" w:eastAsia="宋体" w:hAnsi="Calibri" w:cs="Times New Roman"/>
                <w:sz w:val="24"/>
                <w:szCs w:val="28"/>
              </w:rPr>
              <w:t>支持个体</w:t>
            </w:r>
            <w:r w:rsidRPr="00407A1B">
              <w:rPr>
                <w:rFonts w:ascii="仿宋_GB2312" w:eastAsia="宋体" w:hAnsi="Calibri" w:cs="Times New Roman"/>
                <w:sz w:val="24"/>
                <w:szCs w:val="28"/>
              </w:rPr>
              <w:t>(Level1)</w:t>
            </w:r>
            <w:r w:rsidRPr="00407A1B">
              <w:rPr>
                <w:rFonts w:ascii="仿宋_GB2312" w:eastAsia="宋体" w:hAnsi="Calibri" w:cs="Times New Roman"/>
                <w:sz w:val="24"/>
                <w:szCs w:val="28"/>
              </w:rPr>
              <w:t>和群组</w:t>
            </w:r>
            <w:r w:rsidRPr="00407A1B">
              <w:rPr>
                <w:rFonts w:ascii="仿宋_GB2312" w:eastAsia="宋体" w:hAnsi="Calibri" w:cs="Times New Roman"/>
                <w:sz w:val="24"/>
                <w:szCs w:val="28"/>
              </w:rPr>
              <w:t>(Level2)</w:t>
            </w:r>
            <w:r w:rsidRPr="00407A1B">
              <w:rPr>
                <w:rFonts w:ascii="仿宋_GB2312" w:eastAsia="宋体" w:hAnsi="Calibri" w:cs="Times New Roman"/>
                <w:sz w:val="24"/>
                <w:szCs w:val="28"/>
              </w:rPr>
              <w:t>数据统计，包括输出全通道和</w:t>
            </w:r>
            <w:r w:rsidRPr="00407A1B">
              <w:rPr>
                <w:rFonts w:ascii="仿宋_GB2312" w:eastAsia="宋体" w:hAnsi="Calibri" w:cs="Times New Roman"/>
                <w:sz w:val="24"/>
                <w:szCs w:val="28"/>
              </w:rPr>
              <w:t>2</w:t>
            </w:r>
            <w:r w:rsidRPr="00407A1B">
              <w:rPr>
                <w:rFonts w:ascii="仿宋_GB2312" w:eastAsia="宋体" w:hAnsi="Calibri" w:cs="Times New Roman"/>
                <w:sz w:val="24"/>
                <w:szCs w:val="28"/>
              </w:rPr>
              <w:t>个及以上</w:t>
            </w:r>
            <w:r w:rsidRPr="00407A1B">
              <w:rPr>
                <w:rFonts w:ascii="仿宋_GB2312" w:eastAsia="宋体" w:hAnsi="Calibri" w:cs="Times New Roman"/>
                <w:sz w:val="24"/>
                <w:szCs w:val="28"/>
              </w:rPr>
              <w:t>ROI</w:t>
            </w:r>
            <w:r w:rsidRPr="00407A1B">
              <w:rPr>
                <w:rFonts w:ascii="仿宋_GB2312" w:eastAsia="宋体" w:hAnsi="Calibri" w:cs="Times New Roman"/>
                <w:sz w:val="24"/>
                <w:szCs w:val="28"/>
              </w:rPr>
              <w:lastRenderedPageBreak/>
              <w:t>水平的</w:t>
            </w:r>
            <w:r w:rsidRPr="00407A1B">
              <w:rPr>
                <w:rFonts w:ascii="仿宋_GB2312" w:eastAsia="宋体" w:hAnsi="Calibri" w:cs="Times New Roman"/>
                <w:sz w:val="24"/>
                <w:szCs w:val="28"/>
              </w:rPr>
              <w:t>2</w:t>
            </w:r>
            <w:r w:rsidRPr="00407A1B">
              <w:rPr>
                <w:rFonts w:ascii="仿宋_GB2312" w:eastAsia="宋体" w:hAnsi="Calibri" w:cs="Times New Roman"/>
                <w:sz w:val="24"/>
                <w:szCs w:val="28"/>
              </w:rPr>
              <w:t>种二</w:t>
            </w:r>
            <w:proofErr w:type="gramStart"/>
            <w:r w:rsidRPr="00407A1B">
              <w:rPr>
                <w:rFonts w:ascii="仿宋_GB2312" w:eastAsia="宋体" w:hAnsi="Calibri" w:cs="Times New Roman"/>
                <w:sz w:val="24"/>
                <w:szCs w:val="28"/>
              </w:rPr>
              <w:t>维功能</w:t>
            </w:r>
            <w:proofErr w:type="gramEnd"/>
            <w:r w:rsidRPr="00407A1B">
              <w:rPr>
                <w:rFonts w:ascii="仿宋_GB2312" w:eastAsia="宋体" w:hAnsi="Calibri" w:cs="Times New Roman"/>
                <w:sz w:val="24"/>
                <w:szCs w:val="28"/>
              </w:rPr>
              <w:t>连接图谱</w:t>
            </w:r>
            <w:r w:rsidRPr="00407A1B">
              <w:rPr>
                <w:rFonts w:ascii="仿宋_GB2312" w:eastAsia="宋体" w:hAnsi="Calibri" w:cs="Times New Roman"/>
                <w:sz w:val="24"/>
                <w:szCs w:val="28"/>
              </w:rPr>
              <w:t>(</w:t>
            </w:r>
            <w:r w:rsidRPr="00407A1B">
              <w:rPr>
                <w:rFonts w:ascii="仿宋_GB2312" w:eastAsia="宋体" w:hAnsi="Calibri" w:cs="Times New Roman"/>
                <w:sz w:val="24"/>
                <w:szCs w:val="28"/>
              </w:rPr>
              <w:t>常规矩阵图、高级矩阵图，按兴趣区顺序排布</w:t>
            </w:r>
            <w:r w:rsidRPr="00407A1B">
              <w:rPr>
                <w:rFonts w:ascii="仿宋_GB2312" w:eastAsia="宋体" w:hAnsi="Calibri" w:cs="Times New Roman"/>
                <w:sz w:val="24"/>
                <w:szCs w:val="28"/>
              </w:rPr>
              <w:t>)</w:t>
            </w:r>
            <w:r w:rsidRPr="00407A1B">
              <w:rPr>
                <w:rFonts w:ascii="仿宋_GB2312" w:eastAsia="宋体" w:hAnsi="Calibri" w:cs="Times New Roman" w:hint="eastAsia"/>
                <w:b/>
                <w:sz w:val="24"/>
                <w:szCs w:val="28"/>
              </w:rPr>
              <w:t>（提供技术白皮书并加盖厂家公章作为佐证材料）</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27.</w:t>
            </w:r>
            <w:r w:rsidRPr="00407A1B">
              <w:rPr>
                <w:rFonts w:ascii="仿宋_GB2312" w:eastAsia="宋体" w:hAnsi="Calibri" w:cs="Times New Roman" w:hint="eastAsia"/>
                <w:sz w:val="24"/>
                <w:szCs w:val="28"/>
              </w:rPr>
              <w:t>可提供配套厂家同品牌科学研究分析软件，非第三方开源软件，支持对超扫描采集的双人数据进行小波变换相干性</w:t>
            </w:r>
            <w:r w:rsidRPr="00407A1B">
              <w:rPr>
                <w:rFonts w:ascii="仿宋_GB2312" w:eastAsia="宋体" w:hAnsi="Calibri" w:cs="Times New Roman" w:hint="eastAsia"/>
                <w:sz w:val="24"/>
                <w:szCs w:val="28"/>
              </w:rPr>
              <w:t xml:space="preserve">(wavelet </w:t>
            </w:r>
            <w:proofErr w:type="spellStart"/>
            <w:r w:rsidRPr="00407A1B">
              <w:rPr>
                <w:rFonts w:ascii="仿宋_GB2312" w:eastAsia="宋体" w:hAnsi="Calibri" w:cs="Times New Roman" w:hint="eastAsia"/>
                <w:sz w:val="24"/>
                <w:szCs w:val="28"/>
              </w:rPr>
              <w:t>transformcoherence</w:t>
            </w:r>
            <w:proofErr w:type="spellEnd"/>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分析，包括小波变换、小波交叉谱和小波相干性等</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 xml:space="preserve">28. </w:t>
            </w:r>
            <w:r w:rsidRPr="00407A1B">
              <w:rPr>
                <w:rFonts w:ascii="仿宋_GB2312" w:eastAsia="宋体" w:hAnsi="Calibri" w:cs="Times New Roman" w:hint="eastAsia"/>
                <w:sz w:val="24"/>
                <w:szCs w:val="28"/>
              </w:rPr>
              <w:t>生物安全相容性，探头和头帽可直接与人体接触</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p>
        </w:tc>
      </w:tr>
      <w:tr w:rsidR="00407A1B" w:rsidRPr="00407A1B" w:rsidTr="00B14228">
        <w:trPr>
          <w:trHeight w:val="94"/>
        </w:trPr>
        <w:tc>
          <w:tcPr>
            <w:tcW w:w="267" w:type="pct"/>
            <w:vMerge/>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p>
        </w:tc>
        <w:tc>
          <w:tcPr>
            <w:tcW w:w="603" w:type="pct"/>
            <w:vMerge/>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p>
        </w:tc>
        <w:tc>
          <w:tcPr>
            <w:tcW w:w="774" w:type="pct"/>
            <w:vAlign w:val="center"/>
          </w:tcPr>
          <w:p w:rsidR="00407A1B" w:rsidRPr="00407A1B" w:rsidRDefault="00407A1B" w:rsidP="00407A1B">
            <w:pPr>
              <w:widowControl/>
              <w:spacing w:line="360" w:lineRule="auto"/>
              <w:jc w:val="left"/>
              <w:rPr>
                <w:rFonts w:ascii="仿宋_GB2312" w:eastAsia="宋体" w:hAnsi="Calibri" w:cs="Times New Roman" w:hint="eastAsia"/>
                <w:b/>
                <w:bCs/>
                <w:sz w:val="24"/>
                <w:szCs w:val="28"/>
              </w:rPr>
            </w:pPr>
            <w:r w:rsidRPr="00407A1B">
              <w:rPr>
                <w:rFonts w:ascii="仿宋_GB2312" w:eastAsia="宋体" w:hAnsi="Calibri" w:cs="Times New Roman" w:hint="eastAsia"/>
                <w:b/>
                <w:bCs/>
                <w:sz w:val="24"/>
                <w:szCs w:val="28"/>
              </w:rPr>
              <w:t>★</w:t>
            </w:r>
            <w:r w:rsidRPr="00407A1B">
              <w:rPr>
                <w:rFonts w:ascii="仿宋_GB2312" w:eastAsia="宋体" w:hAnsi="Calibri" w:cs="Times New Roman" w:hint="eastAsia"/>
                <w:sz w:val="24"/>
                <w:szCs w:val="28"/>
              </w:rPr>
              <w:t>标准配置要求</w:t>
            </w:r>
          </w:p>
        </w:tc>
        <w:tc>
          <w:tcPr>
            <w:tcW w:w="3355" w:type="pct"/>
            <w:vAlign w:val="center"/>
          </w:tcPr>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1.</w:t>
            </w:r>
            <w:r w:rsidRPr="00407A1B">
              <w:rPr>
                <w:rFonts w:ascii="仿宋_GB2312" w:eastAsia="宋体" w:hAnsi="Calibri" w:cs="Times New Roman" w:hint="eastAsia"/>
                <w:sz w:val="24"/>
                <w:szCs w:val="28"/>
              </w:rPr>
              <w:t>主机</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台</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2.</w:t>
            </w:r>
            <w:r w:rsidRPr="00407A1B">
              <w:rPr>
                <w:rFonts w:ascii="仿宋_GB2312" w:eastAsia="宋体" w:hAnsi="Calibri" w:cs="Times New Roman" w:hint="eastAsia"/>
                <w:sz w:val="24"/>
                <w:szCs w:val="28"/>
              </w:rPr>
              <w:t>显示器</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台</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3.</w:t>
            </w:r>
            <w:r w:rsidRPr="00407A1B">
              <w:rPr>
                <w:rFonts w:ascii="仿宋_GB2312" w:eastAsia="宋体" w:hAnsi="Calibri" w:cs="Times New Roman" w:hint="eastAsia"/>
                <w:sz w:val="24"/>
                <w:szCs w:val="28"/>
              </w:rPr>
              <w:t>光纤</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sz w:val="24"/>
                <w:szCs w:val="28"/>
              </w:rPr>
            </w:pPr>
            <w:r w:rsidRPr="00407A1B">
              <w:rPr>
                <w:rFonts w:ascii="仿宋_GB2312" w:eastAsia="宋体" w:hAnsi="Calibri" w:cs="Times New Roman" w:hint="eastAsia"/>
                <w:sz w:val="24"/>
                <w:szCs w:val="28"/>
              </w:rPr>
              <w:t>4.</w:t>
            </w:r>
            <w:r w:rsidRPr="00407A1B">
              <w:rPr>
                <w:rFonts w:ascii="仿宋_GB2312" w:eastAsia="宋体" w:hAnsi="Calibri" w:cs="Times New Roman" w:hint="eastAsia"/>
                <w:sz w:val="24"/>
                <w:szCs w:val="28"/>
              </w:rPr>
              <w:t>光纤帽（成人</w:t>
            </w:r>
            <w:r w:rsidRPr="00407A1B">
              <w:rPr>
                <w:rFonts w:ascii="仿宋_GB2312" w:eastAsia="宋体" w:hAnsi="Calibri" w:cs="Times New Roman" w:hint="eastAsia"/>
                <w:sz w:val="24"/>
                <w:szCs w:val="28"/>
              </w:rPr>
              <w:t>/</w:t>
            </w:r>
            <w:r w:rsidRPr="00407A1B">
              <w:rPr>
                <w:rFonts w:ascii="仿宋_GB2312" w:eastAsia="宋体" w:hAnsi="Calibri" w:cs="Times New Roman" w:hint="eastAsia"/>
                <w:sz w:val="24"/>
                <w:szCs w:val="28"/>
              </w:rPr>
              <w:t>儿童）</w:t>
            </w:r>
            <w:r w:rsidRPr="00407A1B">
              <w:rPr>
                <w:rFonts w:ascii="仿宋_GB2312" w:eastAsia="宋体" w:hAnsi="Calibri" w:cs="Times New Roman" w:hint="eastAsia"/>
                <w:sz w:val="24"/>
                <w:szCs w:val="28"/>
              </w:rPr>
              <w:t xml:space="preserve">  6</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5.</w:t>
            </w:r>
            <w:r w:rsidRPr="00407A1B">
              <w:rPr>
                <w:rFonts w:ascii="仿宋_GB2312" w:eastAsia="宋体" w:hAnsi="Calibri" w:cs="Times New Roman" w:hint="eastAsia"/>
                <w:sz w:val="24"/>
                <w:szCs w:val="28"/>
              </w:rPr>
              <w:t>光纤支架</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6.</w:t>
            </w:r>
            <w:r w:rsidRPr="00407A1B">
              <w:rPr>
                <w:rFonts w:ascii="仿宋_GB2312" w:eastAsia="宋体" w:hAnsi="Calibri" w:cs="Times New Roman" w:hint="eastAsia"/>
                <w:sz w:val="24"/>
                <w:szCs w:val="28"/>
              </w:rPr>
              <w:t>光纤减重</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7.</w:t>
            </w:r>
            <w:r w:rsidRPr="00407A1B">
              <w:rPr>
                <w:rFonts w:ascii="仿宋_GB2312" w:eastAsia="宋体" w:hAnsi="Calibri" w:cs="Times New Roman" w:hint="eastAsia"/>
                <w:sz w:val="24"/>
                <w:szCs w:val="28"/>
              </w:rPr>
              <w:t>蓝牙音箱</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个</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8.</w:t>
            </w:r>
            <w:r w:rsidRPr="00407A1B">
              <w:rPr>
                <w:rFonts w:ascii="仿宋_GB2312" w:eastAsia="宋体" w:hAnsi="Calibri" w:cs="Times New Roman" w:hint="eastAsia"/>
                <w:sz w:val="24"/>
                <w:szCs w:val="28"/>
              </w:rPr>
              <w:t>鼠标、键盘</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9.</w:t>
            </w:r>
            <w:r w:rsidRPr="00407A1B">
              <w:rPr>
                <w:rFonts w:ascii="仿宋_GB2312" w:eastAsia="宋体" w:hAnsi="Calibri" w:cs="Times New Roman" w:hint="eastAsia"/>
                <w:sz w:val="24"/>
                <w:szCs w:val="28"/>
              </w:rPr>
              <w:t>无线网卡</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个</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10.</w:t>
            </w:r>
            <w:r w:rsidRPr="00407A1B">
              <w:rPr>
                <w:rFonts w:ascii="仿宋_GB2312" w:eastAsia="宋体" w:hAnsi="Calibri" w:cs="Times New Roman" w:hint="eastAsia"/>
                <w:sz w:val="24"/>
                <w:szCs w:val="28"/>
              </w:rPr>
              <w:t>路由器</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个</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11.</w:t>
            </w:r>
            <w:r w:rsidRPr="00407A1B">
              <w:rPr>
                <w:rFonts w:ascii="仿宋_GB2312" w:eastAsia="宋体" w:hAnsi="Calibri" w:cs="Times New Roman" w:hint="eastAsia"/>
                <w:sz w:val="24"/>
                <w:szCs w:val="28"/>
              </w:rPr>
              <w:t>硅胶头</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r w:rsidRPr="00407A1B">
              <w:rPr>
                <w:rFonts w:ascii="仿宋_GB2312" w:eastAsia="宋体" w:hAnsi="Calibri" w:cs="Times New Roman" w:hint="eastAsia"/>
                <w:sz w:val="24"/>
                <w:szCs w:val="28"/>
              </w:rPr>
              <w:t>12.</w:t>
            </w:r>
            <w:r w:rsidRPr="00407A1B">
              <w:rPr>
                <w:rFonts w:ascii="仿宋_GB2312" w:eastAsia="宋体" w:hAnsi="Calibri" w:cs="Times New Roman" w:hint="eastAsia"/>
                <w:sz w:val="24"/>
                <w:szCs w:val="28"/>
              </w:rPr>
              <w:t>声级计噪声仪</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p w:rsidR="00407A1B" w:rsidRPr="00407A1B" w:rsidRDefault="00407A1B" w:rsidP="00407A1B">
            <w:pPr>
              <w:widowControl/>
              <w:spacing w:line="360" w:lineRule="auto"/>
              <w:ind w:firstLineChars="200" w:firstLine="480"/>
              <w:jc w:val="left"/>
              <w:rPr>
                <w:rFonts w:ascii="仿宋_GB2312" w:eastAsia="宋体" w:hAnsi="Calibri" w:cs="Times New Roman"/>
                <w:b/>
                <w:bCs/>
                <w:sz w:val="24"/>
                <w:szCs w:val="28"/>
              </w:rPr>
            </w:pPr>
            <w:r w:rsidRPr="00407A1B">
              <w:rPr>
                <w:rFonts w:ascii="仿宋_GB2312" w:eastAsia="宋体" w:hAnsi="Calibri" w:cs="Times New Roman" w:hint="eastAsia"/>
                <w:sz w:val="24"/>
                <w:szCs w:val="28"/>
              </w:rPr>
              <w:t>13.</w:t>
            </w:r>
            <w:r w:rsidRPr="00407A1B">
              <w:rPr>
                <w:rFonts w:ascii="仿宋_GB2312" w:eastAsia="宋体" w:hAnsi="Calibri" w:cs="Times New Roman" w:hint="eastAsia"/>
                <w:sz w:val="24"/>
                <w:szCs w:val="28"/>
              </w:rPr>
              <w:t>接入信息化端口</w:t>
            </w:r>
            <w:r w:rsidRPr="00407A1B">
              <w:rPr>
                <w:rFonts w:ascii="仿宋_GB2312" w:eastAsia="宋体" w:hAnsi="Calibri" w:cs="Times New Roman" w:hint="eastAsia"/>
                <w:sz w:val="24"/>
                <w:szCs w:val="28"/>
              </w:rPr>
              <w:t xml:space="preserve">  1</w:t>
            </w:r>
            <w:r w:rsidRPr="00407A1B">
              <w:rPr>
                <w:rFonts w:ascii="仿宋_GB2312" w:eastAsia="宋体" w:hAnsi="Calibri" w:cs="Times New Roman" w:hint="eastAsia"/>
                <w:sz w:val="24"/>
                <w:szCs w:val="28"/>
              </w:rPr>
              <w:t>套</w:t>
            </w:r>
          </w:p>
        </w:tc>
      </w:tr>
    </w:tbl>
    <w:p w:rsidR="00407A1B" w:rsidRPr="00407A1B" w:rsidRDefault="00407A1B" w:rsidP="00407A1B">
      <w:pPr>
        <w:widowControl/>
        <w:spacing w:line="360" w:lineRule="auto"/>
        <w:ind w:firstLineChars="200" w:firstLine="480"/>
        <w:jc w:val="left"/>
        <w:rPr>
          <w:rFonts w:ascii="仿宋_GB2312" w:eastAsia="宋体" w:hAnsi="Calibri" w:cs="Times New Roman" w:hint="eastAsia"/>
          <w:sz w:val="24"/>
          <w:szCs w:val="28"/>
        </w:rPr>
      </w:pPr>
    </w:p>
    <w:p w:rsidR="00407A1B" w:rsidRPr="00407A1B" w:rsidRDefault="00407A1B" w:rsidP="00407A1B">
      <w:pPr>
        <w:widowControl/>
        <w:spacing w:line="360" w:lineRule="auto"/>
        <w:ind w:firstLineChars="200" w:firstLine="482"/>
        <w:jc w:val="left"/>
        <w:rPr>
          <w:rFonts w:ascii="宋体" w:eastAsia="宋体" w:hAnsi="宋体" w:cs="Times New Roman" w:hint="eastAsia"/>
          <w:b/>
          <w:kern w:val="0"/>
          <w:sz w:val="24"/>
          <w:szCs w:val="21"/>
        </w:rPr>
      </w:pPr>
    </w:p>
    <w:p w:rsidR="00407A1B" w:rsidRPr="00407A1B" w:rsidRDefault="00407A1B" w:rsidP="00407A1B">
      <w:pPr>
        <w:keepNext/>
        <w:keepLines/>
        <w:spacing w:before="260" w:after="260" w:line="360" w:lineRule="auto"/>
        <w:outlineLvl w:val="1"/>
        <w:rPr>
          <w:rFonts w:ascii="宋体" w:eastAsia="黑体" w:hAnsi="宋体" w:cs="Times New Roman" w:hint="eastAsia"/>
          <w:b/>
          <w:bCs/>
          <w:kern w:val="0"/>
          <w:sz w:val="28"/>
          <w:szCs w:val="28"/>
          <w:lang/>
        </w:rPr>
      </w:pPr>
      <w:bookmarkStart w:id="7" w:name="_Toc1831"/>
      <w:bookmarkStart w:id="8" w:name="_Toc203579066"/>
      <w:proofErr w:type="spellStart"/>
      <w:r w:rsidRPr="00407A1B">
        <w:rPr>
          <w:rFonts w:ascii="宋体" w:eastAsia="宋体" w:hAnsi="宋体" w:cs="Times New Roman" w:hint="eastAsia"/>
          <w:b/>
          <w:bCs/>
          <w:kern w:val="0"/>
          <w:sz w:val="28"/>
          <w:szCs w:val="28"/>
          <w:lang/>
        </w:rPr>
        <w:t>三、商务</w:t>
      </w:r>
      <w:bookmarkEnd w:id="7"/>
      <w:r w:rsidRPr="00407A1B">
        <w:rPr>
          <w:rFonts w:ascii="宋体" w:eastAsia="宋体" w:hAnsi="宋体" w:cs="Times New Roman" w:hint="eastAsia"/>
          <w:b/>
          <w:bCs/>
          <w:kern w:val="0"/>
          <w:sz w:val="28"/>
          <w:szCs w:val="28"/>
          <w:lang/>
        </w:rPr>
        <w:t>要求</w:t>
      </w:r>
      <w:bookmarkEnd w:id="8"/>
      <w:proofErr w:type="spell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7"/>
        <w:gridCol w:w="1366"/>
        <w:gridCol w:w="5786"/>
      </w:tblGrid>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bookmarkEnd w:id="4"/>
          <w:p w:rsidR="00407A1B" w:rsidRPr="00407A1B" w:rsidRDefault="00407A1B" w:rsidP="00407A1B">
            <w:pPr>
              <w:spacing w:line="276" w:lineRule="auto"/>
              <w:rPr>
                <w:rFonts w:ascii="宋体" w:eastAsia="宋体" w:hAnsi="宋体" w:cs="宋体"/>
                <w:b/>
                <w:bCs/>
                <w:sz w:val="24"/>
                <w:szCs w:val="21"/>
              </w:rPr>
            </w:pPr>
            <w:r w:rsidRPr="00407A1B">
              <w:rPr>
                <w:rFonts w:ascii="宋体" w:eastAsia="宋体" w:hAnsi="宋体" w:cs="宋体" w:hint="eastAsia"/>
                <w:b/>
                <w:bCs/>
                <w:sz w:val="24"/>
                <w:szCs w:val="21"/>
              </w:rPr>
              <w:t>序号</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b/>
                <w:bCs/>
                <w:sz w:val="24"/>
                <w:szCs w:val="21"/>
              </w:rPr>
            </w:pPr>
            <w:r w:rsidRPr="00407A1B">
              <w:rPr>
                <w:rFonts w:ascii="宋体" w:eastAsia="宋体" w:hAnsi="宋体" w:cs="宋体" w:hint="eastAsia"/>
                <w:b/>
                <w:bCs/>
                <w:sz w:val="24"/>
                <w:szCs w:val="21"/>
              </w:rPr>
              <w:t>目录</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b/>
                <w:bCs/>
                <w:sz w:val="24"/>
                <w:szCs w:val="21"/>
              </w:rPr>
            </w:pPr>
            <w:r w:rsidRPr="00407A1B">
              <w:rPr>
                <w:rFonts w:ascii="宋体" w:eastAsia="宋体" w:hAnsi="宋体" w:cs="宋体" w:hint="eastAsia"/>
                <w:b/>
                <w:bCs/>
                <w:sz w:val="24"/>
                <w:szCs w:val="21"/>
              </w:rPr>
              <w:t>详细商务要求</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★报价</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人民币报价</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lastRenderedPageBreak/>
              <w:t>2</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★交货地点</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采购人指定位置（深圳市龙岗区龙城街道</w:t>
            </w:r>
            <w:proofErr w:type="gramStart"/>
            <w:r w:rsidRPr="00407A1B">
              <w:rPr>
                <w:rFonts w:ascii="宋体" w:eastAsia="宋体" w:hAnsi="宋体" w:cs="宋体" w:hint="eastAsia"/>
                <w:sz w:val="24"/>
                <w:szCs w:val="21"/>
              </w:rPr>
              <w:t>黄阁路186号</w:t>
            </w:r>
            <w:proofErr w:type="gramEnd"/>
            <w:r w:rsidRPr="00407A1B">
              <w:rPr>
                <w:rFonts w:ascii="宋体" w:eastAsia="宋体" w:hAnsi="宋体" w:cs="宋体" w:hint="eastAsia"/>
                <w:sz w:val="24"/>
                <w:szCs w:val="21"/>
              </w:rPr>
              <w:t>）</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3</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★交货期</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合同签订后15个日历日内完成交货。</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4</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★付款方式</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1、设备到货验收合格、财政资金到位且收到中标人全额发票，按照相应规定支付中标人100%设备货款。当采购人本年度的资金预算不足以支付项目款项时，则需顺延至下年度支付。</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2、（1）如果采购人对中标人提供的产品有质量异议的，可以视具体情况暂时中止支付争议款项或其他相关款项，直到争议解除，采购人</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因此承担延期付款的违约责任。</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2）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（3）中标人提供的产品不合格，或产品存在瑕疵、缺陷，采购人有权暂停支付中标人项目相应到期应付货款，且</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视为采购人违约，直到双方正式处理完不合格产品为止。</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4）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（5）采购人在规定时间向支付部门提出支付申请，如因财政支付部门审核时间导致无法按期支付的，采购人不承担违约责任。</w:t>
            </w:r>
          </w:p>
        </w:tc>
      </w:tr>
      <w:tr w:rsidR="00407A1B" w:rsidRPr="00407A1B" w:rsidTr="00B14228">
        <w:trPr>
          <w:trHeight w:val="454"/>
        </w:trPr>
        <w:tc>
          <w:tcPr>
            <w:tcW w:w="802"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5</w:t>
            </w:r>
          </w:p>
        </w:tc>
        <w:tc>
          <w:tcPr>
            <w:tcW w:w="802"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★验收方式</w:t>
            </w:r>
          </w:p>
        </w:tc>
        <w:tc>
          <w:tcPr>
            <w:tcW w:w="3395"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1、交货后完成安装、调试、交付使用，由采购人使用科室、设备科、中标人等代表在场进行验收。</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2、在本项目涉及的医疗设备安装过程中，若安装场地需进行改造以满足设备安装要求，乙方应承担全部改造工作及相关费用。改造工作包括但不限于拆除、新建、装修、水电线路改造、通风系统调整等一切为实</w:t>
            </w:r>
            <w:r w:rsidRPr="00407A1B">
              <w:rPr>
                <w:rFonts w:ascii="宋体" w:eastAsia="宋体" w:hAnsi="宋体" w:cs="宋体" w:hint="eastAsia"/>
                <w:sz w:val="24"/>
                <w:szCs w:val="21"/>
              </w:rPr>
              <w:lastRenderedPageBreak/>
              <w:t>现设备正常安装及后续使用所必需的工程内容。改造工程费用由乙方全额承担，费用包含但不限于材料采购、施工人员薪酬、设备租赁、运输、税费等所有与改造工程相关的支出。</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3、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5、当满足以下条件时，采购人才向中标人签发货物验收报告：</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A.设备出厂日期:≤1年(以合同签订时间为准)；</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B.中标人按合同要求如期交货；</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C.中标人已按照合同规定提供了全部产品及完整的技术资料；</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D.货物符合招标文件技术规格书的要求，性能满足要求；</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E.提供货物中文说明书；</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F.提供维修手册、与厂家签订的 5年质保售后服务协议；</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G.进口设备必须提供正常有效的报关证明（报关单、海关增值税发票）及合法有效的商检合格证明；</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5、若采购人对中标人所供设备有质疑，中标人需无条件配合采购人委托第三</w:t>
            </w:r>
            <w:proofErr w:type="gramStart"/>
            <w:r w:rsidRPr="00407A1B">
              <w:rPr>
                <w:rFonts w:ascii="宋体" w:eastAsia="宋体" w:hAnsi="宋体" w:cs="宋体" w:hint="eastAsia"/>
                <w:sz w:val="24"/>
                <w:szCs w:val="21"/>
              </w:rPr>
              <w:t>方质量</w:t>
            </w:r>
            <w:proofErr w:type="gramEnd"/>
            <w:r w:rsidRPr="00407A1B">
              <w:rPr>
                <w:rFonts w:ascii="宋体" w:eastAsia="宋体" w:hAnsi="宋体" w:cs="宋体" w:hint="eastAsia"/>
                <w:sz w:val="24"/>
                <w:szCs w:val="21"/>
              </w:rPr>
              <w:t>检测部门按照招投标文件进行验收确认，所需费用由中标人负责支付。出具合格的检测验收报告，采购人将履行采购合同；若检测验收报告不合格，采购人有权取消采购合同，因此造成的经济损失由中标人承担。</w:t>
            </w:r>
          </w:p>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6、验收时，中标人须按采购人要求提供中标验货验收所需要的其他资料。</w:t>
            </w:r>
          </w:p>
        </w:tc>
      </w:tr>
      <w:tr w:rsidR="00407A1B" w:rsidRPr="00407A1B" w:rsidTr="00B14228">
        <w:trPr>
          <w:trHeight w:val="454"/>
        </w:trPr>
        <w:tc>
          <w:tcPr>
            <w:tcW w:w="802"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lastRenderedPageBreak/>
              <w:t>6</w:t>
            </w:r>
          </w:p>
        </w:tc>
        <w:tc>
          <w:tcPr>
            <w:tcW w:w="802"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★包装及运输要求</w:t>
            </w:r>
          </w:p>
        </w:tc>
        <w:tc>
          <w:tcPr>
            <w:tcW w:w="3395" w:type="pct"/>
            <w:tcBorders>
              <w:top w:val="single" w:sz="4" w:space="0" w:color="auto"/>
              <w:left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lastRenderedPageBreak/>
              <w:t>7</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★售后服务要求</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1、乙方对所提供的设备(包括零配件)提供免费保修期</w:t>
            </w:r>
            <w:r w:rsidRPr="00407A1B">
              <w:rPr>
                <w:rFonts w:ascii="宋体" w:eastAsia="宋体" w:hAnsi="宋体" w:cs="宋体" w:hint="eastAsia"/>
                <w:sz w:val="24"/>
                <w:szCs w:val="21"/>
                <w:u w:val="single"/>
              </w:rPr>
              <w:t>5</w:t>
            </w:r>
            <w:r w:rsidRPr="00407A1B">
              <w:rPr>
                <w:rFonts w:ascii="宋体" w:eastAsia="宋体" w:hAnsi="宋体" w:cs="宋体" w:hint="eastAsia"/>
                <w:sz w:val="24"/>
                <w:szCs w:val="21"/>
              </w:rPr>
              <w:t>年。(免费保修期时间</w:t>
            </w:r>
            <w:proofErr w:type="gramStart"/>
            <w:r w:rsidRPr="00407A1B">
              <w:rPr>
                <w:rFonts w:ascii="宋体" w:eastAsia="宋体" w:hAnsi="宋体" w:cs="宋体" w:hint="eastAsia"/>
                <w:sz w:val="24"/>
                <w:szCs w:val="21"/>
              </w:rPr>
              <w:t>自最终</w:t>
            </w:r>
            <w:proofErr w:type="gramEnd"/>
            <w:r w:rsidRPr="00407A1B">
              <w:rPr>
                <w:rFonts w:ascii="宋体" w:eastAsia="宋体" w:hAnsi="宋体" w:cs="宋体" w:hint="eastAsia"/>
                <w:sz w:val="24"/>
                <w:szCs w:val="21"/>
              </w:rPr>
              <w:t>验收合格并交付使用之日起计算)，在免费保修期，需提供原装的零配件及其维修，终身负责维修，储备足够的零配件</w:t>
            </w:r>
            <w:proofErr w:type="gramStart"/>
            <w:r w:rsidRPr="00407A1B">
              <w:rPr>
                <w:rFonts w:ascii="宋体" w:eastAsia="宋体" w:hAnsi="宋体" w:cs="宋体" w:hint="eastAsia"/>
                <w:sz w:val="24"/>
                <w:szCs w:val="21"/>
              </w:rPr>
              <w:t>备库并</w:t>
            </w:r>
            <w:proofErr w:type="gramEnd"/>
            <w:r w:rsidRPr="00407A1B">
              <w:rPr>
                <w:rFonts w:ascii="宋体" w:eastAsia="宋体" w:hAnsi="宋体" w:cs="宋体" w:hint="eastAsia"/>
                <w:sz w:val="24"/>
                <w:szCs w:val="21"/>
              </w:rPr>
              <w:t>保证十年以上维修配件；一年需对设备进行维护四次（每季度一次），</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额外收费。免费保修期内出现的质量问题,由乙方负责,乙方负责包修、包换或者包退,并承担修理、调换或退货的实际费用。免费保修期外，乙方负责提供原装配件并免费维修更换，</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额外收费，甲方只需支付更换的零配件费用。乙方负责该套设备软件的免费安装，软件终身免费升级维护、备份。</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2、免费保修期内，乙方应对产品因质量出现的问题修复，在</w:t>
            </w:r>
            <w:r w:rsidRPr="00407A1B">
              <w:rPr>
                <w:rFonts w:ascii="宋体" w:eastAsia="宋体" w:hAnsi="宋体" w:cs="宋体" w:hint="eastAsia"/>
                <w:sz w:val="24"/>
                <w:szCs w:val="21"/>
                <w:u w:val="single"/>
              </w:rPr>
              <w:t>2小时</w:t>
            </w:r>
            <w:r w:rsidRPr="00407A1B">
              <w:rPr>
                <w:rFonts w:ascii="宋体" w:eastAsia="宋体" w:hAnsi="宋体" w:cs="宋体" w:hint="eastAsia"/>
                <w:sz w:val="24"/>
                <w:szCs w:val="21"/>
              </w:rPr>
              <w:t>内响应，</w:t>
            </w:r>
            <w:r w:rsidRPr="00407A1B">
              <w:rPr>
                <w:rFonts w:ascii="宋体" w:eastAsia="宋体" w:hAnsi="宋体" w:cs="宋体" w:hint="eastAsia"/>
                <w:sz w:val="24"/>
                <w:szCs w:val="21"/>
                <w:u w:val="single"/>
              </w:rPr>
              <w:t>24小时</w:t>
            </w:r>
            <w:r w:rsidRPr="00407A1B">
              <w:rPr>
                <w:rFonts w:ascii="宋体" w:eastAsia="宋体" w:hAnsi="宋体" w:cs="宋体" w:hint="eastAsia"/>
                <w:sz w:val="24"/>
                <w:szCs w:val="21"/>
              </w:rPr>
              <w:t>内到达现场维修，</w:t>
            </w:r>
            <w:r w:rsidRPr="00407A1B">
              <w:rPr>
                <w:rFonts w:ascii="宋体" w:eastAsia="宋体" w:hAnsi="宋体" w:cs="宋体" w:hint="eastAsia"/>
                <w:sz w:val="24"/>
                <w:szCs w:val="21"/>
                <w:u w:val="single"/>
              </w:rPr>
              <w:t>48小时</w:t>
            </w:r>
            <w:r w:rsidRPr="00407A1B">
              <w:rPr>
                <w:rFonts w:ascii="宋体" w:eastAsia="宋体" w:hAnsi="宋体" w:cs="宋体" w:hint="eastAsia"/>
                <w:sz w:val="24"/>
                <w:szCs w:val="21"/>
              </w:rPr>
              <w:t>内消除故障(不可抗力情况除外)，消耗品/零配件供应及时；若在48小时内不能及时排除故障的，乙方应在10个日历日内向甲方提供不低故障设备规格型号档次的备用设备使用，直至故障修复为止。由此产生的包括但不限于运输费、安装费、搬运费、替换产品的损耗费、零部件费、调试费等全部费用由乙方承担。</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3、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4、提供工程师电话和技术维修力量情况和维修的详细地址及联系方式。</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5、负责安装、调试、提供技术咨询、软件升级及人员培训，以保证采购人工作人员掌握设备各种使用操作，</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额外收费。</w:t>
            </w:r>
          </w:p>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6、如场地迁移，需要移机时，中标人需提供设备拆装服务（包括但不限于本次招标的设备）并提供技术支持，且确保机器的正常使用，</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额外收费。</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8</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★违约责任</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1、中标人所交的设备品种、规格、型号、质量等任何一项不符合同规定标准的，采购人有权拒绝收货，中</w:t>
            </w:r>
            <w:r w:rsidRPr="00407A1B">
              <w:rPr>
                <w:rFonts w:ascii="宋体" w:eastAsia="宋体" w:hAnsi="宋体" w:cs="宋体" w:hint="eastAsia"/>
                <w:sz w:val="24"/>
                <w:szCs w:val="21"/>
              </w:rPr>
              <w:lastRenderedPageBreak/>
              <w:t xml:space="preserve">标人向采购人支付本合同总金额百分之二十的违约金，并需在采购人指定期限内重新提供，否则采购人有权解除合同。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 xml:space="preserve">2、中标人若逾期30日以上不能交付设备，采购人有权选择解除合同并且中标人应向采购人支付本合同总金额百分之二十的违约金。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 xml:space="preserve">3、中标人逾期交付设备或安装调试，中标人向采购人每日支付本合同总金额万分之五的违约金。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 xml:space="preserve">5、如中标人未按照合同的约定提供售后服务，中标人向采购人支付本合同总金额百分之二十的违约金，给采购人造成损失的，中标人应承担全部赔偿责任。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 xml:space="preserve">6、中标人所供设备因质量、缺陷、技术标准等问题，给采购人或实际使用人造成损害的，中标人接到采购人通知后立即到现场配合采购人处理事故，一切赔偿责任及法律责任由中标人承担。 </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8、如果采购人对中标人提供的产品有质量异议的，可以视具体情况暂时中止支付争议款项或其他相关款项，直到争议解除，采购人</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因此承担延期付款的违约责任。</w:t>
            </w:r>
          </w:p>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9、中标人提供的产品不合格，或产品存在瑕疵、缺陷，采购人有权暂停支付</w:t>
            </w:r>
            <w:proofErr w:type="gramStart"/>
            <w:r w:rsidRPr="00407A1B">
              <w:rPr>
                <w:rFonts w:ascii="宋体" w:eastAsia="宋体" w:hAnsi="宋体" w:cs="宋体" w:hint="eastAsia"/>
                <w:sz w:val="24"/>
                <w:szCs w:val="21"/>
              </w:rPr>
              <w:t>中标人项下</w:t>
            </w:r>
            <w:proofErr w:type="gramEnd"/>
            <w:r w:rsidRPr="00407A1B">
              <w:rPr>
                <w:rFonts w:ascii="宋体" w:eastAsia="宋体" w:hAnsi="宋体" w:cs="宋体" w:hint="eastAsia"/>
                <w:sz w:val="24"/>
                <w:szCs w:val="21"/>
              </w:rPr>
              <w:t>相应到期应付货款，且</w:t>
            </w:r>
            <w:proofErr w:type="gramStart"/>
            <w:r w:rsidRPr="00407A1B">
              <w:rPr>
                <w:rFonts w:ascii="宋体" w:eastAsia="宋体" w:hAnsi="宋体" w:cs="宋体" w:hint="eastAsia"/>
                <w:sz w:val="24"/>
                <w:szCs w:val="21"/>
              </w:rPr>
              <w:t>不</w:t>
            </w:r>
            <w:proofErr w:type="gramEnd"/>
            <w:r w:rsidRPr="00407A1B">
              <w:rPr>
                <w:rFonts w:ascii="宋体" w:eastAsia="宋体" w:hAnsi="宋体" w:cs="宋体" w:hint="eastAsia"/>
                <w:sz w:val="24"/>
                <w:szCs w:val="21"/>
              </w:rPr>
              <w:t>视为采购人违约，直到双方正式处理完不合格产品为止。</w:t>
            </w:r>
          </w:p>
        </w:tc>
      </w:tr>
      <w:tr w:rsidR="00407A1B" w:rsidRPr="00407A1B" w:rsidTr="00B14228">
        <w:trPr>
          <w:trHeight w:val="454"/>
        </w:trPr>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lastRenderedPageBreak/>
              <w:t>9</w:t>
            </w:r>
          </w:p>
        </w:tc>
        <w:tc>
          <w:tcPr>
            <w:tcW w:w="802"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★其他要求</w:t>
            </w:r>
          </w:p>
        </w:tc>
        <w:tc>
          <w:tcPr>
            <w:tcW w:w="3395" w:type="pct"/>
            <w:tcBorders>
              <w:top w:val="single" w:sz="4" w:space="0" w:color="auto"/>
              <w:left w:val="single" w:sz="4" w:space="0" w:color="auto"/>
              <w:bottom w:val="single" w:sz="4" w:space="0" w:color="auto"/>
              <w:right w:val="single" w:sz="4" w:space="0" w:color="auto"/>
            </w:tcBorders>
            <w:vAlign w:val="center"/>
          </w:tcPr>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1、本项目中如有涉及水、电、气设备安装及调试、室外高空作业等项目的中标人应使用具有国家认可资质的操作人员（资质证书仍在有效期内）实施，否则由此造成的后果由中标人负责。</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2、本项目所要求的硬件、软件，中标人要配备给采购</w:t>
            </w:r>
            <w:r w:rsidRPr="00407A1B">
              <w:rPr>
                <w:rFonts w:ascii="宋体" w:eastAsia="宋体" w:hAnsi="宋体" w:cs="宋体" w:hint="eastAsia"/>
                <w:sz w:val="24"/>
                <w:szCs w:val="21"/>
              </w:rPr>
              <w:lastRenderedPageBreak/>
              <w:t>人，并保证采购人能正常使用，不需要另外增加其他附件和其他费用。</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3、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4、投标机型的硬件及软件配置均须是注册证或官方白皮书所描述的，且在不同的应用领域（临床、科研）新技术改进、更新的产品。</w:t>
            </w:r>
          </w:p>
          <w:p w:rsidR="00407A1B" w:rsidRPr="00407A1B" w:rsidRDefault="00407A1B" w:rsidP="00407A1B">
            <w:pPr>
              <w:spacing w:line="276" w:lineRule="auto"/>
              <w:rPr>
                <w:rFonts w:ascii="宋体" w:eastAsia="宋体" w:hAnsi="宋体" w:cs="宋体"/>
                <w:sz w:val="24"/>
                <w:szCs w:val="21"/>
              </w:rPr>
            </w:pPr>
            <w:r w:rsidRPr="00407A1B">
              <w:rPr>
                <w:rFonts w:ascii="宋体" w:eastAsia="宋体" w:hAnsi="宋体" w:cs="宋体" w:hint="eastAsia"/>
                <w:sz w:val="24"/>
                <w:szCs w:val="21"/>
              </w:rPr>
              <w:t>5、网络安全要求：所提供产品或服务满足国家网络安全管理要求，遵守医疗行业和采购</w:t>
            </w:r>
            <w:proofErr w:type="gramStart"/>
            <w:r w:rsidRPr="00407A1B">
              <w:rPr>
                <w:rFonts w:ascii="宋体" w:eastAsia="宋体" w:hAnsi="宋体" w:cs="宋体" w:hint="eastAsia"/>
                <w:sz w:val="24"/>
                <w:szCs w:val="21"/>
              </w:rPr>
              <w:t>人网络</w:t>
            </w:r>
            <w:proofErr w:type="gramEnd"/>
            <w:r w:rsidRPr="00407A1B">
              <w:rPr>
                <w:rFonts w:ascii="宋体" w:eastAsia="宋体" w:hAnsi="宋体" w:cs="宋体" w:hint="eastAsia"/>
                <w:sz w:val="24"/>
                <w:szCs w:val="21"/>
              </w:rPr>
              <w:t>安全管理规范，保护采购人和患者信息安全。医疗设备自带软件（如有）具备合格的软件功能及安全测评报告、源代码安全审计报告和网络及数据接口说明等。</w:t>
            </w:r>
          </w:p>
          <w:p w:rsidR="00407A1B" w:rsidRPr="00407A1B" w:rsidRDefault="00407A1B" w:rsidP="00407A1B">
            <w:pPr>
              <w:spacing w:line="276" w:lineRule="auto"/>
              <w:rPr>
                <w:rFonts w:ascii="宋体" w:eastAsia="宋体" w:hAnsi="宋体" w:cs="宋体" w:hint="eastAsia"/>
                <w:sz w:val="24"/>
                <w:szCs w:val="21"/>
              </w:rPr>
            </w:pPr>
            <w:r w:rsidRPr="00407A1B">
              <w:rPr>
                <w:rFonts w:ascii="宋体" w:eastAsia="宋体" w:hAnsi="宋体" w:cs="宋体" w:hint="eastAsia"/>
                <w:sz w:val="24"/>
                <w:szCs w:val="21"/>
              </w:rPr>
              <w:t>6、设备使用期间，发生产品召回事件，中标人提供替代或赔偿方案。</w:t>
            </w:r>
          </w:p>
        </w:tc>
      </w:tr>
    </w:tbl>
    <w:p w:rsidR="00407A1B" w:rsidRPr="00407A1B" w:rsidRDefault="00407A1B" w:rsidP="00407A1B">
      <w:pPr>
        <w:spacing w:line="276" w:lineRule="auto"/>
        <w:rPr>
          <w:rFonts w:ascii="宋体" w:eastAsia="宋体" w:hAnsi="宋体" w:cs="宋体" w:hint="eastAsia"/>
          <w:sz w:val="24"/>
          <w:szCs w:val="21"/>
        </w:rPr>
      </w:pPr>
    </w:p>
    <w:p w:rsidR="00934667" w:rsidRPr="00407A1B" w:rsidRDefault="00407A1B"/>
    <w:sectPr w:rsidR="00934667" w:rsidRPr="00407A1B"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DE4446"/>
    <w:multiLevelType w:val="singleLevel"/>
    <w:tmpl w:val="E8DE4446"/>
    <w:lvl w:ilvl="0">
      <w:start w:val="14"/>
      <w:numFmt w:val="decimal"/>
      <w:lvlText w:val="%1."/>
      <w:lvlJc w:val="left"/>
      <w:pPr>
        <w:tabs>
          <w:tab w:val="num" w:pos="312"/>
        </w:tabs>
      </w:pPr>
    </w:lvl>
  </w:abstractNum>
  <w:abstractNum w:abstractNumId="1">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7A1B"/>
    <w:rsid w:val="002D0F0E"/>
    <w:rsid w:val="0038276D"/>
    <w:rsid w:val="00407A1B"/>
    <w:rsid w:val="0094277F"/>
    <w:rsid w:val="00CC65B1"/>
    <w:rsid w:val="00D06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407A1B"/>
    <w:rPr>
      <w:rFonts w:ascii="宋体" w:eastAsia="宋体"/>
      <w:sz w:val="18"/>
      <w:szCs w:val="18"/>
    </w:rPr>
  </w:style>
  <w:style w:type="character" w:customStyle="1" w:styleId="Char">
    <w:name w:val="文档结构图 Char"/>
    <w:basedOn w:val="a0"/>
    <w:link w:val="a3"/>
    <w:uiPriority w:val="99"/>
    <w:semiHidden/>
    <w:rsid w:val="00407A1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984</Words>
  <Characters>5613</Characters>
  <Application>Microsoft Office Word</Application>
  <DocSecurity>0</DocSecurity>
  <Lines>46</Lines>
  <Paragraphs>13</Paragraphs>
  <ScaleCrop>false</ScaleCrop>
  <Company>Microsoft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2025-11-19T03:07:00Z</dcterms:created>
  <dcterms:modified xsi:type="dcterms:W3CDTF">2025-11-19T03:07:00Z</dcterms:modified>
</cp:coreProperties>
</file>