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F81B3">
      <w:pPr>
        <w:pStyle w:val="2"/>
        <w:spacing w:before="0" w:after="0" w:line="360" w:lineRule="auto"/>
        <w:jc w:val="center"/>
        <w:rPr>
          <w:rFonts w:hint="eastAsia" w:ascii="宋体" w:hAnsi="宋体"/>
        </w:rPr>
      </w:pPr>
      <w:bookmarkStart w:id="0" w:name="_Toc213752369"/>
      <w:bookmarkStart w:id="1" w:name="_Toc18681"/>
      <w:bookmarkStart w:id="2" w:name="_Toc13982"/>
      <w:r>
        <w:rPr>
          <w:rFonts w:ascii="宋体" w:hAnsi="宋体"/>
        </w:rPr>
        <w:fldChar w:fldCharType="begin"/>
      </w:r>
      <w:r>
        <w:rPr>
          <w:rFonts w:ascii="宋体" w:hAnsi="宋体"/>
        </w:rPr>
        <w:instrText xml:space="preserve"> HYPERLINK \l "_Toc488762883" </w:instrText>
      </w:r>
      <w:r>
        <w:rPr>
          <w:rFonts w:ascii="宋体" w:hAnsi="宋体"/>
        </w:rPr>
        <w:fldChar w:fldCharType="separate"/>
      </w:r>
      <w:r>
        <w:rPr>
          <w:rFonts w:hint="eastAsia" w:ascii="宋体" w:hAnsi="宋体"/>
        </w:rPr>
        <w:t>项目需求</w:t>
      </w:r>
      <w:bookmarkEnd w:id="0"/>
      <w:r>
        <w:rPr>
          <w:rFonts w:ascii="宋体" w:hAnsi="宋体"/>
        </w:rPr>
        <w:fldChar w:fldCharType="end"/>
      </w:r>
      <w:bookmarkEnd w:id="1"/>
      <w:bookmarkEnd w:id="2"/>
    </w:p>
    <w:p w14:paraId="3C5AC35C">
      <w:pPr>
        <w:pStyle w:val="3"/>
        <w:spacing w:line="360" w:lineRule="auto"/>
        <w:jc w:val="left"/>
        <w:rPr>
          <w:rFonts w:hint="eastAsia" w:cs="Arial"/>
          <w:sz w:val="28"/>
          <w:szCs w:val="28"/>
          <w:lang w:eastAsia="zh-CN"/>
        </w:rPr>
      </w:pPr>
      <w:bookmarkStart w:id="3" w:name="_Toc213752370"/>
      <w:bookmarkStart w:id="4" w:name="_Toc266949377"/>
      <w:r>
        <w:rPr>
          <w:rFonts w:hint="eastAsia" w:cs="Arial"/>
          <w:sz w:val="28"/>
          <w:szCs w:val="28"/>
        </w:rPr>
        <w:t>一、货物清单</w:t>
      </w:r>
      <w:bookmarkEnd w:id="3"/>
    </w:p>
    <w:p w14:paraId="4C55B385">
      <w:pPr>
        <w:widowControl/>
        <w:spacing w:after="60" w:line="360" w:lineRule="auto"/>
        <w:ind w:firstLine="422" w:firstLineChars="200"/>
        <w:jc w:val="left"/>
        <w:rPr>
          <w:rFonts w:ascii="宋体" w:hAnsi="宋体"/>
          <w:b/>
          <w:bCs/>
          <w:kern w:val="0"/>
          <w:szCs w:val="21"/>
        </w:rPr>
      </w:pPr>
      <w:r>
        <w:rPr>
          <w:rFonts w:hint="eastAsia" w:ascii="宋体" w:hAnsi="宋体"/>
          <w:b/>
          <w:bCs/>
          <w:kern w:val="0"/>
          <w:szCs w:val="21"/>
        </w:rPr>
        <w:t>（一）项目信息</w:t>
      </w:r>
    </w:p>
    <w:tbl>
      <w:tblPr>
        <w:tblStyle w:val="7"/>
        <w:tblpPr w:leftFromText="180" w:rightFromText="180" w:vertAnchor="text" w:horzAnchor="margin" w:tblpY="173"/>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688"/>
        <w:gridCol w:w="3260"/>
        <w:gridCol w:w="2347"/>
      </w:tblGrid>
      <w:tr w14:paraId="4E1D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noWrap w:val="0"/>
            <w:vAlign w:val="center"/>
          </w:tcPr>
          <w:p w14:paraId="3A8C4D7D">
            <w:pPr>
              <w:jc w:val="center"/>
              <w:rPr>
                <w:rFonts w:ascii="宋体" w:hAnsi="宋体"/>
                <w:bCs/>
                <w:szCs w:val="21"/>
              </w:rPr>
            </w:pPr>
            <w:r>
              <w:rPr>
                <w:rFonts w:hint="eastAsia" w:ascii="宋体" w:hAnsi="宋体"/>
                <w:bCs/>
                <w:szCs w:val="21"/>
              </w:rPr>
              <w:t>序号</w:t>
            </w:r>
          </w:p>
        </w:tc>
        <w:tc>
          <w:tcPr>
            <w:tcW w:w="2688" w:type="dxa"/>
            <w:noWrap w:val="0"/>
            <w:vAlign w:val="center"/>
          </w:tcPr>
          <w:p w14:paraId="08DA2066">
            <w:pPr>
              <w:jc w:val="center"/>
              <w:rPr>
                <w:rFonts w:ascii="宋体" w:hAnsi="宋体"/>
                <w:bCs/>
                <w:szCs w:val="21"/>
              </w:rPr>
            </w:pPr>
            <w:r>
              <w:rPr>
                <w:rFonts w:hint="eastAsia" w:ascii="宋体" w:hAnsi="宋体"/>
                <w:bCs/>
                <w:szCs w:val="21"/>
              </w:rPr>
              <w:t>采购项目名称</w:t>
            </w:r>
          </w:p>
        </w:tc>
        <w:tc>
          <w:tcPr>
            <w:tcW w:w="3260" w:type="dxa"/>
            <w:noWrap w:val="0"/>
            <w:vAlign w:val="center"/>
          </w:tcPr>
          <w:p w14:paraId="2A8AD29D">
            <w:pPr>
              <w:jc w:val="center"/>
              <w:rPr>
                <w:rFonts w:ascii="宋体" w:hAnsi="宋体"/>
                <w:bCs/>
                <w:szCs w:val="21"/>
              </w:rPr>
            </w:pPr>
            <w:r>
              <w:rPr>
                <w:rFonts w:ascii="宋体" w:hAnsi="宋体"/>
                <w:bCs/>
                <w:szCs w:val="21"/>
              </w:rPr>
              <w:t>数量</w:t>
            </w:r>
          </w:p>
        </w:tc>
        <w:tc>
          <w:tcPr>
            <w:tcW w:w="2347" w:type="dxa"/>
            <w:noWrap w:val="0"/>
            <w:vAlign w:val="center"/>
          </w:tcPr>
          <w:p w14:paraId="0757334B">
            <w:pPr>
              <w:jc w:val="center"/>
              <w:rPr>
                <w:rFonts w:ascii="宋体" w:hAnsi="宋体"/>
                <w:b/>
                <w:bCs/>
                <w:szCs w:val="21"/>
              </w:rPr>
            </w:pPr>
            <w:r>
              <w:rPr>
                <w:rFonts w:hint="eastAsia" w:ascii="宋体" w:hAnsi="宋体"/>
                <w:b/>
                <w:bCs/>
                <w:szCs w:val="21"/>
              </w:rPr>
              <w:t>财政预算限额（元）</w:t>
            </w:r>
          </w:p>
        </w:tc>
      </w:tr>
      <w:tr w14:paraId="4292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noWrap w:val="0"/>
            <w:vAlign w:val="center"/>
          </w:tcPr>
          <w:p w14:paraId="735E79C2">
            <w:pPr>
              <w:jc w:val="center"/>
              <w:rPr>
                <w:rFonts w:ascii="宋体" w:hAnsi="宋体"/>
                <w:bCs/>
                <w:szCs w:val="21"/>
              </w:rPr>
            </w:pPr>
            <w:r>
              <w:rPr>
                <w:rFonts w:hint="eastAsia" w:ascii="宋体" w:hAnsi="宋体"/>
                <w:bCs/>
                <w:szCs w:val="21"/>
              </w:rPr>
              <w:t>1</w:t>
            </w:r>
          </w:p>
        </w:tc>
        <w:tc>
          <w:tcPr>
            <w:tcW w:w="2688" w:type="dxa"/>
            <w:noWrap w:val="0"/>
            <w:vAlign w:val="center"/>
          </w:tcPr>
          <w:p w14:paraId="3427A390">
            <w:pPr>
              <w:jc w:val="center"/>
              <w:rPr>
                <w:rFonts w:ascii="宋体" w:hAnsi="宋体"/>
                <w:bCs/>
                <w:szCs w:val="21"/>
              </w:rPr>
            </w:pPr>
            <w:r>
              <w:rPr>
                <w:rFonts w:hint="eastAsia" w:ascii="宋体" w:hAnsi="宋体"/>
                <w:bCs/>
                <w:szCs w:val="21"/>
              </w:rPr>
              <w:t>深圳中学数理高中阳光跑配套设备采购</w:t>
            </w:r>
          </w:p>
        </w:tc>
        <w:tc>
          <w:tcPr>
            <w:tcW w:w="3260" w:type="dxa"/>
            <w:noWrap w:val="0"/>
            <w:vAlign w:val="center"/>
          </w:tcPr>
          <w:p w14:paraId="72104617">
            <w:pPr>
              <w:jc w:val="center"/>
              <w:rPr>
                <w:rFonts w:ascii="宋体" w:hAnsi="宋体"/>
                <w:b/>
                <w:bCs/>
                <w:szCs w:val="21"/>
              </w:rPr>
            </w:pPr>
            <w:r>
              <w:rPr>
                <w:rFonts w:hint="eastAsia" w:ascii="宋体" w:hAnsi="宋体"/>
                <w:b/>
                <w:bCs/>
                <w:szCs w:val="21"/>
              </w:rPr>
              <w:t>1批</w:t>
            </w:r>
          </w:p>
        </w:tc>
        <w:tc>
          <w:tcPr>
            <w:tcW w:w="2347" w:type="dxa"/>
            <w:noWrap w:val="0"/>
            <w:vAlign w:val="center"/>
          </w:tcPr>
          <w:p w14:paraId="6802F00E">
            <w:pPr>
              <w:widowControl/>
              <w:jc w:val="center"/>
              <w:textAlignment w:val="center"/>
              <w:rPr>
                <w:rFonts w:ascii="宋体" w:hAnsi="宋体" w:cs="仿宋"/>
                <w:color w:val="000000"/>
                <w:sz w:val="22"/>
                <w:szCs w:val="22"/>
              </w:rPr>
            </w:pPr>
            <w:r>
              <w:rPr>
                <w:rFonts w:hint="eastAsia" w:ascii="宋体" w:hAnsi="宋体" w:cs="仿宋"/>
                <w:color w:val="000000"/>
                <w:kern w:val="0"/>
                <w:szCs w:val="21"/>
              </w:rPr>
              <w:t>900000.00</w:t>
            </w:r>
          </w:p>
        </w:tc>
      </w:tr>
    </w:tbl>
    <w:p w14:paraId="721696C2">
      <w:pPr>
        <w:widowControl/>
        <w:spacing w:after="60" w:line="360" w:lineRule="auto"/>
        <w:ind w:firstLine="420" w:firstLineChars="200"/>
        <w:jc w:val="left"/>
        <w:rPr>
          <w:rFonts w:ascii="宋体" w:hAnsi="宋体" w:cs="宋体"/>
          <w:kern w:val="0"/>
          <w:szCs w:val="21"/>
        </w:rPr>
      </w:pPr>
    </w:p>
    <w:p w14:paraId="6974DF66">
      <w:pPr>
        <w:widowControl/>
        <w:spacing w:after="60" w:line="360" w:lineRule="auto"/>
        <w:ind w:firstLine="422" w:firstLineChars="200"/>
        <w:jc w:val="left"/>
        <w:rPr>
          <w:rFonts w:ascii="宋体" w:hAnsi="宋体" w:cs="宋体"/>
          <w:b/>
          <w:kern w:val="0"/>
          <w:szCs w:val="21"/>
        </w:rPr>
      </w:pPr>
      <w:r>
        <w:rPr>
          <w:rFonts w:hint="eastAsia" w:ascii="宋体" w:hAnsi="宋体" w:cs="宋体"/>
          <w:b/>
          <w:kern w:val="0"/>
          <w:szCs w:val="21"/>
        </w:rPr>
        <w:t>（二）货物清单</w:t>
      </w:r>
    </w:p>
    <w:tbl>
      <w:tblPr>
        <w:tblStyle w:val="7"/>
        <w:tblW w:w="8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552"/>
        <w:gridCol w:w="1783"/>
        <w:gridCol w:w="1750"/>
        <w:gridCol w:w="1756"/>
      </w:tblGrid>
      <w:tr w14:paraId="78AE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257047BB">
            <w:pPr>
              <w:widowControl/>
              <w:spacing w:line="360" w:lineRule="auto"/>
              <w:jc w:val="center"/>
              <w:rPr>
                <w:rFonts w:ascii="宋体" w:hAnsi="宋体" w:cs="仿宋"/>
                <w:b/>
                <w:bCs/>
                <w:kern w:val="0"/>
                <w:szCs w:val="21"/>
              </w:rPr>
            </w:pPr>
            <w:r>
              <w:rPr>
                <w:rFonts w:hint="eastAsia" w:ascii="宋体" w:hAnsi="宋体" w:cs="仿宋"/>
                <w:b/>
                <w:bCs/>
                <w:kern w:val="0"/>
                <w:szCs w:val="21"/>
              </w:rPr>
              <w:t>序号</w:t>
            </w:r>
          </w:p>
        </w:tc>
        <w:tc>
          <w:tcPr>
            <w:tcW w:w="2552" w:type="dxa"/>
            <w:noWrap w:val="0"/>
            <w:vAlign w:val="center"/>
          </w:tcPr>
          <w:p w14:paraId="3864D3C9">
            <w:pPr>
              <w:widowControl/>
              <w:spacing w:line="360" w:lineRule="auto"/>
              <w:jc w:val="center"/>
              <w:rPr>
                <w:rFonts w:ascii="宋体" w:hAnsi="宋体" w:cs="仿宋"/>
                <w:b/>
                <w:bCs/>
                <w:kern w:val="0"/>
                <w:szCs w:val="21"/>
              </w:rPr>
            </w:pPr>
            <w:r>
              <w:rPr>
                <w:rFonts w:hint="eastAsia" w:ascii="宋体" w:hAnsi="宋体" w:cs="仿宋"/>
                <w:b/>
                <w:bCs/>
                <w:kern w:val="0"/>
                <w:szCs w:val="21"/>
              </w:rPr>
              <w:t>货物名称</w:t>
            </w:r>
          </w:p>
        </w:tc>
        <w:tc>
          <w:tcPr>
            <w:tcW w:w="1783" w:type="dxa"/>
            <w:noWrap/>
            <w:vAlign w:val="center"/>
          </w:tcPr>
          <w:p w14:paraId="20E50204">
            <w:pPr>
              <w:widowControl/>
              <w:spacing w:line="360" w:lineRule="auto"/>
              <w:jc w:val="center"/>
              <w:rPr>
                <w:rFonts w:ascii="宋体" w:hAnsi="宋体" w:cs="仿宋"/>
                <w:b/>
                <w:bCs/>
                <w:kern w:val="0"/>
                <w:szCs w:val="21"/>
              </w:rPr>
            </w:pPr>
            <w:r>
              <w:rPr>
                <w:rFonts w:hint="eastAsia" w:ascii="宋体" w:hAnsi="宋体" w:cs="仿宋"/>
                <w:b/>
                <w:bCs/>
                <w:kern w:val="0"/>
                <w:szCs w:val="21"/>
              </w:rPr>
              <w:t>数量</w:t>
            </w:r>
          </w:p>
        </w:tc>
        <w:tc>
          <w:tcPr>
            <w:tcW w:w="1750" w:type="dxa"/>
            <w:noWrap/>
            <w:vAlign w:val="center"/>
          </w:tcPr>
          <w:p w14:paraId="1B2DAB97">
            <w:pPr>
              <w:widowControl/>
              <w:spacing w:line="360" w:lineRule="auto"/>
              <w:jc w:val="center"/>
              <w:rPr>
                <w:rFonts w:ascii="宋体" w:hAnsi="宋体" w:cs="仿宋"/>
                <w:b/>
                <w:bCs/>
                <w:kern w:val="0"/>
                <w:szCs w:val="21"/>
              </w:rPr>
            </w:pPr>
            <w:r>
              <w:rPr>
                <w:rFonts w:hint="eastAsia" w:ascii="宋体" w:hAnsi="宋体" w:cs="仿宋"/>
                <w:b/>
                <w:bCs/>
                <w:kern w:val="0"/>
                <w:szCs w:val="21"/>
              </w:rPr>
              <w:t>单位</w:t>
            </w:r>
          </w:p>
        </w:tc>
        <w:tc>
          <w:tcPr>
            <w:tcW w:w="1756" w:type="dxa"/>
            <w:noWrap/>
            <w:vAlign w:val="center"/>
          </w:tcPr>
          <w:p w14:paraId="77B2DA25">
            <w:pPr>
              <w:widowControl/>
              <w:spacing w:line="360" w:lineRule="auto"/>
              <w:jc w:val="center"/>
              <w:rPr>
                <w:rFonts w:ascii="宋体" w:hAnsi="宋体" w:cs="仿宋"/>
                <w:b/>
                <w:bCs/>
                <w:kern w:val="0"/>
                <w:szCs w:val="21"/>
              </w:rPr>
            </w:pPr>
            <w:r>
              <w:rPr>
                <w:rFonts w:hint="eastAsia" w:ascii="宋体" w:hAnsi="宋体" w:cs="仿宋"/>
                <w:b/>
                <w:bCs/>
                <w:kern w:val="0"/>
                <w:szCs w:val="21"/>
              </w:rPr>
              <w:t>备注</w:t>
            </w:r>
          </w:p>
        </w:tc>
      </w:tr>
      <w:tr w14:paraId="0918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5C8B71C6">
            <w:pPr>
              <w:widowControl/>
              <w:numPr>
                <w:ilvl w:val="0"/>
                <w:numId w:val="2"/>
              </w:numPr>
              <w:jc w:val="center"/>
              <w:textAlignment w:val="center"/>
              <w:rPr>
                <w:rFonts w:ascii="宋体" w:hAnsi="宋体" w:cs="仿宋"/>
                <w:color w:val="000000"/>
                <w:szCs w:val="21"/>
              </w:rPr>
            </w:pPr>
          </w:p>
        </w:tc>
        <w:tc>
          <w:tcPr>
            <w:tcW w:w="2552" w:type="dxa"/>
            <w:noWrap w:val="0"/>
            <w:vAlign w:val="center"/>
          </w:tcPr>
          <w:p w14:paraId="6C7803E5">
            <w:pPr>
              <w:widowControl/>
              <w:jc w:val="center"/>
              <w:textAlignment w:val="center"/>
              <w:rPr>
                <w:rFonts w:ascii="宋体" w:hAnsi="宋体" w:cs="仿宋"/>
                <w:color w:val="000000"/>
                <w:szCs w:val="21"/>
              </w:rPr>
            </w:pPr>
            <w:r>
              <w:rPr>
                <w:rFonts w:hint="eastAsia" w:ascii="宋体" w:hAnsi="宋体" w:cs="仿宋"/>
                <w:color w:val="000000"/>
                <w:kern w:val="0"/>
                <w:szCs w:val="21"/>
              </w:rPr>
              <w:t>智慧体育教学练测评系统</w:t>
            </w:r>
          </w:p>
        </w:tc>
        <w:tc>
          <w:tcPr>
            <w:tcW w:w="1783" w:type="dxa"/>
            <w:noWrap/>
            <w:vAlign w:val="center"/>
          </w:tcPr>
          <w:p w14:paraId="3A216CF2">
            <w:pPr>
              <w:widowControl/>
              <w:jc w:val="center"/>
              <w:textAlignment w:val="center"/>
              <w:rPr>
                <w:rFonts w:ascii="宋体" w:hAnsi="宋体" w:cs="仿宋"/>
                <w:color w:val="000000"/>
                <w:szCs w:val="21"/>
              </w:rPr>
            </w:pPr>
            <w:r>
              <w:rPr>
                <w:rFonts w:hint="eastAsia" w:ascii="宋体" w:hAnsi="宋体" w:cs="仿宋"/>
                <w:color w:val="000000"/>
                <w:kern w:val="0"/>
                <w:szCs w:val="21"/>
              </w:rPr>
              <w:t>1</w:t>
            </w:r>
          </w:p>
        </w:tc>
        <w:tc>
          <w:tcPr>
            <w:tcW w:w="1750" w:type="dxa"/>
            <w:noWrap/>
            <w:vAlign w:val="center"/>
          </w:tcPr>
          <w:p w14:paraId="57D931C4">
            <w:pPr>
              <w:widowControl/>
              <w:jc w:val="center"/>
              <w:textAlignment w:val="center"/>
              <w:rPr>
                <w:rFonts w:ascii="宋体" w:hAnsi="宋体" w:cs="仿宋"/>
                <w:color w:val="000000"/>
                <w:szCs w:val="21"/>
              </w:rPr>
            </w:pPr>
            <w:r>
              <w:rPr>
                <w:rFonts w:hint="eastAsia" w:ascii="宋体" w:hAnsi="宋体" w:cs="仿宋"/>
                <w:color w:val="000000"/>
                <w:kern w:val="0"/>
                <w:szCs w:val="21"/>
              </w:rPr>
              <w:t>套</w:t>
            </w:r>
          </w:p>
        </w:tc>
        <w:tc>
          <w:tcPr>
            <w:tcW w:w="1756" w:type="dxa"/>
            <w:noWrap/>
            <w:vAlign w:val="center"/>
          </w:tcPr>
          <w:p w14:paraId="142BF84D">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718C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284EA569">
            <w:pPr>
              <w:widowControl/>
              <w:numPr>
                <w:ilvl w:val="0"/>
                <w:numId w:val="2"/>
              </w:numPr>
              <w:jc w:val="center"/>
              <w:textAlignment w:val="center"/>
              <w:rPr>
                <w:rFonts w:ascii="宋体" w:hAnsi="宋体" w:cs="仿宋"/>
                <w:color w:val="000000"/>
                <w:szCs w:val="21"/>
              </w:rPr>
            </w:pPr>
          </w:p>
        </w:tc>
        <w:tc>
          <w:tcPr>
            <w:tcW w:w="2552" w:type="dxa"/>
            <w:noWrap w:val="0"/>
            <w:vAlign w:val="center"/>
          </w:tcPr>
          <w:p w14:paraId="4D391DD1">
            <w:pPr>
              <w:widowControl/>
              <w:jc w:val="center"/>
              <w:textAlignment w:val="center"/>
              <w:rPr>
                <w:rFonts w:ascii="宋体" w:hAnsi="宋体" w:cs="仿宋"/>
                <w:color w:val="000000"/>
                <w:szCs w:val="21"/>
              </w:rPr>
            </w:pPr>
            <w:r>
              <w:rPr>
                <w:rFonts w:hint="eastAsia" w:ascii="宋体" w:hAnsi="宋体" w:cs="仿宋"/>
                <w:color w:val="000000"/>
                <w:kern w:val="0"/>
                <w:szCs w:val="21"/>
              </w:rPr>
              <w:t>智慧体育校级数据平台</w:t>
            </w:r>
          </w:p>
        </w:tc>
        <w:tc>
          <w:tcPr>
            <w:tcW w:w="1783" w:type="dxa"/>
            <w:noWrap/>
            <w:vAlign w:val="center"/>
          </w:tcPr>
          <w:p w14:paraId="26A1D443">
            <w:pPr>
              <w:widowControl/>
              <w:jc w:val="center"/>
              <w:textAlignment w:val="center"/>
              <w:rPr>
                <w:rFonts w:ascii="宋体" w:hAnsi="宋体" w:cs="仿宋"/>
                <w:color w:val="000000"/>
                <w:szCs w:val="21"/>
              </w:rPr>
            </w:pPr>
            <w:r>
              <w:rPr>
                <w:rFonts w:hint="eastAsia" w:ascii="宋体" w:hAnsi="宋体" w:cs="仿宋"/>
                <w:color w:val="000000"/>
                <w:kern w:val="0"/>
                <w:szCs w:val="21"/>
              </w:rPr>
              <w:t>1</w:t>
            </w:r>
          </w:p>
        </w:tc>
        <w:tc>
          <w:tcPr>
            <w:tcW w:w="1750" w:type="dxa"/>
            <w:noWrap/>
            <w:vAlign w:val="center"/>
          </w:tcPr>
          <w:p w14:paraId="24D97BBC">
            <w:pPr>
              <w:widowControl/>
              <w:jc w:val="center"/>
              <w:textAlignment w:val="center"/>
              <w:rPr>
                <w:rFonts w:ascii="宋体" w:hAnsi="宋体" w:cs="仿宋"/>
                <w:color w:val="000000"/>
                <w:szCs w:val="21"/>
              </w:rPr>
            </w:pPr>
            <w:r>
              <w:rPr>
                <w:rFonts w:hint="eastAsia" w:ascii="宋体" w:hAnsi="宋体" w:cs="仿宋"/>
                <w:color w:val="000000"/>
                <w:kern w:val="0"/>
                <w:szCs w:val="21"/>
              </w:rPr>
              <w:t>套</w:t>
            </w:r>
          </w:p>
        </w:tc>
        <w:tc>
          <w:tcPr>
            <w:tcW w:w="1756" w:type="dxa"/>
            <w:noWrap/>
            <w:vAlign w:val="center"/>
          </w:tcPr>
          <w:p w14:paraId="5DEEB952">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08F3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41D84C04">
            <w:pPr>
              <w:widowControl/>
              <w:numPr>
                <w:ilvl w:val="0"/>
                <w:numId w:val="2"/>
              </w:numPr>
              <w:jc w:val="center"/>
              <w:textAlignment w:val="center"/>
              <w:rPr>
                <w:rFonts w:ascii="宋体" w:hAnsi="宋体" w:cs="仿宋"/>
                <w:color w:val="000000"/>
                <w:szCs w:val="21"/>
              </w:rPr>
            </w:pPr>
          </w:p>
        </w:tc>
        <w:tc>
          <w:tcPr>
            <w:tcW w:w="2552" w:type="dxa"/>
            <w:noWrap w:val="0"/>
            <w:vAlign w:val="center"/>
          </w:tcPr>
          <w:p w14:paraId="7BB9B283">
            <w:pPr>
              <w:widowControl/>
              <w:jc w:val="center"/>
              <w:textAlignment w:val="center"/>
              <w:rPr>
                <w:rFonts w:ascii="宋体" w:hAnsi="宋体" w:cs="仿宋"/>
                <w:color w:val="000000"/>
                <w:szCs w:val="21"/>
              </w:rPr>
            </w:pPr>
            <w:r>
              <w:rPr>
                <w:rFonts w:hint="eastAsia" w:ascii="宋体" w:hAnsi="宋体" w:cs="仿宋"/>
                <w:color w:val="000000"/>
                <w:kern w:val="0"/>
                <w:szCs w:val="21"/>
              </w:rPr>
              <w:t>智慧体育助手</w:t>
            </w:r>
          </w:p>
        </w:tc>
        <w:tc>
          <w:tcPr>
            <w:tcW w:w="1783" w:type="dxa"/>
            <w:noWrap/>
            <w:vAlign w:val="center"/>
          </w:tcPr>
          <w:p w14:paraId="5D09C232">
            <w:pPr>
              <w:widowControl/>
              <w:jc w:val="center"/>
              <w:textAlignment w:val="center"/>
              <w:rPr>
                <w:rFonts w:ascii="宋体" w:hAnsi="宋体" w:cs="仿宋"/>
                <w:color w:val="000000"/>
                <w:szCs w:val="21"/>
              </w:rPr>
            </w:pPr>
            <w:r>
              <w:rPr>
                <w:rFonts w:hint="eastAsia" w:ascii="宋体" w:hAnsi="宋体" w:cs="仿宋"/>
                <w:color w:val="000000"/>
                <w:kern w:val="0"/>
                <w:szCs w:val="21"/>
              </w:rPr>
              <w:t>1</w:t>
            </w:r>
          </w:p>
        </w:tc>
        <w:tc>
          <w:tcPr>
            <w:tcW w:w="1750" w:type="dxa"/>
            <w:noWrap/>
            <w:vAlign w:val="center"/>
          </w:tcPr>
          <w:p w14:paraId="13644406">
            <w:pPr>
              <w:widowControl/>
              <w:jc w:val="center"/>
              <w:textAlignment w:val="center"/>
              <w:rPr>
                <w:rFonts w:ascii="宋体" w:hAnsi="宋体" w:cs="仿宋"/>
                <w:color w:val="000000"/>
                <w:szCs w:val="21"/>
              </w:rPr>
            </w:pPr>
            <w:r>
              <w:rPr>
                <w:rFonts w:hint="eastAsia" w:ascii="宋体" w:hAnsi="宋体" w:cs="仿宋"/>
                <w:color w:val="000000"/>
                <w:kern w:val="0"/>
                <w:szCs w:val="21"/>
              </w:rPr>
              <w:t>套</w:t>
            </w:r>
          </w:p>
        </w:tc>
        <w:tc>
          <w:tcPr>
            <w:tcW w:w="1756" w:type="dxa"/>
            <w:noWrap/>
            <w:vAlign w:val="center"/>
          </w:tcPr>
          <w:p w14:paraId="4829B1D8">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573E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0E0FF949">
            <w:pPr>
              <w:widowControl/>
              <w:numPr>
                <w:ilvl w:val="0"/>
                <w:numId w:val="2"/>
              </w:numPr>
              <w:jc w:val="center"/>
              <w:textAlignment w:val="center"/>
              <w:rPr>
                <w:rFonts w:ascii="宋体" w:hAnsi="宋体" w:cs="仿宋"/>
                <w:color w:val="000000"/>
                <w:szCs w:val="21"/>
              </w:rPr>
            </w:pPr>
          </w:p>
        </w:tc>
        <w:tc>
          <w:tcPr>
            <w:tcW w:w="2552" w:type="dxa"/>
            <w:noWrap w:val="0"/>
            <w:vAlign w:val="center"/>
          </w:tcPr>
          <w:p w14:paraId="3136471E">
            <w:pPr>
              <w:widowControl/>
              <w:jc w:val="center"/>
              <w:textAlignment w:val="center"/>
              <w:rPr>
                <w:rFonts w:ascii="宋体" w:hAnsi="宋体" w:cs="仿宋"/>
                <w:color w:val="000000"/>
                <w:szCs w:val="21"/>
              </w:rPr>
            </w:pPr>
            <w:r>
              <w:rPr>
                <w:rFonts w:hint="eastAsia" w:ascii="宋体" w:hAnsi="宋体" w:cs="仿宋"/>
                <w:color w:val="000000"/>
                <w:kern w:val="0"/>
                <w:szCs w:val="21"/>
              </w:rPr>
              <w:t>AI阳光跑（夜跑版）</w:t>
            </w:r>
          </w:p>
        </w:tc>
        <w:tc>
          <w:tcPr>
            <w:tcW w:w="1783" w:type="dxa"/>
            <w:noWrap/>
            <w:vAlign w:val="center"/>
          </w:tcPr>
          <w:p w14:paraId="78B11ACC">
            <w:pPr>
              <w:widowControl/>
              <w:jc w:val="center"/>
              <w:textAlignment w:val="center"/>
              <w:rPr>
                <w:rFonts w:ascii="宋体" w:hAnsi="宋体" w:cs="仿宋"/>
                <w:color w:val="000000"/>
                <w:szCs w:val="21"/>
              </w:rPr>
            </w:pPr>
            <w:r>
              <w:rPr>
                <w:rFonts w:hint="eastAsia" w:ascii="宋体" w:hAnsi="宋体" w:cs="仿宋"/>
                <w:color w:val="000000"/>
                <w:kern w:val="0"/>
                <w:szCs w:val="21"/>
              </w:rPr>
              <w:t>2</w:t>
            </w:r>
          </w:p>
        </w:tc>
        <w:tc>
          <w:tcPr>
            <w:tcW w:w="1750" w:type="dxa"/>
            <w:noWrap/>
            <w:vAlign w:val="center"/>
          </w:tcPr>
          <w:p w14:paraId="640BE4E9">
            <w:pPr>
              <w:widowControl/>
              <w:jc w:val="center"/>
              <w:textAlignment w:val="center"/>
              <w:rPr>
                <w:rFonts w:ascii="宋体" w:hAnsi="宋体" w:cs="仿宋"/>
                <w:color w:val="000000"/>
                <w:szCs w:val="21"/>
              </w:rPr>
            </w:pPr>
            <w:r>
              <w:rPr>
                <w:rFonts w:hint="eastAsia" w:ascii="宋体" w:hAnsi="宋体" w:cs="仿宋"/>
                <w:color w:val="000000"/>
                <w:kern w:val="0"/>
                <w:szCs w:val="21"/>
              </w:rPr>
              <w:t>套</w:t>
            </w:r>
          </w:p>
        </w:tc>
        <w:tc>
          <w:tcPr>
            <w:tcW w:w="1756" w:type="dxa"/>
            <w:noWrap/>
            <w:vAlign w:val="center"/>
          </w:tcPr>
          <w:p w14:paraId="1C6BAEB6">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427E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4DCFA920">
            <w:pPr>
              <w:widowControl/>
              <w:numPr>
                <w:ilvl w:val="0"/>
                <w:numId w:val="2"/>
              </w:numPr>
              <w:jc w:val="center"/>
              <w:textAlignment w:val="center"/>
              <w:rPr>
                <w:rFonts w:ascii="宋体" w:hAnsi="宋体" w:cs="仿宋"/>
                <w:color w:val="000000"/>
                <w:szCs w:val="21"/>
              </w:rPr>
            </w:pPr>
          </w:p>
        </w:tc>
        <w:tc>
          <w:tcPr>
            <w:tcW w:w="2552" w:type="dxa"/>
            <w:noWrap w:val="0"/>
            <w:vAlign w:val="center"/>
          </w:tcPr>
          <w:p w14:paraId="63C90E89">
            <w:pPr>
              <w:widowControl/>
              <w:jc w:val="center"/>
              <w:textAlignment w:val="center"/>
              <w:rPr>
                <w:rFonts w:ascii="宋体" w:hAnsi="宋体" w:cs="仿宋"/>
                <w:color w:val="000000"/>
                <w:szCs w:val="21"/>
              </w:rPr>
            </w:pPr>
            <w:r>
              <w:rPr>
                <w:rFonts w:hint="eastAsia" w:ascii="宋体" w:hAnsi="宋体" w:cs="仿宋"/>
                <w:color w:val="000000"/>
                <w:kern w:val="0"/>
                <w:szCs w:val="21"/>
              </w:rPr>
              <w:t>夜视物联网摄像头</w:t>
            </w:r>
          </w:p>
        </w:tc>
        <w:tc>
          <w:tcPr>
            <w:tcW w:w="1783" w:type="dxa"/>
            <w:noWrap/>
            <w:vAlign w:val="center"/>
          </w:tcPr>
          <w:p w14:paraId="17AD3A65">
            <w:pPr>
              <w:widowControl/>
              <w:jc w:val="center"/>
              <w:textAlignment w:val="center"/>
              <w:rPr>
                <w:rFonts w:ascii="宋体" w:hAnsi="宋体" w:cs="仿宋"/>
                <w:color w:val="000000"/>
                <w:szCs w:val="21"/>
              </w:rPr>
            </w:pPr>
            <w:r>
              <w:rPr>
                <w:rFonts w:hint="eastAsia" w:ascii="宋体" w:hAnsi="宋体" w:cs="仿宋"/>
                <w:color w:val="000000"/>
                <w:kern w:val="0"/>
                <w:szCs w:val="21"/>
              </w:rPr>
              <w:t>18</w:t>
            </w:r>
          </w:p>
        </w:tc>
        <w:tc>
          <w:tcPr>
            <w:tcW w:w="1750" w:type="dxa"/>
            <w:noWrap/>
            <w:vAlign w:val="center"/>
          </w:tcPr>
          <w:p w14:paraId="7E8F885F">
            <w:pPr>
              <w:widowControl/>
              <w:jc w:val="center"/>
              <w:textAlignment w:val="center"/>
              <w:rPr>
                <w:rFonts w:ascii="宋体" w:hAnsi="宋体" w:cs="仿宋"/>
                <w:color w:val="000000"/>
                <w:szCs w:val="21"/>
              </w:rPr>
            </w:pPr>
            <w:r>
              <w:rPr>
                <w:rFonts w:hint="eastAsia" w:ascii="宋体" w:hAnsi="宋体" w:cs="仿宋"/>
                <w:color w:val="000000"/>
                <w:kern w:val="0"/>
                <w:szCs w:val="21"/>
              </w:rPr>
              <w:t>个</w:t>
            </w:r>
          </w:p>
        </w:tc>
        <w:tc>
          <w:tcPr>
            <w:tcW w:w="1756" w:type="dxa"/>
            <w:noWrap/>
            <w:vAlign w:val="center"/>
          </w:tcPr>
          <w:p w14:paraId="70085FBA">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0DFB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shd w:val="clear" w:color="auto" w:fill="auto"/>
            <w:noWrap/>
            <w:vAlign w:val="center"/>
          </w:tcPr>
          <w:p w14:paraId="37F92552">
            <w:pPr>
              <w:widowControl/>
              <w:numPr>
                <w:ilvl w:val="0"/>
                <w:numId w:val="2"/>
              </w:numPr>
              <w:jc w:val="center"/>
              <w:textAlignment w:val="center"/>
              <w:rPr>
                <w:rFonts w:ascii="宋体" w:hAnsi="宋体" w:cs="仿宋"/>
                <w:color w:val="000000"/>
                <w:szCs w:val="21"/>
              </w:rPr>
            </w:pPr>
          </w:p>
        </w:tc>
        <w:tc>
          <w:tcPr>
            <w:tcW w:w="2552" w:type="dxa"/>
            <w:shd w:val="clear" w:color="auto" w:fill="FFFFFF"/>
            <w:noWrap w:val="0"/>
            <w:vAlign w:val="center"/>
          </w:tcPr>
          <w:p w14:paraId="508F03DE">
            <w:pPr>
              <w:widowControl/>
              <w:jc w:val="center"/>
              <w:textAlignment w:val="center"/>
              <w:rPr>
                <w:rFonts w:ascii="宋体" w:hAnsi="宋体" w:cs="仿宋"/>
                <w:color w:val="000000"/>
                <w:szCs w:val="21"/>
              </w:rPr>
            </w:pPr>
            <w:r>
              <w:rPr>
                <w:rFonts w:hint="eastAsia" w:ascii="宋体" w:hAnsi="宋体" w:cs="仿宋"/>
                <w:color w:val="000000"/>
                <w:kern w:val="0"/>
                <w:szCs w:val="21"/>
              </w:rPr>
              <w:t>监控立杆1</w:t>
            </w:r>
          </w:p>
        </w:tc>
        <w:tc>
          <w:tcPr>
            <w:tcW w:w="1783" w:type="dxa"/>
            <w:noWrap/>
            <w:vAlign w:val="center"/>
          </w:tcPr>
          <w:p w14:paraId="1010985F">
            <w:pPr>
              <w:widowControl/>
              <w:jc w:val="center"/>
              <w:textAlignment w:val="center"/>
              <w:rPr>
                <w:rFonts w:ascii="宋体" w:hAnsi="宋体" w:cs="仿宋"/>
                <w:color w:val="000000"/>
                <w:szCs w:val="21"/>
              </w:rPr>
            </w:pPr>
            <w:r>
              <w:rPr>
                <w:rFonts w:hint="eastAsia" w:ascii="宋体" w:hAnsi="宋体" w:cs="仿宋"/>
                <w:color w:val="000000"/>
                <w:kern w:val="0"/>
                <w:szCs w:val="21"/>
              </w:rPr>
              <w:t>8</w:t>
            </w:r>
          </w:p>
        </w:tc>
        <w:tc>
          <w:tcPr>
            <w:tcW w:w="1750" w:type="dxa"/>
            <w:noWrap/>
            <w:vAlign w:val="center"/>
          </w:tcPr>
          <w:p w14:paraId="0E62F9FA">
            <w:pPr>
              <w:widowControl/>
              <w:jc w:val="center"/>
              <w:textAlignment w:val="center"/>
              <w:rPr>
                <w:rFonts w:ascii="宋体" w:hAnsi="宋体" w:cs="仿宋"/>
                <w:color w:val="000000"/>
                <w:szCs w:val="21"/>
              </w:rPr>
            </w:pPr>
            <w:r>
              <w:rPr>
                <w:rFonts w:hint="eastAsia" w:ascii="宋体" w:hAnsi="宋体" w:cs="仿宋"/>
                <w:color w:val="000000"/>
                <w:kern w:val="0"/>
                <w:szCs w:val="21"/>
              </w:rPr>
              <w:t>个</w:t>
            </w:r>
          </w:p>
        </w:tc>
        <w:tc>
          <w:tcPr>
            <w:tcW w:w="1756" w:type="dxa"/>
            <w:noWrap/>
            <w:vAlign w:val="center"/>
          </w:tcPr>
          <w:p w14:paraId="3E565097">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67B8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766B64E9">
            <w:pPr>
              <w:widowControl/>
              <w:numPr>
                <w:ilvl w:val="0"/>
                <w:numId w:val="2"/>
              </w:numPr>
              <w:jc w:val="center"/>
              <w:textAlignment w:val="center"/>
              <w:rPr>
                <w:rFonts w:ascii="宋体" w:hAnsi="宋体" w:cs="仿宋"/>
                <w:color w:val="000000"/>
                <w:kern w:val="0"/>
                <w:szCs w:val="21"/>
              </w:rPr>
            </w:pPr>
          </w:p>
        </w:tc>
        <w:tc>
          <w:tcPr>
            <w:tcW w:w="2552" w:type="dxa"/>
            <w:noWrap w:val="0"/>
            <w:vAlign w:val="center"/>
          </w:tcPr>
          <w:p w14:paraId="350FB758">
            <w:pPr>
              <w:widowControl/>
              <w:jc w:val="center"/>
              <w:textAlignment w:val="center"/>
              <w:rPr>
                <w:rFonts w:ascii="宋体" w:hAnsi="宋体" w:cs="仿宋"/>
                <w:color w:val="000000"/>
                <w:kern w:val="0"/>
                <w:szCs w:val="21"/>
              </w:rPr>
            </w:pPr>
            <w:r>
              <w:rPr>
                <w:rFonts w:hint="eastAsia" w:ascii="宋体" w:hAnsi="宋体" w:cs="仿宋"/>
                <w:color w:val="000000"/>
                <w:kern w:val="0"/>
                <w:szCs w:val="21"/>
              </w:rPr>
              <w:t>监控立杆2</w:t>
            </w:r>
          </w:p>
        </w:tc>
        <w:tc>
          <w:tcPr>
            <w:tcW w:w="1783" w:type="dxa"/>
            <w:noWrap/>
            <w:vAlign w:val="center"/>
          </w:tcPr>
          <w:p w14:paraId="3DD81A31">
            <w:pPr>
              <w:widowControl/>
              <w:jc w:val="center"/>
              <w:textAlignment w:val="center"/>
              <w:rPr>
                <w:rFonts w:ascii="宋体" w:hAnsi="宋体" w:cs="仿宋"/>
                <w:color w:val="000000"/>
                <w:kern w:val="0"/>
                <w:szCs w:val="21"/>
              </w:rPr>
            </w:pPr>
            <w:r>
              <w:rPr>
                <w:rFonts w:hint="eastAsia" w:ascii="宋体" w:hAnsi="宋体" w:cs="仿宋"/>
                <w:color w:val="000000"/>
                <w:kern w:val="0"/>
                <w:szCs w:val="21"/>
              </w:rPr>
              <w:t>1</w:t>
            </w:r>
          </w:p>
        </w:tc>
        <w:tc>
          <w:tcPr>
            <w:tcW w:w="1750" w:type="dxa"/>
            <w:noWrap/>
            <w:vAlign w:val="center"/>
          </w:tcPr>
          <w:p w14:paraId="787B69ED">
            <w:pPr>
              <w:widowControl/>
              <w:jc w:val="center"/>
              <w:textAlignment w:val="center"/>
              <w:rPr>
                <w:rFonts w:ascii="宋体" w:hAnsi="宋体" w:cs="仿宋"/>
                <w:color w:val="000000"/>
                <w:kern w:val="0"/>
                <w:szCs w:val="21"/>
              </w:rPr>
            </w:pPr>
            <w:r>
              <w:rPr>
                <w:rFonts w:hint="eastAsia" w:ascii="宋体" w:hAnsi="宋体" w:cs="仿宋"/>
                <w:color w:val="000000"/>
                <w:kern w:val="0"/>
                <w:szCs w:val="21"/>
              </w:rPr>
              <w:t>个</w:t>
            </w:r>
          </w:p>
        </w:tc>
        <w:tc>
          <w:tcPr>
            <w:tcW w:w="1756" w:type="dxa"/>
            <w:noWrap/>
            <w:vAlign w:val="center"/>
          </w:tcPr>
          <w:p w14:paraId="28A29162">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1017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16D55E08">
            <w:pPr>
              <w:widowControl/>
              <w:numPr>
                <w:ilvl w:val="0"/>
                <w:numId w:val="2"/>
              </w:numPr>
              <w:jc w:val="center"/>
              <w:textAlignment w:val="center"/>
              <w:rPr>
                <w:rFonts w:ascii="宋体" w:hAnsi="宋体" w:cs="仿宋"/>
                <w:color w:val="000000"/>
                <w:kern w:val="0"/>
                <w:szCs w:val="21"/>
              </w:rPr>
            </w:pPr>
          </w:p>
        </w:tc>
        <w:tc>
          <w:tcPr>
            <w:tcW w:w="2552" w:type="dxa"/>
            <w:noWrap w:val="0"/>
            <w:vAlign w:val="center"/>
          </w:tcPr>
          <w:p w14:paraId="44FC0F44">
            <w:pPr>
              <w:widowControl/>
              <w:jc w:val="center"/>
              <w:textAlignment w:val="center"/>
              <w:rPr>
                <w:rFonts w:ascii="宋体" w:hAnsi="宋体" w:cs="仿宋"/>
                <w:color w:val="000000"/>
                <w:kern w:val="0"/>
                <w:szCs w:val="21"/>
              </w:rPr>
            </w:pPr>
            <w:r>
              <w:rPr>
                <w:rFonts w:hint="eastAsia" w:ascii="宋体" w:hAnsi="宋体" w:cs="仿宋"/>
                <w:color w:val="000000"/>
                <w:kern w:val="0"/>
                <w:szCs w:val="21"/>
              </w:rPr>
              <w:t>光纤收发器</w:t>
            </w:r>
          </w:p>
        </w:tc>
        <w:tc>
          <w:tcPr>
            <w:tcW w:w="1783" w:type="dxa"/>
            <w:noWrap/>
            <w:vAlign w:val="center"/>
          </w:tcPr>
          <w:p w14:paraId="7A7EA75B">
            <w:pPr>
              <w:widowControl/>
              <w:jc w:val="center"/>
              <w:textAlignment w:val="center"/>
              <w:rPr>
                <w:rFonts w:ascii="宋体" w:hAnsi="宋体" w:cs="仿宋"/>
                <w:color w:val="000000"/>
                <w:kern w:val="0"/>
                <w:szCs w:val="21"/>
              </w:rPr>
            </w:pPr>
            <w:r>
              <w:rPr>
                <w:rFonts w:hint="eastAsia" w:ascii="宋体" w:hAnsi="宋体" w:cs="仿宋"/>
                <w:color w:val="000000"/>
                <w:kern w:val="0"/>
                <w:szCs w:val="21"/>
              </w:rPr>
              <w:t>13</w:t>
            </w:r>
          </w:p>
        </w:tc>
        <w:tc>
          <w:tcPr>
            <w:tcW w:w="1750" w:type="dxa"/>
            <w:noWrap/>
            <w:vAlign w:val="center"/>
          </w:tcPr>
          <w:p w14:paraId="42E78B92">
            <w:pPr>
              <w:widowControl/>
              <w:jc w:val="center"/>
              <w:textAlignment w:val="center"/>
              <w:rPr>
                <w:rFonts w:ascii="宋体" w:hAnsi="宋体" w:cs="仿宋"/>
                <w:color w:val="000000"/>
                <w:kern w:val="0"/>
                <w:szCs w:val="21"/>
              </w:rPr>
            </w:pPr>
            <w:r>
              <w:rPr>
                <w:rFonts w:hint="eastAsia" w:ascii="宋体" w:hAnsi="宋体" w:cs="仿宋"/>
                <w:color w:val="000000"/>
                <w:kern w:val="0"/>
                <w:szCs w:val="21"/>
              </w:rPr>
              <w:t>个</w:t>
            </w:r>
          </w:p>
        </w:tc>
        <w:tc>
          <w:tcPr>
            <w:tcW w:w="1756" w:type="dxa"/>
            <w:noWrap/>
            <w:vAlign w:val="center"/>
          </w:tcPr>
          <w:p w14:paraId="4D998C77">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4EF8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136F927C">
            <w:pPr>
              <w:widowControl/>
              <w:numPr>
                <w:ilvl w:val="0"/>
                <w:numId w:val="2"/>
              </w:numPr>
              <w:jc w:val="center"/>
              <w:textAlignment w:val="center"/>
              <w:rPr>
                <w:rFonts w:ascii="宋体" w:hAnsi="宋体" w:cs="仿宋"/>
                <w:color w:val="000000"/>
                <w:szCs w:val="21"/>
              </w:rPr>
            </w:pPr>
          </w:p>
        </w:tc>
        <w:tc>
          <w:tcPr>
            <w:tcW w:w="2552" w:type="dxa"/>
            <w:noWrap w:val="0"/>
            <w:vAlign w:val="center"/>
          </w:tcPr>
          <w:p w14:paraId="06BF92FA">
            <w:pPr>
              <w:widowControl/>
              <w:jc w:val="center"/>
              <w:textAlignment w:val="center"/>
              <w:rPr>
                <w:rFonts w:ascii="宋体" w:hAnsi="宋体" w:cs="仿宋"/>
                <w:color w:val="000000"/>
                <w:szCs w:val="21"/>
              </w:rPr>
            </w:pPr>
            <w:r>
              <w:rPr>
                <w:rFonts w:hint="eastAsia" w:ascii="宋体" w:hAnsi="宋体" w:cs="仿宋"/>
                <w:color w:val="000000"/>
                <w:kern w:val="0"/>
                <w:szCs w:val="21"/>
              </w:rPr>
              <w:t>监控电源</w:t>
            </w:r>
          </w:p>
        </w:tc>
        <w:tc>
          <w:tcPr>
            <w:tcW w:w="1783" w:type="dxa"/>
            <w:noWrap/>
            <w:vAlign w:val="center"/>
          </w:tcPr>
          <w:p w14:paraId="295ACC47">
            <w:pPr>
              <w:widowControl/>
              <w:jc w:val="center"/>
              <w:textAlignment w:val="center"/>
              <w:rPr>
                <w:rFonts w:ascii="宋体" w:hAnsi="宋体" w:cs="仿宋"/>
                <w:color w:val="000000"/>
                <w:szCs w:val="21"/>
              </w:rPr>
            </w:pPr>
            <w:r>
              <w:rPr>
                <w:rFonts w:hint="eastAsia" w:ascii="宋体" w:hAnsi="宋体" w:cs="仿宋"/>
                <w:color w:val="000000"/>
                <w:kern w:val="0"/>
                <w:szCs w:val="21"/>
              </w:rPr>
              <w:t>18</w:t>
            </w:r>
          </w:p>
        </w:tc>
        <w:tc>
          <w:tcPr>
            <w:tcW w:w="1750" w:type="dxa"/>
            <w:noWrap/>
            <w:vAlign w:val="center"/>
          </w:tcPr>
          <w:p w14:paraId="70494EE3">
            <w:pPr>
              <w:widowControl/>
              <w:jc w:val="center"/>
              <w:textAlignment w:val="center"/>
              <w:rPr>
                <w:rFonts w:ascii="宋体" w:hAnsi="宋体" w:cs="仿宋"/>
                <w:color w:val="000000"/>
                <w:szCs w:val="21"/>
              </w:rPr>
            </w:pPr>
            <w:r>
              <w:rPr>
                <w:rFonts w:hint="eastAsia" w:ascii="宋体" w:hAnsi="宋体" w:cs="仿宋"/>
                <w:color w:val="000000"/>
                <w:kern w:val="0"/>
                <w:szCs w:val="21"/>
              </w:rPr>
              <w:t>个</w:t>
            </w:r>
          </w:p>
        </w:tc>
        <w:tc>
          <w:tcPr>
            <w:tcW w:w="1756" w:type="dxa"/>
            <w:noWrap/>
            <w:vAlign w:val="center"/>
          </w:tcPr>
          <w:p w14:paraId="2E38AC20">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3EFF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10754C69">
            <w:pPr>
              <w:widowControl/>
              <w:numPr>
                <w:ilvl w:val="0"/>
                <w:numId w:val="2"/>
              </w:numPr>
              <w:jc w:val="center"/>
              <w:textAlignment w:val="center"/>
              <w:rPr>
                <w:rFonts w:ascii="宋体" w:hAnsi="宋体" w:cs="仿宋"/>
                <w:color w:val="000000"/>
                <w:szCs w:val="21"/>
              </w:rPr>
            </w:pPr>
          </w:p>
        </w:tc>
        <w:tc>
          <w:tcPr>
            <w:tcW w:w="2552" w:type="dxa"/>
            <w:noWrap w:val="0"/>
            <w:vAlign w:val="center"/>
          </w:tcPr>
          <w:p w14:paraId="362A7C19">
            <w:pPr>
              <w:widowControl/>
              <w:jc w:val="center"/>
              <w:textAlignment w:val="center"/>
              <w:rPr>
                <w:rFonts w:ascii="宋体" w:hAnsi="宋体" w:cs="仿宋"/>
                <w:color w:val="000000"/>
                <w:szCs w:val="21"/>
              </w:rPr>
            </w:pPr>
            <w:r>
              <w:rPr>
                <w:rFonts w:hint="eastAsia" w:ascii="宋体" w:hAnsi="宋体" w:cs="仿宋"/>
                <w:color w:val="000000"/>
                <w:kern w:val="0"/>
                <w:szCs w:val="21"/>
              </w:rPr>
              <w:t>光模块</w:t>
            </w:r>
          </w:p>
        </w:tc>
        <w:tc>
          <w:tcPr>
            <w:tcW w:w="1783" w:type="dxa"/>
            <w:noWrap/>
            <w:vAlign w:val="center"/>
          </w:tcPr>
          <w:p w14:paraId="0246C4A3">
            <w:pPr>
              <w:widowControl/>
              <w:jc w:val="center"/>
              <w:textAlignment w:val="center"/>
              <w:rPr>
                <w:rFonts w:ascii="宋体" w:hAnsi="宋体" w:cs="仿宋"/>
                <w:color w:val="000000"/>
                <w:szCs w:val="21"/>
              </w:rPr>
            </w:pPr>
            <w:r>
              <w:rPr>
                <w:rFonts w:hint="eastAsia" w:ascii="宋体" w:hAnsi="宋体" w:cs="仿宋"/>
                <w:color w:val="000000"/>
                <w:kern w:val="0"/>
                <w:szCs w:val="21"/>
              </w:rPr>
              <w:t>15</w:t>
            </w:r>
          </w:p>
        </w:tc>
        <w:tc>
          <w:tcPr>
            <w:tcW w:w="1750" w:type="dxa"/>
            <w:noWrap/>
            <w:vAlign w:val="center"/>
          </w:tcPr>
          <w:p w14:paraId="428207CC">
            <w:pPr>
              <w:widowControl/>
              <w:jc w:val="center"/>
              <w:textAlignment w:val="center"/>
              <w:rPr>
                <w:rFonts w:ascii="宋体" w:hAnsi="宋体" w:cs="仿宋"/>
                <w:color w:val="000000"/>
                <w:szCs w:val="21"/>
              </w:rPr>
            </w:pPr>
            <w:r>
              <w:rPr>
                <w:rFonts w:hint="eastAsia" w:ascii="宋体" w:hAnsi="宋体" w:cs="仿宋"/>
                <w:color w:val="000000"/>
                <w:kern w:val="0"/>
                <w:szCs w:val="21"/>
              </w:rPr>
              <w:t>个</w:t>
            </w:r>
          </w:p>
        </w:tc>
        <w:tc>
          <w:tcPr>
            <w:tcW w:w="1756" w:type="dxa"/>
            <w:noWrap/>
            <w:vAlign w:val="center"/>
          </w:tcPr>
          <w:p w14:paraId="329150DF">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4EDD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140B4467">
            <w:pPr>
              <w:widowControl/>
              <w:numPr>
                <w:ilvl w:val="0"/>
                <w:numId w:val="2"/>
              </w:numPr>
              <w:jc w:val="center"/>
              <w:textAlignment w:val="center"/>
              <w:rPr>
                <w:rFonts w:ascii="宋体" w:hAnsi="宋体" w:cs="仿宋"/>
                <w:color w:val="000000"/>
                <w:szCs w:val="21"/>
              </w:rPr>
            </w:pPr>
          </w:p>
        </w:tc>
        <w:tc>
          <w:tcPr>
            <w:tcW w:w="2552" w:type="dxa"/>
            <w:noWrap w:val="0"/>
            <w:vAlign w:val="center"/>
          </w:tcPr>
          <w:p w14:paraId="12FCA161">
            <w:pPr>
              <w:widowControl/>
              <w:jc w:val="center"/>
              <w:textAlignment w:val="center"/>
              <w:rPr>
                <w:rFonts w:ascii="宋体" w:hAnsi="宋体" w:cs="仿宋"/>
                <w:color w:val="000000"/>
                <w:szCs w:val="21"/>
              </w:rPr>
            </w:pPr>
            <w:r>
              <w:rPr>
                <w:rFonts w:hint="eastAsia" w:ascii="宋体" w:hAnsi="宋体" w:cs="仿宋"/>
                <w:color w:val="000000"/>
                <w:kern w:val="0"/>
                <w:szCs w:val="21"/>
              </w:rPr>
              <w:t>不锈钢防水箱</w:t>
            </w:r>
          </w:p>
        </w:tc>
        <w:tc>
          <w:tcPr>
            <w:tcW w:w="1783" w:type="dxa"/>
            <w:noWrap/>
            <w:vAlign w:val="center"/>
          </w:tcPr>
          <w:p w14:paraId="654FC44A">
            <w:pPr>
              <w:widowControl/>
              <w:jc w:val="center"/>
              <w:textAlignment w:val="center"/>
              <w:rPr>
                <w:rFonts w:ascii="宋体" w:hAnsi="宋体" w:cs="仿宋"/>
                <w:color w:val="000000"/>
                <w:szCs w:val="21"/>
              </w:rPr>
            </w:pPr>
            <w:r>
              <w:rPr>
                <w:rFonts w:hint="eastAsia" w:ascii="宋体" w:hAnsi="宋体" w:cs="仿宋"/>
                <w:color w:val="000000"/>
                <w:kern w:val="0"/>
                <w:szCs w:val="21"/>
              </w:rPr>
              <w:t>9</w:t>
            </w:r>
          </w:p>
        </w:tc>
        <w:tc>
          <w:tcPr>
            <w:tcW w:w="1750" w:type="dxa"/>
            <w:noWrap/>
            <w:vAlign w:val="center"/>
          </w:tcPr>
          <w:p w14:paraId="247D7F78">
            <w:pPr>
              <w:widowControl/>
              <w:jc w:val="center"/>
              <w:textAlignment w:val="center"/>
              <w:rPr>
                <w:rFonts w:ascii="宋体" w:hAnsi="宋体" w:cs="仿宋"/>
                <w:color w:val="000000"/>
                <w:szCs w:val="21"/>
              </w:rPr>
            </w:pPr>
            <w:r>
              <w:rPr>
                <w:rFonts w:hint="eastAsia" w:ascii="宋体" w:hAnsi="宋体" w:cs="仿宋"/>
                <w:color w:val="000000"/>
                <w:kern w:val="0"/>
                <w:szCs w:val="21"/>
              </w:rPr>
              <w:t>个</w:t>
            </w:r>
          </w:p>
        </w:tc>
        <w:tc>
          <w:tcPr>
            <w:tcW w:w="1756" w:type="dxa"/>
            <w:noWrap/>
            <w:vAlign w:val="center"/>
          </w:tcPr>
          <w:p w14:paraId="1404E03C">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5147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526FA2F2">
            <w:pPr>
              <w:widowControl/>
              <w:numPr>
                <w:ilvl w:val="0"/>
                <w:numId w:val="2"/>
              </w:numPr>
              <w:jc w:val="center"/>
              <w:textAlignment w:val="center"/>
              <w:rPr>
                <w:rFonts w:ascii="宋体" w:hAnsi="宋体" w:cs="仿宋"/>
                <w:color w:val="000000"/>
                <w:kern w:val="0"/>
                <w:szCs w:val="21"/>
              </w:rPr>
            </w:pPr>
          </w:p>
        </w:tc>
        <w:tc>
          <w:tcPr>
            <w:tcW w:w="2552" w:type="dxa"/>
            <w:noWrap w:val="0"/>
            <w:vAlign w:val="center"/>
          </w:tcPr>
          <w:p w14:paraId="1C7E27EB">
            <w:pPr>
              <w:widowControl/>
              <w:jc w:val="center"/>
              <w:textAlignment w:val="center"/>
              <w:rPr>
                <w:rFonts w:ascii="宋体" w:hAnsi="宋体" w:cs="仿宋"/>
                <w:color w:val="000000"/>
                <w:kern w:val="0"/>
                <w:szCs w:val="21"/>
              </w:rPr>
            </w:pPr>
            <w:r>
              <w:rPr>
                <w:rFonts w:hint="eastAsia" w:ascii="宋体" w:hAnsi="宋体" w:cs="仿宋"/>
                <w:color w:val="000000"/>
                <w:kern w:val="0"/>
                <w:szCs w:val="21"/>
              </w:rPr>
              <w:t>配件</w:t>
            </w:r>
          </w:p>
        </w:tc>
        <w:tc>
          <w:tcPr>
            <w:tcW w:w="1783" w:type="dxa"/>
            <w:noWrap/>
            <w:vAlign w:val="center"/>
          </w:tcPr>
          <w:p w14:paraId="60EC4095">
            <w:pPr>
              <w:widowControl/>
              <w:jc w:val="center"/>
              <w:textAlignment w:val="center"/>
              <w:rPr>
                <w:rFonts w:ascii="宋体" w:hAnsi="宋体" w:cs="仿宋"/>
                <w:color w:val="000000"/>
                <w:kern w:val="0"/>
                <w:szCs w:val="21"/>
              </w:rPr>
            </w:pPr>
            <w:r>
              <w:rPr>
                <w:rFonts w:hint="eastAsia" w:ascii="宋体" w:hAnsi="宋体" w:cs="仿宋"/>
                <w:color w:val="000000"/>
                <w:kern w:val="0"/>
                <w:szCs w:val="21"/>
              </w:rPr>
              <w:t>1</w:t>
            </w:r>
          </w:p>
        </w:tc>
        <w:tc>
          <w:tcPr>
            <w:tcW w:w="1750" w:type="dxa"/>
            <w:noWrap/>
            <w:vAlign w:val="center"/>
          </w:tcPr>
          <w:p w14:paraId="7E5A608F">
            <w:pPr>
              <w:widowControl/>
              <w:jc w:val="center"/>
              <w:textAlignment w:val="center"/>
              <w:rPr>
                <w:rFonts w:ascii="宋体" w:hAnsi="宋体" w:cs="仿宋"/>
                <w:color w:val="000000"/>
                <w:kern w:val="0"/>
                <w:szCs w:val="21"/>
              </w:rPr>
            </w:pPr>
            <w:r>
              <w:rPr>
                <w:rFonts w:hint="eastAsia" w:ascii="宋体" w:hAnsi="宋体" w:cs="仿宋"/>
                <w:color w:val="000000"/>
                <w:kern w:val="0"/>
                <w:szCs w:val="21"/>
              </w:rPr>
              <w:t>项</w:t>
            </w:r>
          </w:p>
        </w:tc>
        <w:tc>
          <w:tcPr>
            <w:tcW w:w="1756" w:type="dxa"/>
            <w:noWrap/>
            <w:vAlign w:val="center"/>
          </w:tcPr>
          <w:p w14:paraId="50064FA0">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7F85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1E99D719">
            <w:pPr>
              <w:widowControl/>
              <w:numPr>
                <w:ilvl w:val="0"/>
                <w:numId w:val="2"/>
              </w:numPr>
              <w:jc w:val="center"/>
              <w:textAlignment w:val="center"/>
              <w:rPr>
                <w:rFonts w:ascii="宋体" w:hAnsi="宋体" w:cs="仿宋"/>
                <w:color w:val="000000"/>
                <w:kern w:val="0"/>
                <w:szCs w:val="21"/>
              </w:rPr>
            </w:pPr>
          </w:p>
        </w:tc>
        <w:tc>
          <w:tcPr>
            <w:tcW w:w="2552" w:type="dxa"/>
            <w:noWrap w:val="0"/>
            <w:vAlign w:val="center"/>
          </w:tcPr>
          <w:p w14:paraId="3E95ADB9">
            <w:pPr>
              <w:widowControl/>
              <w:jc w:val="center"/>
              <w:textAlignment w:val="center"/>
              <w:rPr>
                <w:rFonts w:ascii="宋体" w:hAnsi="宋体" w:cs="仿宋"/>
                <w:b/>
                <w:color w:val="FF0000"/>
                <w:kern w:val="0"/>
                <w:szCs w:val="21"/>
              </w:rPr>
            </w:pPr>
            <w:r>
              <w:rPr>
                <w:rFonts w:hint="eastAsia" w:ascii="宋体" w:hAnsi="宋体" w:cs="仿宋"/>
                <w:b/>
                <w:color w:val="FF0000"/>
                <w:kern w:val="0"/>
                <w:szCs w:val="21"/>
              </w:rPr>
              <w:t>运动风云榜大屏</w:t>
            </w:r>
          </w:p>
        </w:tc>
        <w:tc>
          <w:tcPr>
            <w:tcW w:w="1783" w:type="dxa"/>
            <w:noWrap/>
            <w:vAlign w:val="center"/>
          </w:tcPr>
          <w:p w14:paraId="3F3645DD">
            <w:pPr>
              <w:widowControl/>
              <w:jc w:val="center"/>
              <w:textAlignment w:val="center"/>
              <w:rPr>
                <w:rFonts w:ascii="宋体" w:hAnsi="宋体" w:cs="仿宋"/>
                <w:color w:val="000000"/>
                <w:kern w:val="0"/>
                <w:szCs w:val="21"/>
              </w:rPr>
            </w:pPr>
            <w:r>
              <w:rPr>
                <w:rFonts w:hint="eastAsia" w:ascii="宋体" w:hAnsi="宋体" w:cs="仿宋"/>
                <w:color w:val="000000"/>
                <w:kern w:val="0"/>
                <w:szCs w:val="21"/>
              </w:rPr>
              <w:t>2</w:t>
            </w:r>
          </w:p>
        </w:tc>
        <w:tc>
          <w:tcPr>
            <w:tcW w:w="1750" w:type="dxa"/>
            <w:noWrap/>
            <w:vAlign w:val="center"/>
          </w:tcPr>
          <w:p w14:paraId="00A6963A">
            <w:pPr>
              <w:widowControl/>
              <w:jc w:val="center"/>
              <w:textAlignment w:val="center"/>
              <w:rPr>
                <w:rFonts w:ascii="宋体" w:hAnsi="宋体" w:cs="仿宋"/>
                <w:color w:val="000000"/>
                <w:kern w:val="0"/>
                <w:szCs w:val="21"/>
              </w:rPr>
            </w:pPr>
            <w:r>
              <w:rPr>
                <w:rFonts w:hint="eastAsia" w:ascii="宋体" w:hAnsi="宋体" w:cs="仿宋"/>
                <w:color w:val="000000"/>
                <w:kern w:val="0"/>
                <w:szCs w:val="21"/>
              </w:rPr>
              <w:t>台</w:t>
            </w:r>
          </w:p>
        </w:tc>
        <w:tc>
          <w:tcPr>
            <w:tcW w:w="1756" w:type="dxa"/>
            <w:noWrap/>
            <w:vAlign w:val="center"/>
          </w:tcPr>
          <w:p w14:paraId="2FF61C59">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0DA5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3478494C">
            <w:pPr>
              <w:widowControl/>
              <w:numPr>
                <w:ilvl w:val="0"/>
                <w:numId w:val="2"/>
              </w:numPr>
              <w:jc w:val="center"/>
              <w:textAlignment w:val="center"/>
              <w:rPr>
                <w:rFonts w:ascii="宋体" w:hAnsi="宋体" w:cs="仿宋"/>
                <w:color w:val="000000"/>
                <w:kern w:val="0"/>
                <w:szCs w:val="21"/>
              </w:rPr>
            </w:pPr>
          </w:p>
        </w:tc>
        <w:tc>
          <w:tcPr>
            <w:tcW w:w="2552" w:type="dxa"/>
            <w:noWrap w:val="0"/>
            <w:vAlign w:val="center"/>
          </w:tcPr>
          <w:p w14:paraId="197B1D5B">
            <w:pPr>
              <w:widowControl/>
              <w:jc w:val="center"/>
              <w:textAlignment w:val="center"/>
              <w:rPr>
                <w:rFonts w:ascii="宋体" w:hAnsi="宋体" w:cs="仿宋"/>
                <w:color w:val="000000"/>
                <w:kern w:val="0"/>
                <w:szCs w:val="21"/>
              </w:rPr>
            </w:pPr>
            <w:r>
              <w:rPr>
                <w:rFonts w:hint="eastAsia" w:ascii="宋体" w:hAnsi="宋体" w:cs="仿宋"/>
                <w:color w:val="000000"/>
                <w:kern w:val="0"/>
                <w:szCs w:val="21"/>
              </w:rPr>
              <w:t>阳光跑LED适配盒</w:t>
            </w:r>
          </w:p>
        </w:tc>
        <w:tc>
          <w:tcPr>
            <w:tcW w:w="1783" w:type="dxa"/>
            <w:noWrap/>
            <w:vAlign w:val="center"/>
          </w:tcPr>
          <w:p w14:paraId="7EAAEC8A">
            <w:pPr>
              <w:widowControl/>
              <w:jc w:val="center"/>
              <w:textAlignment w:val="center"/>
              <w:rPr>
                <w:rFonts w:ascii="宋体" w:hAnsi="宋体" w:cs="仿宋"/>
                <w:color w:val="000000"/>
                <w:kern w:val="0"/>
                <w:szCs w:val="21"/>
              </w:rPr>
            </w:pPr>
            <w:r>
              <w:rPr>
                <w:rFonts w:hint="eastAsia" w:ascii="宋体" w:hAnsi="宋体" w:cs="仿宋"/>
                <w:color w:val="000000"/>
                <w:kern w:val="0"/>
                <w:szCs w:val="21"/>
              </w:rPr>
              <w:t>2</w:t>
            </w:r>
          </w:p>
        </w:tc>
        <w:tc>
          <w:tcPr>
            <w:tcW w:w="1750" w:type="dxa"/>
            <w:noWrap/>
            <w:vAlign w:val="center"/>
          </w:tcPr>
          <w:p w14:paraId="762934E3">
            <w:pPr>
              <w:widowControl/>
              <w:jc w:val="center"/>
              <w:textAlignment w:val="center"/>
              <w:rPr>
                <w:rFonts w:ascii="宋体" w:hAnsi="宋体" w:cs="仿宋"/>
                <w:color w:val="000000"/>
                <w:kern w:val="0"/>
                <w:szCs w:val="21"/>
              </w:rPr>
            </w:pPr>
            <w:r>
              <w:rPr>
                <w:rFonts w:hint="eastAsia" w:ascii="宋体" w:hAnsi="宋体" w:cs="仿宋"/>
                <w:color w:val="000000"/>
                <w:kern w:val="0"/>
                <w:szCs w:val="21"/>
              </w:rPr>
              <w:t>台</w:t>
            </w:r>
          </w:p>
        </w:tc>
        <w:tc>
          <w:tcPr>
            <w:tcW w:w="1756" w:type="dxa"/>
            <w:noWrap/>
            <w:vAlign w:val="center"/>
          </w:tcPr>
          <w:p w14:paraId="75C0407A">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504D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092894B3">
            <w:pPr>
              <w:widowControl/>
              <w:numPr>
                <w:ilvl w:val="0"/>
                <w:numId w:val="2"/>
              </w:numPr>
              <w:jc w:val="center"/>
              <w:textAlignment w:val="center"/>
              <w:rPr>
                <w:rFonts w:ascii="宋体" w:hAnsi="宋体" w:cs="仿宋"/>
                <w:color w:val="000000"/>
                <w:kern w:val="0"/>
                <w:szCs w:val="21"/>
              </w:rPr>
            </w:pPr>
          </w:p>
        </w:tc>
        <w:tc>
          <w:tcPr>
            <w:tcW w:w="2552" w:type="dxa"/>
            <w:noWrap w:val="0"/>
            <w:vAlign w:val="center"/>
          </w:tcPr>
          <w:p w14:paraId="70ABABEC">
            <w:pPr>
              <w:widowControl/>
              <w:jc w:val="center"/>
              <w:textAlignment w:val="center"/>
              <w:rPr>
                <w:rFonts w:ascii="宋体" w:hAnsi="宋体" w:cs="仿宋"/>
                <w:color w:val="000000"/>
                <w:kern w:val="0"/>
                <w:szCs w:val="21"/>
              </w:rPr>
            </w:pPr>
            <w:r>
              <w:rPr>
                <w:rFonts w:hint="eastAsia" w:ascii="宋体" w:hAnsi="宋体" w:cs="仿宋"/>
                <w:color w:val="000000"/>
                <w:kern w:val="0"/>
                <w:szCs w:val="21"/>
              </w:rPr>
              <w:t>网络设备套装</w:t>
            </w:r>
          </w:p>
        </w:tc>
        <w:tc>
          <w:tcPr>
            <w:tcW w:w="1783" w:type="dxa"/>
            <w:noWrap/>
            <w:vAlign w:val="center"/>
          </w:tcPr>
          <w:p w14:paraId="2E752279">
            <w:pPr>
              <w:widowControl/>
              <w:jc w:val="center"/>
              <w:textAlignment w:val="center"/>
              <w:rPr>
                <w:rFonts w:ascii="宋体" w:hAnsi="宋体" w:cs="仿宋"/>
                <w:color w:val="000000"/>
                <w:kern w:val="0"/>
                <w:szCs w:val="21"/>
              </w:rPr>
            </w:pPr>
            <w:r>
              <w:rPr>
                <w:rFonts w:hint="eastAsia" w:ascii="宋体" w:hAnsi="宋体" w:cs="仿宋"/>
                <w:color w:val="000000"/>
                <w:kern w:val="0"/>
                <w:szCs w:val="21"/>
              </w:rPr>
              <w:t>1</w:t>
            </w:r>
          </w:p>
        </w:tc>
        <w:tc>
          <w:tcPr>
            <w:tcW w:w="1750" w:type="dxa"/>
            <w:noWrap/>
            <w:vAlign w:val="center"/>
          </w:tcPr>
          <w:p w14:paraId="01147B1E">
            <w:pPr>
              <w:widowControl/>
              <w:jc w:val="center"/>
              <w:textAlignment w:val="center"/>
              <w:rPr>
                <w:rFonts w:ascii="宋体" w:hAnsi="宋体" w:cs="仿宋"/>
                <w:color w:val="000000"/>
                <w:kern w:val="0"/>
                <w:szCs w:val="21"/>
              </w:rPr>
            </w:pPr>
            <w:r>
              <w:rPr>
                <w:rFonts w:hint="eastAsia" w:ascii="宋体" w:hAnsi="宋体" w:cs="仿宋"/>
                <w:color w:val="000000"/>
                <w:kern w:val="0"/>
                <w:szCs w:val="21"/>
              </w:rPr>
              <w:t>套</w:t>
            </w:r>
          </w:p>
        </w:tc>
        <w:tc>
          <w:tcPr>
            <w:tcW w:w="1756" w:type="dxa"/>
            <w:noWrap/>
            <w:vAlign w:val="center"/>
          </w:tcPr>
          <w:p w14:paraId="549236BE">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r w14:paraId="6055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 w:type="dxa"/>
            <w:noWrap/>
            <w:vAlign w:val="center"/>
          </w:tcPr>
          <w:p w14:paraId="43CD687B">
            <w:pPr>
              <w:widowControl/>
              <w:numPr>
                <w:ilvl w:val="0"/>
                <w:numId w:val="2"/>
              </w:numPr>
              <w:jc w:val="center"/>
              <w:textAlignment w:val="center"/>
              <w:rPr>
                <w:rFonts w:ascii="宋体" w:hAnsi="宋体" w:cs="仿宋"/>
                <w:color w:val="000000"/>
                <w:kern w:val="0"/>
                <w:szCs w:val="21"/>
              </w:rPr>
            </w:pPr>
          </w:p>
        </w:tc>
        <w:tc>
          <w:tcPr>
            <w:tcW w:w="2552" w:type="dxa"/>
            <w:noWrap w:val="0"/>
            <w:vAlign w:val="center"/>
          </w:tcPr>
          <w:p w14:paraId="644BBB13">
            <w:pPr>
              <w:widowControl/>
              <w:jc w:val="center"/>
              <w:textAlignment w:val="center"/>
              <w:rPr>
                <w:rFonts w:ascii="宋体" w:hAnsi="宋体" w:cs="仿宋"/>
                <w:color w:val="000000"/>
                <w:kern w:val="0"/>
                <w:szCs w:val="21"/>
              </w:rPr>
            </w:pPr>
            <w:r>
              <w:rPr>
                <w:rFonts w:hint="eastAsia" w:ascii="宋体" w:hAnsi="宋体" w:cs="仿宋"/>
                <w:color w:val="000000"/>
                <w:kern w:val="0"/>
                <w:szCs w:val="21"/>
              </w:rPr>
              <w:t>项目施工费</w:t>
            </w:r>
          </w:p>
        </w:tc>
        <w:tc>
          <w:tcPr>
            <w:tcW w:w="1783" w:type="dxa"/>
            <w:noWrap/>
            <w:vAlign w:val="center"/>
          </w:tcPr>
          <w:p w14:paraId="3F8B7273">
            <w:pPr>
              <w:widowControl/>
              <w:jc w:val="center"/>
              <w:textAlignment w:val="center"/>
              <w:rPr>
                <w:rFonts w:ascii="宋体" w:hAnsi="宋体" w:cs="仿宋"/>
                <w:color w:val="000000"/>
                <w:kern w:val="0"/>
                <w:szCs w:val="21"/>
              </w:rPr>
            </w:pPr>
            <w:r>
              <w:rPr>
                <w:rFonts w:hint="eastAsia" w:ascii="宋体" w:hAnsi="宋体" w:cs="仿宋"/>
                <w:color w:val="000000"/>
                <w:kern w:val="0"/>
                <w:szCs w:val="21"/>
              </w:rPr>
              <w:t>1</w:t>
            </w:r>
          </w:p>
        </w:tc>
        <w:tc>
          <w:tcPr>
            <w:tcW w:w="1750" w:type="dxa"/>
            <w:noWrap/>
            <w:vAlign w:val="center"/>
          </w:tcPr>
          <w:p w14:paraId="2C09D62C">
            <w:pPr>
              <w:widowControl/>
              <w:jc w:val="center"/>
              <w:textAlignment w:val="center"/>
              <w:rPr>
                <w:rFonts w:ascii="宋体" w:hAnsi="宋体" w:cs="仿宋"/>
                <w:color w:val="000000"/>
                <w:kern w:val="0"/>
                <w:szCs w:val="21"/>
              </w:rPr>
            </w:pPr>
            <w:r>
              <w:rPr>
                <w:rFonts w:hint="eastAsia" w:ascii="宋体" w:hAnsi="宋体" w:cs="仿宋"/>
                <w:color w:val="000000"/>
                <w:kern w:val="0"/>
                <w:szCs w:val="21"/>
              </w:rPr>
              <w:t>项</w:t>
            </w:r>
          </w:p>
        </w:tc>
        <w:tc>
          <w:tcPr>
            <w:tcW w:w="1756" w:type="dxa"/>
            <w:noWrap/>
            <w:vAlign w:val="center"/>
          </w:tcPr>
          <w:p w14:paraId="5B9E7CC4">
            <w:pPr>
              <w:widowControl/>
              <w:spacing w:line="360" w:lineRule="auto"/>
              <w:jc w:val="center"/>
              <w:rPr>
                <w:rFonts w:ascii="宋体" w:hAnsi="宋体" w:cs="仿宋"/>
                <w:kern w:val="0"/>
                <w:szCs w:val="21"/>
              </w:rPr>
            </w:pPr>
            <w:r>
              <w:rPr>
                <w:rFonts w:hint="eastAsia" w:ascii="宋体" w:hAnsi="宋体" w:cs="仿宋"/>
                <w:kern w:val="0"/>
                <w:szCs w:val="21"/>
              </w:rPr>
              <w:t>拒绝进口</w:t>
            </w:r>
          </w:p>
        </w:tc>
      </w:tr>
    </w:tbl>
    <w:p w14:paraId="486DDE00">
      <w:pPr>
        <w:widowControl/>
        <w:spacing w:line="360" w:lineRule="auto"/>
        <w:jc w:val="left"/>
        <w:rPr>
          <w:rFonts w:ascii="宋体" w:hAnsi="宋体" w:cs="宋体"/>
          <w:bCs/>
          <w:kern w:val="0"/>
          <w:szCs w:val="21"/>
        </w:rPr>
      </w:pPr>
      <w:r>
        <w:rPr>
          <w:rFonts w:hint="eastAsia" w:ascii="宋体" w:hAnsi="宋体" w:cs="宋体"/>
          <w:b/>
          <w:bCs/>
          <w:kern w:val="0"/>
          <w:szCs w:val="21"/>
        </w:rPr>
        <w:t>说明：</w:t>
      </w:r>
    </w:p>
    <w:p w14:paraId="6C7BC389">
      <w:pPr>
        <w:widowControl/>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1、进口产品，是指通过中国海关报关验放进入中国境内且产自关境外的产品，即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w:t>
      </w:r>
      <w:r>
        <w:rPr>
          <w:rFonts w:ascii="宋体" w:hAnsi="宋体" w:cs="宋体"/>
          <w:b/>
          <w:bCs/>
          <w:kern w:val="0"/>
          <w:szCs w:val="21"/>
        </w:rPr>
        <w:t>2008〕248号文的相关规定为准。</w:t>
      </w:r>
    </w:p>
    <w:p w14:paraId="5A5CD4A6">
      <w:pPr>
        <w:widowControl/>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注明“拒绝进口”的产品不接受进口产品参与投标；注明“接受进口”的产品允许投标人选用进口产品参与投标，但不排斥国内产品参与投标。</w:t>
      </w:r>
    </w:p>
    <w:p w14:paraId="45FEB999">
      <w:pPr>
        <w:widowControl/>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2、根据《政府采购货物和服务招标投标管理办法》（财政部令第87号）第31条的规定，提供相同品牌产品的不同投标人参加同一合同项下投标的，处理原则如下：</w:t>
      </w:r>
    </w:p>
    <w:p w14:paraId="4FB5D34F">
      <w:pPr>
        <w:widowControl/>
        <w:spacing w:line="360" w:lineRule="auto"/>
        <w:ind w:firstLine="420" w:firstLineChars="200"/>
        <w:jc w:val="left"/>
        <w:rPr>
          <w:rFonts w:ascii="宋体" w:hAnsi="宋体" w:cs="宋体"/>
          <w:bCs/>
          <w:kern w:val="0"/>
          <w:szCs w:val="21"/>
        </w:rPr>
      </w:pPr>
      <w:r>
        <w:rPr>
          <w:rFonts w:hint="eastAsia" w:ascii="宋体" w:hAnsi="宋体" w:cs="宋体"/>
          <w:bCs/>
          <w:kern w:val="0"/>
          <w:szCs w:val="21"/>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AFE4E81">
      <w:pPr>
        <w:widowControl/>
        <w:spacing w:line="360" w:lineRule="auto"/>
        <w:ind w:firstLine="420" w:firstLineChars="200"/>
        <w:jc w:val="left"/>
        <w:rPr>
          <w:rFonts w:ascii="宋体" w:hAnsi="宋体" w:cs="宋体"/>
          <w:bCs/>
          <w:kern w:val="0"/>
          <w:szCs w:val="21"/>
        </w:rPr>
      </w:pPr>
      <w:r>
        <w:rPr>
          <w:rFonts w:hint="eastAsia" w:ascii="宋体" w:hAnsi="宋体" w:cs="宋体"/>
          <w:bCs/>
          <w:kern w:val="0"/>
          <w:szCs w:val="21"/>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814C567">
      <w:pPr>
        <w:spacing w:after="60" w:line="360" w:lineRule="auto"/>
        <w:ind w:firstLine="411" w:firstLineChars="196"/>
        <w:rPr>
          <w:b/>
        </w:rPr>
      </w:pPr>
      <w:r>
        <w:rPr>
          <w:rFonts w:hint="eastAsia" w:ascii="宋体" w:hAnsi="宋体" w:cs="宋体"/>
          <w:bCs/>
          <w:kern w:val="0"/>
          <w:szCs w:val="21"/>
        </w:rPr>
        <w:t>（3）非单一产品采购项目，采购人应当根据采购项目技术构成、产品价格比重等合理确定核心产品，并在招标文件中载明。多家投标人提供的核心产品品牌相同的，按前两款规定处理。</w:t>
      </w:r>
      <w:r>
        <w:rPr>
          <w:rFonts w:hint="eastAsia" w:ascii="宋体" w:hAnsi="宋体" w:cs="宋体"/>
          <w:b/>
          <w:bCs/>
          <w:kern w:val="0"/>
          <w:szCs w:val="21"/>
          <w:highlight w:val="yellow"/>
        </w:rPr>
        <w:t>（本项目的核心产品为：运动风云榜大屏）</w:t>
      </w:r>
    </w:p>
    <w:p w14:paraId="2082ABE0">
      <w:pPr>
        <w:pStyle w:val="6"/>
        <w:rPr>
          <w:rFonts w:hint="eastAsia"/>
        </w:rPr>
      </w:pPr>
    </w:p>
    <w:p w14:paraId="305CC80B">
      <w:pPr>
        <w:pStyle w:val="3"/>
        <w:spacing w:line="360" w:lineRule="auto"/>
        <w:jc w:val="left"/>
        <w:rPr>
          <w:rFonts w:hint="eastAsia" w:cs="Arial"/>
          <w:sz w:val="28"/>
          <w:szCs w:val="28"/>
          <w:lang w:eastAsia="zh-CN"/>
        </w:rPr>
      </w:pPr>
      <w:bookmarkStart w:id="5" w:name="_Toc213752371"/>
      <w:r>
        <w:rPr>
          <w:rFonts w:hint="eastAsia" w:cs="Arial"/>
          <w:sz w:val="28"/>
          <w:szCs w:val="28"/>
        </w:rPr>
        <w:t>二、技术要求</w:t>
      </w:r>
      <w:bookmarkEnd w:id="5"/>
    </w:p>
    <w:p w14:paraId="1ACF543A">
      <w:pPr>
        <w:rPr>
          <w:rFonts w:hint="eastAsia" w:ascii="宋体" w:hAnsi="宋体" w:cs="Arial"/>
          <w:b/>
          <w:bCs/>
          <w:kern w:val="0"/>
          <w:sz w:val="28"/>
          <w:szCs w:val="28"/>
        </w:rPr>
      </w:pPr>
      <w:r>
        <w:rPr>
          <w:rFonts w:hint="eastAsia" w:ascii="宋体" w:hAnsi="宋体" w:cs="Arial"/>
          <w:b/>
          <w:bCs/>
          <w:kern w:val="0"/>
          <w:sz w:val="28"/>
          <w:szCs w:val="28"/>
        </w:rPr>
        <w:t>1.评分时，如对一项招标服务需求（以划分框为准，一个划分框是作为一项招标服务需求）中的内容存在两处（或以上）负偏离的，在评分时只作一项负偏离扣分</w:t>
      </w:r>
    </w:p>
    <w:p w14:paraId="71BC640A">
      <w:pPr>
        <w:rPr>
          <w:rFonts w:hint="eastAsia" w:ascii="宋体" w:hAnsi="宋体" w:cs="Arial"/>
          <w:b/>
          <w:bCs/>
          <w:kern w:val="0"/>
          <w:sz w:val="28"/>
          <w:szCs w:val="28"/>
        </w:rPr>
      </w:pPr>
      <w:r>
        <w:rPr>
          <w:rFonts w:hint="eastAsia" w:ascii="宋体" w:hAnsi="宋体" w:cs="Arial"/>
          <w:b/>
          <w:bCs/>
          <w:kern w:val="0"/>
          <w:sz w:val="28"/>
          <w:szCs w:val="28"/>
        </w:rPr>
        <w:t>2.带“★”指标项为实质性条款，如出现负偏离，将被视为未实质性满足招标文件要求作投标无效处理。带“</w:t>
      </w:r>
      <w:r>
        <w:rPr>
          <w:rFonts w:ascii="宋体" w:hAnsi="宋体" w:cs="Arial"/>
          <w:b/>
          <w:bCs/>
          <w:kern w:val="0"/>
          <w:sz w:val="28"/>
          <w:szCs w:val="28"/>
        </w:rPr>
        <w:t>▲</w:t>
      </w:r>
      <w:r>
        <w:rPr>
          <w:rFonts w:hint="eastAsia" w:ascii="宋体" w:hAnsi="宋体" w:cs="Arial"/>
          <w:b/>
          <w:bCs/>
          <w:kern w:val="0"/>
          <w:sz w:val="28"/>
          <w:szCs w:val="28"/>
        </w:rPr>
        <w:t>”指标项为重要参数，负偏离时依相关评分准则内容作重点扣分处理。</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412"/>
        <w:gridCol w:w="5472"/>
      </w:tblGrid>
      <w:tr w14:paraId="16E6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 w:type="pct"/>
            <w:noWrap/>
            <w:vAlign w:val="center"/>
          </w:tcPr>
          <w:p w14:paraId="4C626BAB">
            <w:pPr>
              <w:widowControl/>
              <w:spacing w:line="360" w:lineRule="auto"/>
              <w:jc w:val="center"/>
              <w:rPr>
                <w:rFonts w:ascii="宋体" w:hAnsi="宋体" w:cs="仿宋"/>
                <w:b/>
                <w:bCs/>
                <w:color w:val="000000"/>
                <w:kern w:val="0"/>
                <w:szCs w:val="21"/>
              </w:rPr>
            </w:pPr>
            <w:r>
              <w:rPr>
                <w:rFonts w:hint="eastAsia" w:ascii="宋体" w:hAnsi="宋体" w:cs="仿宋"/>
                <w:b/>
                <w:bCs/>
                <w:color w:val="000000"/>
                <w:kern w:val="0"/>
                <w:szCs w:val="21"/>
              </w:rPr>
              <w:t>序号</w:t>
            </w:r>
          </w:p>
        </w:tc>
        <w:tc>
          <w:tcPr>
            <w:tcW w:w="1415" w:type="pct"/>
            <w:noWrap w:val="0"/>
            <w:vAlign w:val="center"/>
          </w:tcPr>
          <w:p w14:paraId="7EF6A41E">
            <w:pPr>
              <w:widowControl/>
              <w:spacing w:line="360" w:lineRule="auto"/>
              <w:jc w:val="center"/>
              <w:rPr>
                <w:rFonts w:ascii="宋体" w:hAnsi="宋体" w:cs="仿宋"/>
                <w:b/>
                <w:bCs/>
                <w:color w:val="000000"/>
                <w:kern w:val="0"/>
                <w:szCs w:val="21"/>
              </w:rPr>
            </w:pPr>
            <w:r>
              <w:rPr>
                <w:rFonts w:hint="eastAsia" w:ascii="宋体" w:hAnsi="宋体" w:cs="仿宋"/>
                <w:b/>
                <w:bCs/>
                <w:color w:val="000000"/>
                <w:kern w:val="0"/>
                <w:szCs w:val="21"/>
              </w:rPr>
              <w:t>货物名称</w:t>
            </w:r>
          </w:p>
        </w:tc>
        <w:tc>
          <w:tcPr>
            <w:tcW w:w="3210" w:type="pct"/>
            <w:noWrap w:val="0"/>
            <w:vAlign w:val="center"/>
          </w:tcPr>
          <w:p w14:paraId="75168C62">
            <w:pPr>
              <w:widowControl/>
              <w:spacing w:line="360" w:lineRule="auto"/>
              <w:jc w:val="center"/>
              <w:rPr>
                <w:rFonts w:ascii="宋体" w:hAnsi="宋体" w:cs="仿宋"/>
                <w:b/>
                <w:bCs/>
                <w:color w:val="000000"/>
                <w:kern w:val="0"/>
                <w:szCs w:val="21"/>
              </w:rPr>
            </w:pPr>
            <w:r>
              <w:rPr>
                <w:rFonts w:hint="eastAsia" w:ascii="宋体" w:hAnsi="宋体" w:cs="仿宋"/>
                <w:b/>
                <w:bCs/>
                <w:color w:val="000000"/>
                <w:kern w:val="0"/>
                <w:szCs w:val="21"/>
              </w:rPr>
              <w:t>招标技术要求</w:t>
            </w:r>
          </w:p>
        </w:tc>
      </w:tr>
      <w:tr w14:paraId="419B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restart"/>
            <w:noWrap/>
            <w:vAlign w:val="center"/>
          </w:tcPr>
          <w:p w14:paraId="2F3E68EC">
            <w:pPr>
              <w:widowControl/>
              <w:numPr>
                <w:ilvl w:val="0"/>
                <w:numId w:val="3"/>
              </w:numPr>
              <w:jc w:val="center"/>
              <w:textAlignment w:val="center"/>
              <w:rPr>
                <w:rFonts w:ascii="宋体" w:hAnsi="宋体" w:cs="仿宋"/>
                <w:color w:val="000000"/>
                <w:szCs w:val="21"/>
              </w:rPr>
            </w:pPr>
          </w:p>
        </w:tc>
        <w:tc>
          <w:tcPr>
            <w:tcW w:w="1415" w:type="pct"/>
            <w:vMerge w:val="restart"/>
            <w:noWrap w:val="0"/>
            <w:vAlign w:val="center"/>
          </w:tcPr>
          <w:p w14:paraId="7706FED1">
            <w:pPr>
              <w:widowControl/>
              <w:jc w:val="center"/>
              <w:textAlignment w:val="center"/>
              <w:rPr>
                <w:rFonts w:ascii="宋体" w:hAnsi="宋体" w:cs="仿宋"/>
                <w:color w:val="000000"/>
                <w:szCs w:val="21"/>
              </w:rPr>
            </w:pPr>
            <w:r>
              <w:rPr>
                <w:rFonts w:hint="eastAsia" w:ascii="宋体" w:hAnsi="宋体" w:cs="仿宋"/>
                <w:color w:val="000000"/>
                <w:kern w:val="0"/>
                <w:szCs w:val="21"/>
              </w:rPr>
              <w:t>智慧体育教学练测评系统</w:t>
            </w:r>
          </w:p>
        </w:tc>
        <w:tc>
          <w:tcPr>
            <w:tcW w:w="3210" w:type="pct"/>
            <w:noWrap w:val="0"/>
            <w:vAlign w:val="center"/>
          </w:tcPr>
          <w:p w14:paraId="022FCF20">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一、系统平台管理</w:t>
            </w:r>
          </w:p>
          <w:p w14:paraId="3764E4F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1.支持具备体育考试、国家体测、自由练习等功能模块；</w:t>
            </w:r>
          </w:p>
        </w:tc>
      </w:tr>
      <w:tr w14:paraId="7953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continue"/>
            <w:noWrap/>
            <w:vAlign w:val="center"/>
          </w:tcPr>
          <w:p w14:paraId="27570A91">
            <w:pPr>
              <w:widowControl/>
              <w:spacing w:line="360" w:lineRule="auto"/>
              <w:jc w:val="left"/>
              <w:rPr>
                <w:rFonts w:ascii="宋体" w:hAnsi="宋体"/>
                <w:szCs w:val="21"/>
              </w:rPr>
            </w:pPr>
          </w:p>
        </w:tc>
        <w:tc>
          <w:tcPr>
            <w:tcW w:w="1415" w:type="pct"/>
            <w:vMerge w:val="continue"/>
            <w:noWrap w:val="0"/>
            <w:vAlign w:val="center"/>
          </w:tcPr>
          <w:p w14:paraId="7E0409A1">
            <w:pPr>
              <w:widowControl/>
              <w:spacing w:line="360" w:lineRule="auto"/>
              <w:jc w:val="left"/>
              <w:rPr>
                <w:rFonts w:ascii="宋体" w:hAnsi="宋体"/>
                <w:szCs w:val="21"/>
              </w:rPr>
            </w:pPr>
          </w:p>
        </w:tc>
        <w:tc>
          <w:tcPr>
            <w:tcW w:w="3210" w:type="pct"/>
            <w:noWrap w:val="0"/>
            <w:vAlign w:val="center"/>
          </w:tcPr>
          <w:p w14:paraId="20B7AD56">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2.支持 PC 端、Pad 端、手机端登录系统；</w:t>
            </w:r>
          </w:p>
        </w:tc>
      </w:tr>
      <w:tr w14:paraId="0127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continue"/>
            <w:noWrap/>
            <w:vAlign w:val="center"/>
          </w:tcPr>
          <w:p w14:paraId="3BDE82CB">
            <w:pPr>
              <w:widowControl/>
              <w:spacing w:line="360" w:lineRule="auto"/>
              <w:jc w:val="left"/>
              <w:rPr>
                <w:rFonts w:ascii="宋体" w:hAnsi="宋体"/>
                <w:szCs w:val="21"/>
              </w:rPr>
            </w:pPr>
          </w:p>
        </w:tc>
        <w:tc>
          <w:tcPr>
            <w:tcW w:w="1415" w:type="pct"/>
            <w:vMerge w:val="continue"/>
            <w:noWrap w:val="0"/>
            <w:vAlign w:val="center"/>
          </w:tcPr>
          <w:p w14:paraId="06246A57">
            <w:pPr>
              <w:widowControl/>
              <w:spacing w:line="360" w:lineRule="auto"/>
              <w:jc w:val="left"/>
              <w:rPr>
                <w:rFonts w:ascii="宋体" w:hAnsi="宋体"/>
                <w:szCs w:val="21"/>
              </w:rPr>
            </w:pPr>
          </w:p>
        </w:tc>
        <w:tc>
          <w:tcPr>
            <w:tcW w:w="3210" w:type="pct"/>
            <w:noWrap w:val="0"/>
            <w:vAlign w:val="center"/>
          </w:tcPr>
          <w:p w14:paraId="61A71DB6">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3.支持学生个人、班级、年级、级部、全校体测成绩分析及汇总；</w:t>
            </w:r>
          </w:p>
        </w:tc>
      </w:tr>
      <w:tr w14:paraId="6E50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73" w:type="pct"/>
            <w:vMerge w:val="continue"/>
            <w:noWrap/>
            <w:vAlign w:val="center"/>
          </w:tcPr>
          <w:p w14:paraId="5524D7AB">
            <w:pPr>
              <w:widowControl/>
              <w:spacing w:line="360" w:lineRule="auto"/>
              <w:jc w:val="left"/>
              <w:rPr>
                <w:rFonts w:ascii="宋体" w:hAnsi="宋体" w:cs="仿宋"/>
                <w:color w:val="000000"/>
                <w:kern w:val="0"/>
                <w:szCs w:val="21"/>
              </w:rPr>
            </w:pPr>
          </w:p>
        </w:tc>
        <w:tc>
          <w:tcPr>
            <w:tcW w:w="1415" w:type="pct"/>
            <w:vMerge w:val="continue"/>
            <w:noWrap w:val="0"/>
            <w:vAlign w:val="center"/>
          </w:tcPr>
          <w:p w14:paraId="3C9EA09E">
            <w:pPr>
              <w:widowControl/>
              <w:spacing w:line="360" w:lineRule="auto"/>
              <w:jc w:val="left"/>
              <w:rPr>
                <w:rFonts w:ascii="宋体" w:hAnsi="宋体" w:cs="仿宋"/>
                <w:color w:val="000000"/>
                <w:kern w:val="0"/>
                <w:szCs w:val="21"/>
              </w:rPr>
            </w:pPr>
          </w:p>
        </w:tc>
        <w:tc>
          <w:tcPr>
            <w:tcW w:w="3210" w:type="pct"/>
            <w:noWrap w:val="0"/>
            <w:vAlign w:val="center"/>
          </w:tcPr>
          <w:p w14:paraId="0ACF6552">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4.支持学生信息管理、学生体测数据报表导出、体测功能设置；</w:t>
            </w:r>
          </w:p>
        </w:tc>
      </w:tr>
      <w:tr w14:paraId="6CE6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continue"/>
            <w:noWrap/>
            <w:vAlign w:val="center"/>
          </w:tcPr>
          <w:p w14:paraId="157D0E8B">
            <w:pPr>
              <w:widowControl/>
              <w:spacing w:line="360" w:lineRule="auto"/>
              <w:jc w:val="left"/>
              <w:rPr>
                <w:rFonts w:ascii="宋体" w:hAnsi="宋体" w:cs="仿宋"/>
                <w:color w:val="000000"/>
                <w:kern w:val="0"/>
                <w:szCs w:val="21"/>
              </w:rPr>
            </w:pPr>
          </w:p>
        </w:tc>
        <w:tc>
          <w:tcPr>
            <w:tcW w:w="1415" w:type="pct"/>
            <w:vMerge w:val="continue"/>
            <w:noWrap w:val="0"/>
            <w:vAlign w:val="center"/>
          </w:tcPr>
          <w:p w14:paraId="0762DFA5">
            <w:pPr>
              <w:widowControl/>
              <w:spacing w:line="360" w:lineRule="auto"/>
              <w:jc w:val="left"/>
              <w:rPr>
                <w:rFonts w:ascii="宋体" w:hAnsi="宋体" w:cs="仿宋"/>
                <w:color w:val="000000"/>
                <w:kern w:val="0"/>
                <w:szCs w:val="21"/>
              </w:rPr>
            </w:pPr>
          </w:p>
        </w:tc>
        <w:tc>
          <w:tcPr>
            <w:tcW w:w="3210" w:type="pct"/>
            <w:noWrap w:val="0"/>
            <w:vAlign w:val="center"/>
          </w:tcPr>
          <w:p w14:paraId="0CB0BDB4">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5.支持测试视频存储与测试数据分析服务；</w:t>
            </w:r>
          </w:p>
        </w:tc>
      </w:tr>
      <w:tr w14:paraId="049F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373" w:type="pct"/>
            <w:vMerge w:val="continue"/>
            <w:noWrap/>
            <w:vAlign w:val="center"/>
          </w:tcPr>
          <w:p w14:paraId="6F18F1A8">
            <w:pPr>
              <w:widowControl/>
              <w:spacing w:line="360" w:lineRule="auto"/>
              <w:jc w:val="left"/>
              <w:rPr>
                <w:rFonts w:ascii="宋体" w:hAnsi="宋体" w:cs="仿宋"/>
                <w:color w:val="000000"/>
                <w:kern w:val="0"/>
                <w:szCs w:val="21"/>
              </w:rPr>
            </w:pPr>
          </w:p>
        </w:tc>
        <w:tc>
          <w:tcPr>
            <w:tcW w:w="1415" w:type="pct"/>
            <w:vMerge w:val="continue"/>
            <w:noWrap w:val="0"/>
            <w:vAlign w:val="center"/>
          </w:tcPr>
          <w:p w14:paraId="558EDCA8">
            <w:pPr>
              <w:widowControl/>
              <w:spacing w:line="360" w:lineRule="auto"/>
              <w:jc w:val="left"/>
              <w:rPr>
                <w:rFonts w:ascii="宋体" w:hAnsi="宋体" w:cs="仿宋"/>
                <w:color w:val="000000"/>
                <w:kern w:val="0"/>
                <w:szCs w:val="21"/>
              </w:rPr>
            </w:pPr>
          </w:p>
        </w:tc>
        <w:tc>
          <w:tcPr>
            <w:tcW w:w="3210" w:type="pct"/>
            <w:noWrap w:val="0"/>
            <w:vAlign w:val="center"/>
          </w:tcPr>
          <w:p w14:paraId="26B82259">
            <w:pPr>
              <w:widowControl/>
              <w:spacing w:line="360" w:lineRule="auto"/>
              <w:jc w:val="left"/>
              <w:rPr>
                <w:rFonts w:ascii="宋体" w:hAnsi="宋体" w:cs="仿宋"/>
                <w:color w:val="000000"/>
                <w:kern w:val="0"/>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支持学校创建、角色分配、班级信息管理、教师管理、学生管理等基础信息管理。</w:t>
            </w:r>
          </w:p>
        </w:tc>
      </w:tr>
      <w:tr w14:paraId="4BD1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73" w:type="pct"/>
            <w:vMerge w:val="continue"/>
            <w:noWrap/>
            <w:vAlign w:val="center"/>
          </w:tcPr>
          <w:p w14:paraId="556FBB9F">
            <w:pPr>
              <w:widowControl/>
              <w:spacing w:line="360" w:lineRule="auto"/>
              <w:jc w:val="left"/>
              <w:rPr>
                <w:rFonts w:ascii="宋体" w:hAnsi="宋体" w:cs="仿宋"/>
                <w:color w:val="000000"/>
                <w:kern w:val="0"/>
                <w:szCs w:val="21"/>
              </w:rPr>
            </w:pPr>
          </w:p>
        </w:tc>
        <w:tc>
          <w:tcPr>
            <w:tcW w:w="1415" w:type="pct"/>
            <w:vMerge w:val="continue"/>
            <w:noWrap w:val="0"/>
            <w:vAlign w:val="center"/>
          </w:tcPr>
          <w:p w14:paraId="66E8D852">
            <w:pPr>
              <w:widowControl/>
              <w:spacing w:line="360" w:lineRule="auto"/>
              <w:jc w:val="left"/>
              <w:rPr>
                <w:rFonts w:ascii="宋体" w:hAnsi="宋体" w:cs="仿宋"/>
                <w:color w:val="000000"/>
                <w:kern w:val="0"/>
                <w:szCs w:val="21"/>
              </w:rPr>
            </w:pPr>
          </w:p>
        </w:tc>
        <w:tc>
          <w:tcPr>
            <w:tcW w:w="3210" w:type="pct"/>
            <w:noWrap w:val="0"/>
            <w:vAlign w:val="center"/>
          </w:tcPr>
          <w:p w14:paraId="0EB7E8C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7.支持基于班级、学生的运动锻炼数据分析、展示与导出；</w:t>
            </w:r>
          </w:p>
        </w:tc>
      </w:tr>
      <w:tr w14:paraId="1EC6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373" w:type="pct"/>
            <w:vMerge w:val="continue"/>
            <w:noWrap/>
            <w:vAlign w:val="center"/>
          </w:tcPr>
          <w:p w14:paraId="3A861642">
            <w:pPr>
              <w:widowControl/>
              <w:spacing w:line="360" w:lineRule="auto"/>
              <w:jc w:val="left"/>
              <w:rPr>
                <w:rFonts w:ascii="宋体" w:hAnsi="宋体" w:cs="仿宋"/>
                <w:color w:val="000000"/>
                <w:kern w:val="0"/>
                <w:szCs w:val="21"/>
              </w:rPr>
            </w:pPr>
          </w:p>
        </w:tc>
        <w:tc>
          <w:tcPr>
            <w:tcW w:w="1415" w:type="pct"/>
            <w:vMerge w:val="continue"/>
            <w:noWrap w:val="0"/>
            <w:vAlign w:val="center"/>
          </w:tcPr>
          <w:p w14:paraId="587DA655">
            <w:pPr>
              <w:widowControl/>
              <w:spacing w:line="360" w:lineRule="auto"/>
              <w:jc w:val="left"/>
              <w:rPr>
                <w:rFonts w:ascii="宋体" w:hAnsi="宋体" w:cs="仿宋"/>
                <w:color w:val="000000"/>
                <w:kern w:val="0"/>
                <w:szCs w:val="21"/>
              </w:rPr>
            </w:pPr>
          </w:p>
        </w:tc>
        <w:tc>
          <w:tcPr>
            <w:tcW w:w="3210" w:type="pct"/>
            <w:noWrap w:val="0"/>
            <w:vAlign w:val="center"/>
          </w:tcPr>
          <w:p w14:paraId="7B5A265A">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▲8．支持不少于6个运动项目并行开展测试，满足学校各类场景项目同时开启的实际需求。</w:t>
            </w:r>
            <w:r>
              <w:rPr>
                <w:rFonts w:hint="eastAsia" w:ascii="宋体" w:hAnsi="宋体" w:cs="仿宋"/>
                <w:b/>
                <w:bCs/>
                <w:color w:val="FF0000"/>
                <w:kern w:val="0"/>
                <w:szCs w:val="21"/>
                <w:lang w:bidi="ar"/>
              </w:rPr>
              <w:t>提供具有检测资质的第三方检验检测机构出具的带有CMA标识的检验检测报告关键页扫描件，检验（检测）报告检测项目里面明确备注说明相关检验检测项不在检验检测机构CMA资质许可(认定)范围内的则视为负偏离，未按要求提供或提供不清晰导致专家无法判断的不得分</w:t>
            </w:r>
          </w:p>
        </w:tc>
      </w:tr>
      <w:tr w14:paraId="2A04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73" w:type="pct"/>
            <w:vMerge w:val="continue"/>
            <w:noWrap/>
            <w:vAlign w:val="center"/>
          </w:tcPr>
          <w:p w14:paraId="4FC7E1B2">
            <w:pPr>
              <w:widowControl/>
              <w:spacing w:line="360" w:lineRule="auto"/>
              <w:jc w:val="left"/>
              <w:rPr>
                <w:rFonts w:ascii="宋体" w:hAnsi="宋体" w:cs="仿宋"/>
                <w:color w:val="000000"/>
                <w:kern w:val="0"/>
                <w:szCs w:val="21"/>
              </w:rPr>
            </w:pPr>
          </w:p>
        </w:tc>
        <w:tc>
          <w:tcPr>
            <w:tcW w:w="1415" w:type="pct"/>
            <w:vMerge w:val="continue"/>
            <w:noWrap w:val="0"/>
            <w:vAlign w:val="center"/>
          </w:tcPr>
          <w:p w14:paraId="7F0E2E4F">
            <w:pPr>
              <w:widowControl/>
              <w:spacing w:line="360" w:lineRule="auto"/>
              <w:jc w:val="left"/>
              <w:rPr>
                <w:rFonts w:ascii="宋体" w:hAnsi="宋体" w:cs="仿宋"/>
                <w:color w:val="000000"/>
                <w:kern w:val="0"/>
                <w:szCs w:val="21"/>
              </w:rPr>
            </w:pPr>
          </w:p>
        </w:tc>
        <w:tc>
          <w:tcPr>
            <w:tcW w:w="3210" w:type="pct"/>
            <w:noWrap w:val="0"/>
            <w:vAlign w:val="center"/>
          </w:tcPr>
          <w:p w14:paraId="5BB8E57F">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二、学生信息管理</w:t>
            </w:r>
          </w:p>
          <w:p w14:paraId="2D1488A1">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1.支持行政班与分项班班级信息管理；</w:t>
            </w:r>
          </w:p>
        </w:tc>
      </w:tr>
      <w:tr w14:paraId="491A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continue"/>
            <w:noWrap/>
            <w:vAlign w:val="center"/>
          </w:tcPr>
          <w:p w14:paraId="62062BB7">
            <w:pPr>
              <w:widowControl/>
              <w:spacing w:line="360" w:lineRule="auto"/>
              <w:jc w:val="left"/>
              <w:rPr>
                <w:rFonts w:ascii="宋体" w:hAnsi="宋体" w:cs="仿宋"/>
                <w:color w:val="000000"/>
                <w:kern w:val="0"/>
                <w:szCs w:val="21"/>
              </w:rPr>
            </w:pPr>
          </w:p>
        </w:tc>
        <w:tc>
          <w:tcPr>
            <w:tcW w:w="1415" w:type="pct"/>
            <w:vMerge w:val="continue"/>
            <w:noWrap w:val="0"/>
            <w:vAlign w:val="center"/>
          </w:tcPr>
          <w:p w14:paraId="1C022BFB">
            <w:pPr>
              <w:widowControl/>
              <w:spacing w:line="360" w:lineRule="auto"/>
              <w:jc w:val="left"/>
              <w:rPr>
                <w:rFonts w:ascii="宋体" w:hAnsi="宋体" w:cs="仿宋"/>
                <w:color w:val="000000"/>
                <w:kern w:val="0"/>
                <w:szCs w:val="21"/>
              </w:rPr>
            </w:pPr>
          </w:p>
        </w:tc>
        <w:tc>
          <w:tcPr>
            <w:tcW w:w="3210" w:type="pct"/>
            <w:noWrap w:val="0"/>
            <w:vAlign w:val="center"/>
          </w:tcPr>
          <w:p w14:paraId="5F1998E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2.支持学生名单管理，可一键导入名单信息；</w:t>
            </w:r>
          </w:p>
        </w:tc>
      </w:tr>
      <w:tr w14:paraId="3683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73" w:type="pct"/>
            <w:vMerge w:val="continue"/>
            <w:noWrap/>
            <w:vAlign w:val="center"/>
          </w:tcPr>
          <w:p w14:paraId="53FE9ABF">
            <w:pPr>
              <w:widowControl/>
              <w:spacing w:line="360" w:lineRule="auto"/>
              <w:jc w:val="left"/>
              <w:rPr>
                <w:rFonts w:ascii="宋体" w:hAnsi="宋体" w:cs="仿宋"/>
                <w:color w:val="000000"/>
                <w:kern w:val="0"/>
                <w:szCs w:val="21"/>
              </w:rPr>
            </w:pPr>
          </w:p>
        </w:tc>
        <w:tc>
          <w:tcPr>
            <w:tcW w:w="1415" w:type="pct"/>
            <w:vMerge w:val="continue"/>
            <w:noWrap w:val="0"/>
            <w:vAlign w:val="center"/>
          </w:tcPr>
          <w:p w14:paraId="453D1986">
            <w:pPr>
              <w:widowControl/>
              <w:spacing w:line="360" w:lineRule="auto"/>
              <w:jc w:val="left"/>
              <w:rPr>
                <w:rFonts w:ascii="宋体" w:hAnsi="宋体" w:cs="仿宋"/>
                <w:color w:val="000000"/>
                <w:kern w:val="0"/>
                <w:szCs w:val="21"/>
              </w:rPr>
            </w:pPr>
          </w:p>
        </w:tc>
        <w:tc>
          <w:tcPr>
            <w:tcW w:w="3210" w:type="pct"/>
            <w:noWrap w:val="0"/>
            <w:vAlign w:val="center"/>
          </w:tcPr>
          <w:p w14:paraId="27C3E07F">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3.支持可进行人脸信息录入、本地化存储和管理；</w:t>
            </w:r>
          </w:p>
        </w:tc>
      </w:tr>
      <w:tr w14:paraId="31BB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73" w:type="pct"/>
            <w:vMerge w:val="continue"/>
            <w:noWrap/>
            <w:vAlign w:val="center"/>
          </w:tcPr>
          <w:p w14:paraId="1A8FE03E">
            <w:pPr>
              <w:widowControl/>
              <w:spacing w:line="360" w:lineRule="auto"/>
              <w:jc w:val="left"/>
              <w:rPr>
                <w:rFonts w:ascii="宋体" w:hAnsi="宋体" w:cs="仿宋"/>
                <w:color w:val="000000"/>
                <w:kern w:val="0"/>
                <w:szCs w:val="21"/>
              </w:rPr>
            </w:pPr>
          </w:p>
        </w:tc>
        <w:tc>
          <w:tcPr>
            <w:tcW w:w="1415" w:type="pct"/>
            <w:vMerge w:val="continue"/>
            <w:noWrap w:val="0"/>
            <w:vAlign w:val="center"/>
          </w:tcPr>
          <w:p w14:paraId="21384B1F">
            <w:pPr>
              <w:widowControl/>
              <w:spacing w:line="360" w:lineRule="auto"/>
              <w:jc w:val="left"/>
              <w:rPr>
                <w:rFonts w:ascii="宋体" w:hAnsi="宋体" w:cs="仿宋"/>
                <w:color w:val="000000"/>
                <w:kern w:val="0"/>
                <w:szCs w:val="21"/>
              </w:rPr>
            </w:pPr>
          </w:p>
        </w:tc>
        <w:tc>
          <w:tcPr>
            <w:tcW w:w="3210" w:type="pct"/>
            <w:noWrap w:val="0"/>
            <w:vAlign w:val="center"/>
          </w:tcPr>
          <w:p w14:paraId="43D5CC3A">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4.支持可根据学生体育兴趣发展进行分层、项班管理。</w:t>
            </w:r>
          </w:p>
        </w:tc>
      </w:tr>
      <w:tr w14:paraId="2EDF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73" w:type="pct"/>
            <w:vMerge w:val="continue"/>
            <w:noWrap/>
            <w:vAlign w:val="center"/>
          </w:tcPr>
          <w:p w14:paraId="187E1C7D">
            <w:pPr>
              <w:widowControl/>
              <w:spacing w:line="360" w:lineRule="auto"/>
              <w:jc w:val="left"/>
              <w:rPr>
                <w:rFonts w:ascii="宋体" w:hAnsi="宋体" w:cs="仿宋"/>
                <w:color w:val="000000"/>
                <w:kern w:val="0"/>
                <w:szCs w:val="21"/>
              </w:rPr>
            </w:pPr>
          </w:p>
        </w:tc>
        <w:tc>
          <w:tcPr>
            <w:tcW w:w="1415" w:type="pct"/>
            <w:vMerge w:val="continue"/>
            <w:noWrap w:val="0"/>
            <w:vAlign w:val="center"/>
          </w:tcPr>
          <w:p w14:paraId="3478CA38">
            <w:pPr>
              <w:widowControl/>
              <w:spacing w:line="360" w:lineRule="auto"/>
              <w:jc w:val="left"/>
              <w:rPr>
                <w:rFonts w:ascii="宋体" w:hAnsi="宋体" w:cs="仿宋"/>
                <w:color w:val="000000"/>
                <w:kern w:val="0"/>
                <w:szCs w:val="21"/>
              </w:rPr>
            </w:pPr>
          </w:p>
        </w:tc>
        <w:tc>
          <w:tcPr>
            <w:tcW w:w="3210" w:type="pct"/>
            <w:noWrap w:val="0"/>
            <w:vAlign w:val="center"/>
          </w:tcPr>
          <w:p w14:paraId="442C2C9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三、体育考试模块</w:t>
            </w:r>
          </w:p>
          <w:p w14:paraId="586310DF">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1．支持应用于运动会、体育考试、体育中考等场景，自动检测项目测试成绩，智能识别违规动作，自动汇总体育考试成绩；</w:t>
            </w:r>
          </w:p>
        </w:tc>
      </w:tr>
      <w:tr w14:paraId="3A28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373" w:type="pct"/>
            <w:vMerge w:val="continue"/>
            <w:noWrap/>
            <w:vAlign w:val="center"/>
          </w:tcPr>
          <w:p w14:paraId="7716F590">
            <w:pPr>
              <w:widowControl/>
              <w:spacing w:line="360" w:lineRule="auto"/>
              <w:jc w:val="left"/>
              <w:rPr>
                <w:rFonts w:ascii="宋体" w:hAnsi="宋体" w:cs="仿宋"/>
                <w:color w:val="000000"/>
                <w:kern w:val="0"/>
                <w:szCs w:val="21"/>
              </w:rPr>
            </w:pPr>
          </w:p>
        </w:tc>
        <w:tc>
          <w:tcPr>
            <w:tcW w:w="1415" w:type="pct"/>
            <w:vMerge w:val="continue"/>
            <w:noWrap w:val="0"/>
            <w:vAlign w:val="center"/>
          </w:tcPr>
          <w:p w14:paraId="69A3B6C1">
            <w:pPr>
              <w:widowControl/>
              <w:spacing w:line="360" w:lineRule="auto"/>
              <w:jc w:val="left"/>
              <w:rPr>
                <w:rFonts w:ascii="宋体" w:hAnsi="宋体" w:cs="仿宋"/>
                <w:color w:val="000000"/>
                <w:kern w:val="0"/>
                <w:szCs w:val="21"/>
              </w:rPr>
            </w:pPr>
          </w:p>
        </w:tc>
        <w:tc>
          <w:tcPr>
            <w:tcW w:w="3210" w:type="pct"/>
            <w:noWrap w:val="0"/>
            <w:vAlign w:val="center"/>
          </w:tcPr>
          <w:p w14:paraId="2E372C3E">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2．考试中心支持通过人脸识别方式开启测试，最终记录考试成绩并匹配学生信息；</w:t>
            </w:r>
          </w:p>
        </w:tc>
      </w:tr>
      <w:tr w14:paraId="6283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73" w:type="pct"/>
            <w:vMerge w:val="continue"/>
            <w:noWrap/>
            <w:vAlign w:val="center"/>
          </w:tcPr>
          <w:p w14:paraId="014A5E54">
            <w:pPr>
              <w:widowControl/>
              <w:spacing w:line="360" w:lineRule="auto"/>
              <w:jc w:val="left"/>
              <w:rPr>
                <w:rFonts w:ascii="宋体" w:hAnsi="宋体" w:cs="仿宋"/>
                <w:color w:val="000000"/>
                <w:kern w:val="0"/>
                <w:szCs w:val="21"/>
              </w:rPr>
            </w:pPr>
          </w:p>
        </w:tc>
        <w:tc>
          <w:tcPr>
            <w:tcW w:w="1415" w:type="pct"/>
            <w:vMerge w:val="continue"/>
            <w:noWrap w:val="0"/>
            <w:vAlign w:val="center"/>
          </w:tcPr>
          <w:p w14:paraId="03B1E506">
            <w:pPr>
              <w:widowControl/>
              <w:spacing w:line="360" w:lineRule="auto"/>
              <w:jc w:val="left"/>
              <w:rPr>
                <w:rFonts w:ascii="宋体" w:hAnsi="宋体" w:cs="仿宋"/>
                <w:color w:val="000000"/>
                <w:kern w:val="0"/>
                <w:szCs w:val="21"/>
              </w:rPr>
            </w:pPr>
          </w:p>
        </w:tc>
        <w:tc>
          <w:tcPr>
            <w:tcW w:w="3210" w:type="pct"/>
            <w:noWrap w:val="0"/>
            <w:vAlign w:val="center"/>
          </w:tcPr>
          <w:p w14:paraId="5448002D">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3．支持查看测试项目成绩、分数、等级、姿态指标、肌群分析、运动点评及建议、视频回放、动作关键帧等内容，且支持生成定制化运动处方报告；</w:t>
            </w:r>
          </w:p>
        </w:tc>
      </w:tr>
      <w:tr w14:paraId="1D2E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73" w:type="pct"/>
            <w:vMerge w:val="continue"/>
            <w:noWrap/>
            <w:vAlign w:val="center"/>
          </w:tcPr>
          <w:p w14:paraId="692DDFD1">
            <w:pPr>
              <w:widowControl/>
              <w:spacing w:line="360" w:lineRule="auto"/>
              <w:jc w:val="left"/>
              <w:rPr>
                <w:rFonts w:ascii="宋体" w:hAnsi="宋体" w:cs="仿宋"/>
                <w:color w:val="000000"/>
                <w:kern w:val="0"/>
                <w:szCs w:val="21"/>
              </w:rPr>
            </w:pPr>
          </w:p>
        </w:tc>
        <w:tc>
          <w:tcPr>
            <w:tcW w:w="1415" w:type="pct"/>
            <w:vMerge w:val="continue"/>
            <w:noWrap w:val="0"/>
            <w:vAlign w:val="center"/>
          </w:tcPr>
          <w:p w14:paraId="35F99070">
            <w:pPr>
              <w:widowControl/>
              <w:spacing w:line="360" w:lineRule="auto"/>
              <w:jc w:val="left"/>
              <w:rPr>
                <w:rFonts w:ascii="宋体" w:hAnsi="宋体" w:cs="仿宋"/>
                <w:color w:val="000000"/>
                <w:kern w:val="0"/>
                <w:szCs w:val="21"/>
              </w:rPr>
            </w:pPr>
          </w:p>
        </w:tc>
        <w:tc>
          <w:tcPr>
            <w:tcW w:w="3210" w:type="pct"/>
            <w:noWrap w:val="0"/>
            <w:vAlign w:val="center"/>
          </w:tcPr>
          <w:p w14:paraId="78632503">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4．支持体育考试当前测试记录查看、测试项目进度查询、成绩管理表查询；</w:t>
            </w:r>
          </w:p>
        </w:tc>
      </w:tr>
      <w:tr w14:paraId="3544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73" w:type="pct"/>
            <w:vMerge w:val="continue"/>
            <w:noWrap/>
            <w:vAlign w:val="center"/>
          </w:tcPr>
          <w:p w14:paraId="4011D93B">
            <w:pPr>
              <w:widowControl/>
              <w:spacing w:line="360" w:lineRule="auto"/>
              <w:jc w:val="left"/>
              <w:rPr>
                <w:rFonts w:ascii="宋体" w:hAnsi="宋体"/>
                <w:szCs w:val="21"/>
              </w:rPr>
            </w:pPr>
          </w:p>
        </w:tc>
        <w:tc>
          <w:tcPr>
            <w:tcW w:w="1415" w:type="pct"/>
            <w:vMerge w:val="continue"/>
            <w:noWrap w:val="0"/>
            <w:vAlign w:val="center"/>
          </w:tcPr>
          <w:p w14:paraId="0616EF5B">
            <w:pPr>
              <w:widowControl/>
              <w:spacing w:line="360" w:lineRule="auto"/>
              <w:jc w:val="left"/>
              <w:rPr>
                <w:rFonts w:ascii="宋体" w:hAnsi="宋体"/>
                <w:szCs w:val="21"/>
              </w:rPr>
            </w:pPr>
          </w:p>
        </w:tc>
        <w:tc>
          <w:tcPr>
            <w:tcW w:w="3210" w:type="pct"/>
            <w:noWrap w:val="0"/>
            <w:vAlign w:val="center"/>
          </w:tcPr>
          <w:p w14:paraId="4AFB0B3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5．支持实时筛选并查看考试学生已考项目数，并可通过查看详情查看考试详情；</w:t>
            </w:r>
          </w:p>
        </w:tc>
      </w:tr>
      <w:tr w14:paraId="317D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373" w:type="pct"/>
            <w:vMerge w:val="continue"/>
            <w:noWrap/>
            <w:vAlign w:val="center"/>
          </w:tcPr>
          <w:p w14:paraId="724FDCD4">
            <w:pPr>
              <w:widowControl/>
              <w:spacing w:line="360" w:lineRule="auto"/>
              <w:jc w:val="left"/>
              <w:rPr>
                <w:rFonts w:ascii="宋体" w:hAnsi="宋体" w:cs="仿宋"/>
                <w:color w:val="000000"/>
                <w:kern w:val="0"/>
                <w:szCs w:val="21"/>
              </w:rPr>
            </w:pPr>
          </w:p>
        </w:tc>
        <w:tc>
          <w:tcPr>
            <w:tcW w:w="1415" w:type="pct"/>
            <w:vMerge w:val="continue"/>
            <w:noWrap w:val="0"/>
            <w:vAlign w:val="center"/>
          </w:tcPr>
          <w:p w14:paraId="64009EB8">
            <w:pPr>
              <w:widowControl/>
              <w:spacing w:line="360" w:lineRule="auto"/>
              <w:jc w:val="left"/>
              <w:rPr>
                <w:rFonts w:ascii="宋体" w:hAnsi="宋体" w:cs="仿宋"/>
                <w:color w:val="000000"/>
                <w:kern w:val="0"/>
                <w:szCs w:val="21"/>
              </w:rPr>
            </w:pPr>
          </w:p>
        </w:tc>
        <w:tc>
          <w:tcPr>
            <w:tcW w:w="3210" w:type="pct"/>
            <w:noWrap w:val="0"/>
            <w:vAlign w:val="center"/>
          </w:tcPr>
          <w:p w14:paraId="07E2F9E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6．支持自定义评分标准，体育考试成绩等级和评分根据自定义评分标准进行判定。</w:t>
            </w:r>
          </w:p>
        </w:tc>
      </w:tr>
      <w:tr w14:paraId="1725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373" w:type="pct"/>
            <w:vMerge w:val="continue"/>
            <w:noWrap/>
            <w:vAlign w:val="center"/>
          </w:tcPr>
          <w:p w14:paraId="62D925FA">
            <w:pPr>
              <w:widowControl/>
              <w:spacing w:line="360" w:lineRule="auto"/>
              <w:jc w:val="left"/>
              <w:rPr>
                <w:rFonts w:ascii="宋体" w:hAnsi="宋体" w:cs="仿宋"/>
                <w:color w:val="000000"/>
                <w:kern w:val="0"/>
                <w:szCs w:val="21"/>
              </w:rPr>
            </w:pPr>
          </w:p>
        </w:tc>
        <w:tc>
          <w:tcPr>
            <w:tcW w:w="1415" w:type="pct"/>
            <w:vMerge w:val="continue"/>
            <w:noWrap w:val="0"/>
            <w:vAlign w:val="center"/>
          </w:tcPr>
          <w:p w14:paraId="1914CC51">
            <w:pPr>
              <w:widowControl/>
              <w:spacing w:line="360" w:lineRule="auto"/>
              <w:jc w:val="left"/>
              <w:rPr>
                <w:rFonts w:ascii="宋体" w:hAnsi="宋体" w:cs="仿宋"/>
                <w:color w:val="000000"/>
                <w:kern w:val="0"/>
                <w:szCs w:val="21"/>
              </w:rPr>
            </w:pPr>
          </w:p>
        </w:tc>
        <w:tc>
          <w:tcPr>
            <w:tcW w:w="3210" w:type="pct"/>
            <w:noWrap w:val="0"/>
            <w:vAlign w:val="center"/>
          </w:tcPr>
          <w:p w14:paraId="6A115398">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四、国家体测模块</w:t>
            </w:r>
          </w:p>
          <w:p w14:paraId="1D04894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1.支持各阶段学校年度国家体测功能，实现各类运动项目数据自动采集、录入、整理、分析；</w:t>
            </w:r>
          </w:p>
        </w:tc>
      </w:tr>
      <w:tr w14:paraId="7AAE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73" w:type="pct"/>
            <w:vMerge w:val="continue"/>
            <w:noWrap/>
            <w:vAlign w:val="center"/>
          </w:tcPr>
          <w:p w14:paraId="0540E0C7">
            <w:pPr>
              <w:widowControl/>
              <w:spacing w:line="360" w:lineRule="auto"/>
              <w:jc w:val="left"/>
              <w:rPr>
                <w:rFonts w:ascii="宋体" w:hAnsi="宋体" w:cs="仿宋"/>
                <w:color w:val="000000"/>
                <w:kern w:val="0"/>
                <w:szCs w:val="21"/>
              </w:rPr>
            </w:pPr>
          </w:p>
        </w:tc>
        <w:tc>
          <w:tcPr>
            <w:tcW w:w="1415" w:type="pct"/>
            <w:vMerge w:val="continue"/>
            <w:noWrap w:val="0"/>
            <w:vAlign w:val="center"/>
          </w:tcPr>
          <w:p w14:paraId="61B6FB02">
            <w:pPr>
              <w:widowControl/>
              <w:spacing w:line="360" w:lineRule="auto"/>
              <w:jc w:val="left"/>
              <w:rPr>
                <w:rFonts w:ascii="宋体" w:hAnsi="宋体" w:cs="仿宋"/>
                <w:color w:val="000000"/>
                <w:kern w:val="0"/>
                <w:szCs w:val="21"/>
              </w:rPr>
            </w:pPr>
          </w:p>
        </w:tc>
        <w:tc>
          <w:tcPr>
            <w:tcW w:w="3210" w:type="pct"/>
            <w:noWrap w:val="0"/>
            <w:vAlign w:val="center"/>
          </w:tcPr>
          <w:p w14:paraId="1EF12D50">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2.支持当前测试进度查看，测试记录根据时间进行分类管理；</w:t>
            </w:r>
          </w:p>
        </w:tc>
      </w:tr>
      <w:tr w14:paraId="4ECA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73" w:type="pct"/>
            <w:vMerge w:val="continue"/>
            <w:noWrap/>
            <w:vAlign w:val="center"/>
          </w:tcPr>
          <w:p w14:paraId="0387D090">
            <w:pPr>
              <w:widowControl/>
              <w:spacing w:line="360" w:lineRule="auto"/>
              <w:jc w:val="left"/>
              <w:rPr>
                <w:rFonts w:ascii="宋体" w:hAnsi="宋体" w:cs="仿宋"/>
                <w:color w:val="000000"/>
                <w:kern w:val="0"/>
                <w:szCs w:val="21"/>
              </w:rPr>
            </w:pPr>
          </w:p>
        </w:tc>
        <w:tc>
          <w:tcPr>
            <w:tcW w:w="1415" w:type="pct"/>
            <w:vMerge w:val="continue"/>
            <w:noWrap w:val="0"/>
            <w:vAlign w:val="center"/>
          </w:tcPr>
          <w:p w14:paraId="2021C451">
            <w:pPr>
              <w:widowControl/>
              <w:spacing w:line="360" w:lineRule="auto"/>
              <w:jc w:val="left"/>
              <w:rPr>
                <w:rFonts w:ascii="宋体" w:hAnsi="宋体" w:cs="仿宋"/>
                <w:color w:val="000000"/>
                <w:kern w:val="0"/>
                <w:szCs w:val="21"/>
              </w:rPr>
            </w:pPr>
          </w:p>
        </w:tc>
        <w:tc>
          <w:tcPr>
            <w:tcW w:w="3210" w:type="pct"/>
            <w:noWrap w:val="0"/>
            <w:vAlign w:val="center"/>
          </w:tcPr>
          <w:p w14:paraId="42D41CC2">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3.支持下载上报成绩表格模板，且表格模板符合国家体测平台标准；</w:t>
            </w:r>
          </w:p>
        </w:tc>
      </w:tr>
      <w:tr w14:paraId="149D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3" w:type="pct"/>
            <w:vMerge w:val="continue"/>
            <w:noWrap/>
            <w:vAlign w:val="center"/>
          </w:tcPr>
          <w:p w14:paraId="73DB5FF5">
            <w:pPr>
              <w:widowControl/>
              <w:spacing w:line="360" w:lineRule="auto"/>
              <w:jc w:val="left"/>
              <w:rPr>
                <w:rFonts w:ascii="宋体" w:hAnsi="宋体" w:cs="仿宋"/>
                <w:color w:val="000000"/>
                <w:kern w:val="0"/>
                <w:szCs w:val="21"/>
              </w:rPr>
            </w:pPr>
          </w:p>
        </w:tc>
        <w:tc>
          <w:tcPr>
            <w:tcW w:w="1415" w:type="pct"/>
            <w:vMerge w:val="continue"/>
            <w:noWrap w:val="0"/>
            <w:vAlign w:val="center"/>
          </w:tcPr>
          <w:p w14:paraId="10368775">
            <w:pPr>
              <w:widowControl/>
              <w:spacing w:line="360" w:lineRule="auto"/>
              <w:jc w:val="left"/>
              <w:rPr>
                <w:rFonts w:ascii="宋体" w:hAnsi="宋体" w:cs="仿宋"/>
                <w:color w:val="000000"/>
                <w:kern w:val="0"/>
                <w:szCs w:val="21"/>
              </w:rPr>
            </w:pPr>
          </w:p>
        </w:tc>
        <w:tc>
          <w:tcPr>
            <w:tcW w:w="3210" w:type="pct"/>
            <w:noWrap w:val="0"/>
            <w:vAlign w:val="center"/>
          </w:tcPr>
          <w:p w14:paraId="08E96466">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4.体测成绩实时更新汇总，并支持一键下载体测分析表格；</w:t>
            </w:r>
          </w:p>
        </w:tc>
      </w:tr>
      <w:tr w14:paraId="5B62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73" w:type="pct"/>
            <w:vMerge w:val="continue"/>
            <w:noWrap/>
            <w:vAlign w:val="center"/>
          </w:tcPr>
          <w:p w14:paraId="3C01C913">
            <w:pPr>
              <w:widowControl/>
              <w:spacing w:line="360" w:lineRule="auto"/>
              <w:jc w:val="left"/>
              <w:rPr>
                <w:rFonts w:ascii="宋体" w:hAnsi="宋体" w:cs="仿宋"/>
                <w:color w:val="000000"/>
                <w:kern w:val="0"/>
                <w:szCs w:val="21"/>
              </w:rPr>
            </w:pPr>
          </w:p>
        </w:tc>
        <w:tc>
          <w:tcPr>
            <w:tcW w:w="1415" w:type="pct"/>
            <w:vMerge w:val="continue"/>
            <w:noWrap w:val="0"/>
            <w:vAlign w:val="center"/>
          </w:tcPr>
          <w:p w14:paraId="57072DFC">
            <w:pPr>
              <w:widowControl/>
              <w:spacing w:line="360" w:lineRule="auto"/>
              <w:jc w:val="left"/>
              <w:rPr>
                <w:rFonts w:ascii="宋体" w:hAnsi="宋体" w:cs="仿宋"/>
                <w:color w:val="000000"/>
                <w:kern w:val="0"/>
                <w:szCs w:val="21"/>
              </w:rPr>
            </w:pPr>
          </w:p>
        </w:tc>
        <w:tc>
          <w:tcPr>
            <w:tcW w:w="3210" w:type="pct"/>
            <w:noWrap w:val="0"/>
            <w:vAlign w:val="center"/>
          </w:tcPr>
          <w:p w14:paraId="10E284BB">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5.支持测试成绩即时更新汇总，支持体测成绩综合分析，可从年级、班级、项目类型等维度分析当前的及格率、良好率、优秀率等数据情况；</w:t>
            </w:r>
          </w:p>
        </w:tc>
      </w:tr>
      <w:tr w14:paraId="1A67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73" w:type="pct"/>
            <w:vMerge w:val="continue"/>
            <w:noWrap/>
            <w:vAlign w:val="center"/>
          </w:tcPr>
          <w:p w14:paraId="1306E6EA">
            <w:pPr>
              <w:widowControl/>
              <w:spacing w:line="360" w:lineRule="auto"/>
              <w:jc w:val="left"/>
              <w:rPr>
                <w:rFonts w:ascii="宋体" w:hAnsi="宋体" w:cs="仿宋"/>
                <w:color w:val="000000"/>
                <w:kern w:val="0"/>
                <w:szCs w:val="21"/>
              </w:rPr>
            </w:pPr>
          </w:p>
        </w:tc>
        <w:tc>
          <w:tcPr>
            <w:tcW w:w="1415" w:type="pct"/>
            <w:vMerge w:val="continue"/>
            <w:noWrap w:val="0"/>
            <w:vAlign w:val="center"/>
          </w:tcPr>
          <w:p w14:paraId="2D08EA98">
            <w:pPr>
              <w:widowControl/>
              <w:spacing w:line="360" w:lineRule="auto"/>
              <w:jc w:val="left"/>
              <w:rPr>
                <w:rFonts w:ascii="宋体" w:hAnsi="宋体" w:cs="仿宋"/>
                <w:color w:val="000000"/>
                <w:kern w:val="0"/>
                <w:szCs w:val="21"/>
              </w:rPr>
            </w:pPr>
          </w:p>
        </w:tc>
        <w:tc>
          <w:tcPr>
            <w:tcW w:w="3210" w:type="pct"/>
            <w:noWrap w:val="0"/>
            <w:vAlign w:val="center"/>
          </w:tcPr>
          <w:p w14:paraId="5A519B1F">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6.支持所有体测成绩评分以《国家体质健康测试标准》进行评定。</w:t>
            </w:r>
          </w:p>
        </w:tc>
      </w:tr>
      <w:tr w14:paraId="1099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73" w:type="pct"/>
            <w:vMerge w:val="continue"/>
            <w:noWrap/>
            <w:vAlign w:val="center"/>
          </w:tcPr>
          <w:p w14:paraId="62D1908A">
            <w:pPr>
              <w:widowControl/>
              <w:spacing w:line="360" w:lineRule="auto"/>
              <w:jc w:val="left"/>
              <w:rPr>
                <w:rFonts w:ascii="宋体" w:hAnsi="宋体" w:cs="仿宋"/>
                <w:color w:val="000000"/>
                <w:kern w:val="0"/>
                <w:szCs w:val="21"/>
              </w:rPr>
            </w:pPr>
          </w:p>
        </w:tc>
        <w:tc>
          <w:tcPr>
            <w:tcW w:w="1415" w:type="pct"/>
            <w:vMerge w:val="continue"/>
            <w:noWrap w:val="0"/>
            <w:vAlign w:val="center"/>
          </w:tcPr>
          <w:p w14:paraId="26224C64">
            <w:pPr>
              <w:widowControl/>
              <w:spacing w:line="360" w:lineRule="auto"/>
              <w:jc w:val="left"/>
              <w:rPr>
                <w:rFonts w:ascii="宋体" w:hAnsi="宋体" w:cs="仿宋"/>
                <w:color w:val="000000"/>
                <w:kern w:val="0"/>
                <w:szCs w:val="21"/>
              </w:rPr>
            </w:pPr>
          </w:p>
        </w:tc>
        <w:tc>
          <w:tcPr>
            <w:tcW w:w="3210" w:type="pct"/>
            <w:noWrap w:val="0"/>
            <w:vAlign w:val="center"/>
          </w:tcPr>
          <w:p w14:paraId="10F7E36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五、自由练习模块</w:t>
            </w:r>
          </w:p>
          <w:p w14:paraId="02D037FA">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1.支持应用于课后学生自主练习场景，无需老师介入指导，学生通过人脸识别或者特定手势自助触发项目测试功能，可实时获取成绩反馈；</w:t>
            </w:r>
          </w:p>
        </w:tc>
      </w:tr>
      <w:tr w14:paraId="79A7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73" w:type="pct"/>
            <w:vMerge w:val="continue"/>
            <w:noWrap/>
            <w:vAlign w:val="center"/>
          </w:tcPr>
          <w:p w14:paraId="53A7E268">
            <w:pPr>
              <w:widowControl/>
              <w:spacing w:line="360" w:lineRule="auto"/>
              <w:jc w:val="left"/>
              <w:rPr>
                <w:rFonts w:ascii="宋体" w:hAnsi="宋体" w:cs="仿宋"/>
                <w:color w:val="000000"/>
                <w:kern w:val="0"/>
                <w:szCs w:val="21"/>
              </w:rPr>
            </w:pPr>
          </w:p>
        </w:tc>
        <w:tc>
          <w:tcPr>
            <w:tcW w:w="1415" w:type="pct"/>
            <w:vMerge w:val="continue"/>
            <w:noWrap w:val="0"/>
            <w:vAlign w:val="center"/>
          </w:tcPr>
          <w:p w14:paraId="42680141">
            <w:pPr>
              <w:widowControl/>
              <w:spacing w:line="360" w:lineRule="auto"/>
              <w:jc w:val="left"/>
              <w:rPr>
                <w:rFonts w:ascii="宋体" w:hAnsi="宋体" w:cs="仿宋"/>
                <w:color w:val="000000"/>
                <w:kern w:val="0"/>
                <w:szCs w:val="21"/>
              </w:rPr>
            </w:pPr>
          </w:p>
        </w:tc>
        <w:tc>
          <w:tcPr>
            <w:tcW w:w="3210" w:type="pct"/>
            <w:noWrap w:val="0"/>
            <w:vAlign w:val="center"/>
          </w:tcPr>
          <w:p w14:paraId="165E454E">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2.支持老师在一个操作终端远程一键开启、一键关闭所有自由练习项目；</w:t>
            </w:r>
          </w:p>
        </w:tc>
      </w:tr>
      <w:tr w14:paraId="3853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73" w:type="pct"/>
            <w:vMerge w:val="continue"/>
            <w:noWrap/>
            <w:vAlign w:val="center"/>
          </w:tcPr>
          <w:p w14:paraId="14D232B4">
            <w:pPr>
              <w:widowControl/>
              <w:spacing w:line="360" w:lineRule="auto"/>
              <w:jc w:val="left"/>
              <w:rPr>
                <w:rFonts w:ascii="宋体" w:hAnsi="宋体" w:cs="仿宋"/>
                <w:color w:val="000000"/>
                <w:kern w:val="0"/>
                <w:szCs w:val="21"/>
              </w:rPr>
            </w:pPr>
          </w:p>
        </w:tc>
        <w:tc>
          <w:tcPr>
            <w:tcW w:w="1415" w:type="pct"/>
            <w:vMerge w:val="continue"/>
            <w:noWrap w:val="0"/>
            <w:vAlign w:val="center"/>
          </w:tcPr>
          <w:p w14:paraId="7859D73E">
            <w:pPr>
              <w:widowControl/>
              <w:spacing w:line="360" w:lineRule="auto"/>
              <w:jc w:val="left"/>
              <w:rPr>
                <w:rFonts w:ascii="宋体" w:hAnsi="宋体" w:cs="仿宋"/>
                <w:color w:val="000000"/>
                <w:kern w:val="0"/>
                <w:szCs w:val="21"/>
              </w:rPr>
            </w:pPr>
          </w:p>
        </w:tc>
        <w:tc>
          <w:tcPr>
            <w:tcW w:w="3210" w:type="pct"/>
            <w:noWrap w:val="0"/>
            <w:vAlign w:val="center"/>
          </w:tcPr>
          <w:p w14:paraId="20194488">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3.支持学生在自由练习项目开启的任意时间段进行练习；</w:t>
            </w:r>
          </w:p>
        </w:tc>
      </w:tr>
      <w:tr w14:paraId="4F9E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373" w:type="pct"/>
            <w:vMerge w:val="continue"/>
            <w:noWrap/>
            <w:vAlign w:val="center"/>
          </w:tcPr>
          <w:p w14:paraId="1F1348B1">
            <w:pPr>
              <w:widowControl/>
              <w:spacing w:line="360" w:lineRule="auto"/>
              <w:jc w:val="left"/>
              <w:rPr>
                <w:rFonts w:ascii="宋体" w:hAnsi="宋体" w:cs="仿宋"/>
                <w:color w:val="000000"/>
                <w:kern w:val="0"/>
                <w:szCs w:val="21"/>
              </w:rPr>
            </w:pPr>
          </w:p>
        </w:tc>
        <w:tc>
          <w:tcPr>
            <w:tcW w:w="1415" w:type="pct"/>
            <w:vMerge w:val="continue"/>
            <w:noWrap w:val="0"/>
            <w:vAlign w:val="center"/>
          </w:tcPr>
          <w:p w14:paraId="5EFC436B">
            <w:pPr>
              <w:widowControl/>
              <w:spacing w:line="360" w:lineRule="auto"/>
              <w:jc w:val="left"/>
              <w:rPr>
                <w:rFonts w:ascii="宋体" w:hAnsi="宋体" w:cs="仿宋"/>
                <w:color w:val="000000"/>
                <w:kern w:val="0"/>
                <w:szCs w:val="21"/>
              </w:rPr>
            </w:pPr>
          </w:p>
        </w:tc>
        <w:tc>
          <w:tcPr>
            <w:tcW w:w="3210" w:type="pct"/>
            <w:noWrap w:val="0"/>
            <w:vAlign w:val="center"/>
          </w:tcPr>
          <w:p w14:paraId="2EF7DBAF">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4.支持无需操作任何设备的人脸识别方式，测试学生举手向摄像头示意即可刷脸匹配学生信息，自助、无感开启测试任务，测试成绩可实时播报，并记录测试成绩；</w:t>
            </w:r>
          </w:p>
        </w:tc>
      </w:tr>
      <w:tr w14:paraId="6D88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373" w:type="pct"/>
            <w:vMerge w:val="continue"/>
            <w:noWrap/>
            <w:vAlign w:val="center"/>
          </w:tcPr>
          <w:p w14:paraId="11B91EAC">
            <w:pPr>
              <w:widowControl/>
              <w:spacing w:line="360" w:lineRule="auto"/>
              <w:jc w:val="left"/>
              <w:rPr>
                <w:rFonts w:ascii="宋体" w:hAnsi="宋体" w:cs="仿宋"/>
                <w:color w:val="000000"/>
                <w:kern w:val="0"/>
                <w:szCs w:val="21"/>
              </w:rPr>
            </w:pPr>
          </w:p>
        </w:tc>
        <w:tc>
          <w:tcPr>
            <w:tcW w:w="1415" w:type="pct"/>
            <w:vMerge w:val="continue"/>
            <w:noWrap w:val="0"/>
            <w:vAlign w:val="center"/>
          </w:tcPr>
          <w:p w14:paraId="4224C941">
            <w:pPr>
              <w:widowControl/>
              <w:spacing w:line="360" w:lineRule="auto"/>
              <w:jc w:val="left"/>
              <w:rPr>
                <w:rFonts w:ascii="宋体" w:hAnsi="宋体" w:cs="仿宋"/>
                <w:color w:val="000000"/>
                <w:kern w:val="0"/>
                <w:szCs w:val="21"/>
              </w:rPr>
            </w:pPr>
          </w:p>
        </w:tc>
        <w:tc>
          <w:tcPr>
            <w:tcW w:w="3210" w:type="pct"/>
            <w:noWrap w:val="0"/>
            <w:vAlign w:val="center"/>
          </w:tcPr>
          <w:p w14:paraId="7A17C8C1">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5.支持无需操作任何设备开展自由练习，站在测试区域即可触发测试任务；支持实时语音反馈；</w:t>
            </w:r>
          </w:p>
        </w:tc>
      </w:tr>
      <w:tr w14:paraId="1D2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373" w:type="pct"/>
            <w:vMerge w:val="continue"/>
            <w:noWrap/>
            <w:vAlign w:val="center"/>
          </w:tcPr>
          <w:p w14:paraId="64F55274">
            <w:pPr>
              <w:widowControl/>
              <w:spacing w:line="360" w:lineRule="auto"/>
              <w:jc w:val="left"/>
              <w:rPr>
                <w:rFonts w:ascii="宋体" w:hAnsi="宋体" w:cs="仿宋"/>
                <w:color w:val="000000"/>
                <w:kern w:val="0"/>
                <w:szCs w:val="21"/>
              </w:rPr>
            </w:pPr>
          </w:p>
        </w:tc>
        <w:tc>
          <w:tcPr>
            <w:tcW w:w="1415" w:type="pct"/>
            <w:vMerge w:val="continue"/>
            <w:noWrap w:val="0"/>
            <w:vAlign w:val="center"/>
          </w:tcPr>
          <w:p w14:paraId="4CE603E1">
            <w:pPr>
              <w:widowControl/>
              <w:spacing w:line="360" w:lineRule="auto"/>
              <w:jc w:val="left"/>
              <w:rPr>
                <w:rFonts w:ascii="宋体" w:hAnsi="宋体" w:cs="仿宋"/>
                <w:color w:val="000000"/>
                <w:kern w:val="0"/>
                <w:szCs w:val="21"/>
              </w:rPr>
            </w:pPr>
          </w:p>
        </w:tc>
        <w:tc>
          <w:tcPr>
            <w:tcW w:w="3210" w:type="pct"/>
            <w:noWrap w:val="0"/>
            <w:vAlign w:val="center"/>
          </w:tcPr>
          <w:p w14:paraId="1C26DA33">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6.支持各项目使用量统计，进行可视化分析；支持分析图下载。</w:t>
            </w:r>
          </w:p>
        </w:tc>
      </w:tr>
      <w:tr w14:paraId="7E7E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restart"/>
            <w:noWrap/>
            <w:vAlign w:val="center"/>
          </w:tcPr>
          <w:p w14:paraId="3D0E8E1E">
            <w:pPr>
              <w:widowControl/>
              <w:numPr>
                <w:ilvl w:val="0"/>
                <w:numId w:val="3"/>
              </w:numPr>
              <w:jc w:val="center"/>
              <w:textAlignment w:val="center"/>
              <w:rPr>
                <w:rFonts w:ascii="宋体" w:hAnsi="宋体" w:cs="仿宋"/>
                <w:color w:val="000000"/>
                <w:szCs w:val="21"/>
              </w:rPr>
            </w:pPr>
          </w:p>
        </w:tc>
        <w:tc>
          <w:tcPr>
            <w:tcW w:w="1415" w:type="pct"/>
            <w:vMerge w:val="restart"/>
            <w:noWrap w:val="0"/>
            <w:vAlign w:val="center"/>
          </w:tcPr>
          <w:p w14:paraId="09BA1F26">
            <w:pPr>
              <w:widowControl/>
              <w:jc w:val="center"/>
              <w:textAlignment w:val="center"/>
              <w:rPr>
                <w:rFonts w:ascii="宋体" w:hAnsi="宋体" w:cs="仿宋"/>
                <w:color w:val="000000"/>
                <w:szCs w:val="21"/>
              </w:rPr>
            </w:pPr>
            <w:r>
              <w:rPr>
                <w:rFonts w:hint="eastAsia" w:ascii="宋体" w:hAnsi="宋体" w:cs="仿宋"/>
                <w:color w:val="000000"/>
                <w:kern w:val="0"/>
                <w:szCs w:val="21"/>
              </w:rPr>
              <w:t>智慧体育校级数据平台</w:t>
            </w:r>
          </w:p>
        </w:tc>
        <w:tc>
          <w:tcPr>
            <w:tcW w:w="3210" w:type="pct"/>
            <w:noWrap w:val="0"/>
            <w:vAlign w:val="center"/>
          </w:tcPr>
          <w:p w14:paraId="305916EF">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一、基础信息管理</w:t>
            </w:r>
          </w:p>
          <w:p w14:paraId="4EC8DBBE">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1.支持智慧体育数据多级管理及分析，具备学生校级体育数据总览、运动数据管理、国家体测管理、体育课基础数据管理、体育考试管理、教学管理模块；</w:t>
            </w:r>
          </w:p>
        </w:tc>
      </w:tr>
      <w:tr w14:paraId="75EE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3" w:type="pct"/>
            <w:vMerge w:val="continue"/>
            <w:noWrap/>
            <w:vAlign w:val="center"/>
          </w:tcPr>
          <w:p w14:paraId="1FFFD028">
            <w:pPr>
              <w:widowControl/>
              <w:spacing w:line="360" w:lineRule="auto"/>
              <w:jc w:val="left"/>
              <w:rPr>
                <w:rFonts w:ascii="宋体" w:hAnsi="宋体" w:cs="仿宋"/>
                <w:color w:val="000000"/>
                <w:kern w:val="0"/>
                <w:szCs w:val="21"/>
              </w:rPr>
            </w:pPr>
          </w:p>
        </w:tc>
        <w:tc>
          <w:tcPr>
            <w:tcW w:w="1415" w:type="pct"/>
            <w:vMerge w:val="continue"/>
            <w:noWrap w:val="0"/>
            <w:vAlign w:val="center"/>
          </w:tcPr>
          <w:p w14:paraId="24C9C38B">
            <w:pPr>
              <w:widowControl/>
              <w:spacing w:line="360" w:lineRule="auto"/>
              <w:jc w:val="left"/>
              <w:rPr>
                <w:rFonts w:ascii="宋体" w:hAnsi="宋体" w:cs="仿宋"/>
                <w:color w:val="000000"/>
                <w:kern w:val="0"/>
                <w:szCs w:val="21"/>
              </w:rPr>
            </w:pPr>
          </w:p>
        </w:tc>
        <w:tc>
          <w:tcPr>
            <w:tcW w:w="3210" w:type="pct"/>
            <w:noWrap w:val="0"/>
            <w:vAlign w:val="center"/>
          </w:tcPr>
          <w:p w14:paraId="14FF0E5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2.支持切换学期查看各类学生数据；</w:t>
            </w:r>
          </w:p>
        </w:tc>
      </w:tr>
      <w:tr w14:paraId="2179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3" w:type="pct"/>
            <w:vMerge w:val="continue"/>
            <w:noWrap/>
            <w:vAlign w:val="center"/>
          </w:tcPr>
          <w:p w14:paraId="4FA4CF2B">
            <w:pPr>
              <w:widowControl/>
              <w:spacing w:line="360" w:lineRule="auto"/>
              <w:jc w:val="left"/>
              <w:rPr>
                <w:rFonts w:ascii="宋体" w:hAnsi="宋体" w:cs="仿宋"/>
                <w:color w:val="000000"/>
                <w:kern w:val="0"/>
                <w:szCs w:val="21"/>
              </w:rPr>
            </w:pPr>
          </w:p>
        </w:tc>
        <w:tc>
          <w:tcPr>
            <w:tcW w:w="1415" w:type="pct"/>
            <w:vMerge w:val="continue"/>
            <w:noWrap w:val="0"/>
            <w:vAlign w:val="center"/>
          </w:tcPr>
          <w:p w14:paraId="429A93E8">
            <w:pPr>
              <w:widowControl/>
              <w:spacing w:line="360" w:lineRule="auto"/>
              <w:jc w:val="left"/>
              <w:rPr>
                <w:rFonts w:ascii="宋体" w:hAnsi="宋体" w:cs="仿宋"/>
                <w:color w:val="000000"/>
                <w:kern w:val="0"/>
                <w:szCs w:val="21"/>
              </w:rPr>
            </w:pPr>
          </w:p>
        </w:tc>
        <w:tc>
          <w:tcPr>
            <w:tcW w:w="3210" w:type="pct"/>
            <w:noWrap w:val="0"/>
            <w:vAlign w:val="center"/>
          </w:tcPr>
          <w:p w14:paraId="7DD50BF7">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3.支持多级账号登录管理，分级查看体育数据信息，实现精准数据管理；</w:t>
            </w:r>
          </w:p>
        </w:tc>
      </w:tr>
      <w:tr w14:paraId="51A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3" w:type="pct"/>
            <w:vMerge w:val="continue"/>
            <w:noWrap/>
            <w:vAlign w:val="center"/>
          </w:tcPr>
          <w:p w14:paraId="467E7BFD">
            <w:pPr>
              <w:widowControl/>
              <w:spacing w:line="360" w:lineRule="auto"/>
              <w:jc w:val="left"/>
              <w:rPr>
                <w:rFonts w:ascii="宋体" w:hAnsi="宋体" w:cs="仿宋"/>
                <w:color w:val="000000"/>
                <w:kern w:val="0"/>
                <w:szCs w:val="21"/>
              </w:rPr>
            </w:pPr>
          </w:p>
        </w:tc>
        <w:tc>
          <w:tcPr>
            <w:tcW w:w="1415" w:type="pct"/>
            <w:vMerge w:val="continue"/>
            <w:noWrap w:val="0"/>
            <w:vAlign w:val="center"/>
          </w:tcPr>
          <w:p w14:paraId="09B530B2">
            <w:pPr>
              <w:widowControl/>
              <w:spacing w:line="360" w:lineRule="auto"/>
              <w:jc w:val="left"/>
              <w:rPr>
                <w:rFonts w:ascii="宋体" w:hAnsi="宋体" w:cs="仿宋"/>
                <w:color w:val="000000"/>
                <w:kern w:val="0"/>
                <w:szCs w:val="21"/>
              </w:rPr>
            </w:pPr>
          </w:p>
        </w:tc>
        <w:tc>
          <w:tcPr>
            <w:tcW w:w="3210" w:type="pct"/>
            <w:noWrap w:val="0"/>
            <w:vAlign w:val="center"/>
          </w:tcPr>
          <w:p w14:paraId="5A2AA164">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4.支持帐号登陆后保留操作留痕日志记录，可查看追溯，避免帐号泄露导致的数据丢失、数据篡改等数据安全问题；</w:t>
            </w:r>
          </w:p>
        </w:tc>
      </w:tr>
      <w:tr w14:paraId="52BC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3" w:type="pct"/>
            <w:vMerge w:val="continue"/>
            <w:noWrap/>
            <w:vAlign w:val="center"/>
          </w:tcPr>
          <w:p w14:paraId="772031AA">
            <w:pPr>
              <w:widowControl/>
              <w:spacing w:line="360" w:lineRule="auto"/>
              <w:jc w:val="left"/>
              <w:rPr>
                <w:rFonts w:ascii="宋体" w:hAnsi="宋体" w:cs="仿宋"/>
                <w:color w:val="000000"/>
                <w:kern w:val="0"/>
                <w:szCs w:val="21"/>
              </w:rPr>
            </w:pPr>
          </w:p>
        </w:tc>
        <w:tc>
          <w:tcPr>
            <w:tcW w:w="1415" w:type="pct"/>
            <w:vMerge w:val="continue"/>
            <w:noWrap w:val="0"/>
            <w:vAlign w:val="center"/>
          </w:tcPr>
          <w:p w14:paraId="30C97947">
            <w:pPr>
              <w:widowControl/>
              <w:spacing w:line="360" w:lineRule="auto"/>
              <w:jc w:val="left"/>
              <w:rPr>
                <w:rFonts w:ascii="宋体" w:hAnsi="宋体" w:cs="仿宋"/>
                <w:color w:val="000000"/>
                <w:kern w:val="0"/>
                <w:szCs w:val="21"/>
              </w:rPr>
            </w:pPr>
          </w:p>
        </w:tc>
        <w:tc>
          <w:tcPr>
            <w:tcW w:w="3210" w:type="pct"/>
            <w:noWrap w:val="0"/>
            <w:vAlign w:val="center"/>
          </w:tcPr>
          <w:p w14:paraId="7D1E5743">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5.支持提供标准数据接口，可与外部系统进行基础数据对接；</w:t>
            </w:r>
          </w:p>
        </w:tc>
      </w:tr>
      <w:tr w14:paraId="4AD5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3" w:type="pct"/>
            <w:vMerge w:val="continue"/>
            <w:noWrap/>
            <w:vAlign w:val="center"/>
          </w:tcPr>
          <w:p w14:paraId="6978C3AF">
            <w:pPr>
              <w:widowControl/>
              <w:spacing w:line="360" w:lineRule="auto"/>
              <w:jc w:val="left"/>
              <w:rPr>
                <w:rFonts w:ascii="宋体" w:hAnsi="宋体" w:cs="仿宋"/>
                <w:color w:val="000000"/>
                <w:kern w:val="0"/>
                <w:szCs w:val="21"/>
              </w:rPr>
            </w:pPr>
          </w:p>
        </w:tc>
        <w:tc>
          <w:tcPr>
            <w:tcW w:w="1415" w:type="pct"/>
            <w:vMerge w:val="continue"/>
            <w:noWrap w:val="0"/>
            <w:vAlign w:val="center"/>
          </w:tcPr>
          <w:p w14:paraId="422A3C21">
            <w:pPr>
              <w:widowControl/>
              <w:spacing w:line="360" w:lineRule="auto"/>
              <w:jc w:val="left"/>
              <w:rPr>
                <w:rFonts w:ascii="宋体" w:hAnsi="宋体" w:cs="仿宋"/>
                <w:color w:val="000000"/>
                <w:kern w:val="0"/>
                <w:szCs w:val="21"/>
              </w:rPr>
            </w:pPr>
          </w:p>
        </w:tc>
        <w:tc>
          <w:tcPr>
            <w:tcW w:w="3210" w:type="pct"/>
            <w:noWrap w:val="0"/>
            <w:vAlign w:val="center"/>
          </w:tcPr>
          <w:p w14:paraId="3193A51D">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6.支持权限控制和实时监控以及可靠的备份和恢复机制等，确保数据的完整性和可用性；</w:t>
            </w:r>
          </w:p>
        </w:tc>
      </w:tr>
      <w:tr w14:paraId="4625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3" w:type="pct"/>
            <w:vMerge w:val="continue"/>
            <w:noWrap/>
            <w:vAlign w:val="center"/>
          </w:tcPr>
          <w:p w14:paraId="2363D043">
            <w:pPr>
              <w:widowControl/>
              <w:spacing w:line="360" w:lineRule="auto"/>
              <w:jc w:val="left"/>
              <w:rPr>
                <w:rFonts w:ascii="宋体" w:hAnsi="宋体" w:cs="仿宋"/>
                <w:color w:val="000000"/>
                <w:kern w:val="0"/>
                <w:szCs w:val="21"/>
              </w:rPr>
            </w:pPr>
          </w:p>
        </w:tc>
        <w:tc>
          <w:tcPr>
            <w:tcW w:w="1415" w:type="pct"/>
            <w:vMerge w:val="continue"/>
            <w:noWrap w:val="0"/>
            <w:vAlign w:val="center"/>
          </w:tcPr>
          <w:p w14:paraId="67F389F9">
            <w:pPr>
              <w:widowControl/>
              <w:spacing w:line="360" w:lineRule="auto"/>
              <w:jc w:val="left"/>
              <w:rPr>
                <w:rFonts w:ascii="宋体" w:hAnsi="宋体" w:cs="仿宋"/>
                <w:color w:val="000000"/>
                <w:kern w:val="0"/>
                <w:szCs w:val="21"/>
              </w:rPr>
            </w:pPr>
          </w:p>
        </w:tc>
        <w:tc>
          <w:tcPr>
            <w:tcW w:w="3210" w:type="pct"/>
            <w:noWrap w:val="0"/>
            <w:vAlign w:val="center"/>
          </w:tcPr>
          <w:p w14:paraId="3F56E967">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7.支持通过身份验证、权限控制和实时监测等多层次的安全保障措施，以保护用户的隐私和数据安全。</w:t>
            </w:r>
          </w:p>
        </w:tc>
      </w:tr>
      <w:tr w14:paraId="3CF9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373" w:type="pct"/>
            <w:vMerge w:val="continue"/>
            <w:noWrap/>
            <w:vAlign w:val="center"/>
          </w:tcPr>
          <w:p w14:paraId="25FC02BA">
            <w:pPr>
              <w:widowControl/>
              <w:spacing w:line="360" w:lineRule="auto"/>
              <w:jc w:val="left"/>
              <w:rPr>
                <w:rFonts w:ascii="宋体" w:hAnsi="宋体" w:cs="仿宋"/>
                <w:color w:val="000000"/>
                <w:kern w:val="0"/>
                <w:szCs w:val="21"/>
              </w:rPr>
            </w:pPr>
          </w:p>
        </w:tc>
        <w:tc>
          <w:tcPr>
            <w:tcW w:w="1415" w:type="pct"/>
            <w:vMerge w:val="continue"/>
            <w:noWrap w:val="0"/>
            <w:vAlign w:val="center"/>
          </w:tcPr>
          <w:p w14:paraId="78719F31">
            <w:pPr>
              <w:widowControl/>
              <w:spacing w:line="360" w:lineRule="auto"/>
              <w:jc w:val="left"/>
              <w:rPr>
                <w:rFonts w:ascii="宋体" w:hAnsi="宋体" w:cs="仿宋"/>
                <w:color w:val="000000"/>
                <w:kern w:val="0"/>
                <w:szCs w:val="21"/>
              </w:rPr>
            </w:pPr>
          </w:p>
        </w:tc>
        <w:tc>
          <w:tcPr>
            <w:tcW w:w="3210" w:type="pct"/>
            <w:noWrap w:val="0"/>
            <w:vAlign w:val="center"/>
          </w:tcPr>
          <w:p w14:paraId="506D8F5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二、校级体育数据总览</w:t>
            </w:r>
          </w:p>
          <w:p w14:paraId="1B37E15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1.支持智慧体育数字大脑数据一览，覆盖全校运动项目、全校全年级学生日常的所有运动数据统计，并对数据进行多维度分析与综合展示；</w:t>
            </w:r>
          </w:p>
        </w:tc>
      </w:tr>
      <w:tr w14:paraId="4E17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3" w:type="pct"/>
            <w:vMerge w:val="continue"/>
            <w:noWrap/>
            <w:vAlign w:val="center"/>
          </w:tcPr>
          <w:p w14:paraId="6D464A46">
            <w:pPr>
              <w:widowControl/>
              <w:spacing w:line="360" w:lineRule="auto"/>
              <w:jc w:val="left"/>
              <w:rPr>
                <w:rFonts w:ascii="宋体" w:hAnsi="宋体" w:cs="仿宋"/>
                <w:color w:val="000000"/>
                <w:kern w:val="0"/>
                <w:szCs w:val="21"/>
              </w:rPr>
            </w:pPr>
          </w:p>
        </w:tc>
        <w:tc>
          <w:tcPr>
            <w:tcW w:w="1415" w:type="pct"/>
            <w:vMerge w:val="continue"/>
            <w:noWrap w:val="0"/>
            <w:vAlign w:val="center"/>
          </w:tcPr>
          <w:p w14:paraId="5A0A8A5C">
            <w:pPr>
              <w:widowControl/>
              <w:spacing w:line="360" w:lineRule="auto"/>
              <w:jc w:val="left"/>
              <w:rPr>
                <w:rFonts w:ascii="宋体" w:hAnsi="宋体" w:cs="仿宋"/>
                <w:color w:val="000000"/>
                <w:kern w:val="0"/>
                <w:szCs w:val="21"/>
              </w:rPr>
            </w:pPr>
          </w:p>
        </w:tc>
        <w:tc>
          <w:tcPr>
            <w:tcW w:w="3210" w:type="pct"/>
            <w:noWrap w:val="0"/>
            <w:vAlign w:val="center"/>
          </w:tcPr>
          <w:p w14:paraId="395F9AA2">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2.支持查看全校运动达标率/优良率趋势图、全部运动项目达标率/优良率，并智能分析本月达标率、达标率月提升情况、本月提升人数等；</w:t>
            </w:r>
          </w:p>
        </w:tc>
      </w:tr>
      <w:tr w14:paraId="139F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3" w:type="pct"/>
            <w:vMerge w:val="continue"/>
            <w:noWrap/>
            <w:vAlign w:val="center"/>
          </w:tcPr>
          <w:p w14:paraId="1CE5AF59">
            <w:pPr>
              <w:widowControl/>
              <w:spacing w:line="360" w:lineRule="auto"/>
              <w:jc w:val="left"/>
              <w:rPr>
                <w:rFonts w:ascii="宋体" w:hAnsi="宋体" w:cs="仿宋"/>
                <w:color w:val="000000"/>
                <w:kern w:val="0"/>
                <w:szCs w:val="21"/>
              </w:rPr>
            </w:pPr>
          </w:p>
        </w:tc>
        <w:tc>
          <w:tcPr>
            <w:tcW w:w="1415" w:type="pct"/>
            <w:vMerge w:val="continue"/>
            <w:noWrap w:val="0"/>
            <w:vAlign w:val="center"/>
          </w:tcPr>
          <w:p w14:paraId="3C8535A8">
            <w:pPr>
              <w:widowControl/>
              <w:spacing w:line="360" w:lineRule="auto"/>
              <w:jc w:val="left"/>
              <w:rPr>
                <w:rFonts w:ascii="宋体" w:hAnsi="宋体" w:cs="仿宋"/>
                <w:color w:val="000000"/>
                <w:kern w:val="0"/>
                <w:szCs w:val="21"/>
              </w:rPr>
            </w:pPr>
          </w:p>
        </w:tc>
        <w:tc>
          <w:tcPr>
            <w:tcW w:w="3210" w:type="pct"/>
            <w:noWrap w:val="0"/>
            <w:vAlign w:val="center"/>
          </w:tcPr>
          <w:p w14:paraId="1E85FA99">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3.支持汇总学校今日运动人数/占比、昨日运动人数/占比、本月总运动人数（人次）、学期总运动量（人次）数据，并进行数据实时呈现；</w:t>
            </w:r>
          </w:p>
        </w:tc>
      </w:tr>
      <w:tr w14:paraId="6DA1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3" w:type="pct"/>
            <w:vMerge w:val="continue"/>
            <w:noWrap/>
            <w:vAlign w:val="center"/>
          </w:tcPr>
          <w:p w14:paraId="0EB2C1B8">
            <w:pPr>
              <w:widowControl/>
              <w:spacing w:line="360" w:lineRule="auto"/>
              <w:jc w:val="left"/>
              <w:rPr>
                <w:rFonts w:ascii="宋体" w:hAnsi="宋体" w:cs="仿宋"/>
                <w:color w:val="000000"/>
                <w:kern w:val="0"/>
                <w:szCs w:val="21"/>
              </w:rPr>
            </w:pPr>
          </w:p>
        </w:tc>
        <w:tc>
          <w:tcPr>
            <w:tcW w:w="1415" w:type="pct"/>
            <w:vMerge w:val="continue"/>
            <w:noWrap w:val="0"/>
            <w:vAlign w:val="center"/>
          </w:tcPr>
          <w:p w14:paraId="45954ED9">
            <w:pPr>
              <w:widowControl/>
              <w:spacing w:line="360" w:lineRule="auto"/>
              <w:jc w:val="left"/>
              <w:rPr>
                <w:rFonts w:ascii="宋体" w:hAnsi="宋体" w:cs="仿宋"/>
                <w:color w:val="000000"/>
                <w:kern w:val="0"/>
                <w:szCs w:val="21"/>
              </w:rPr>
            </w:pPr>
          </w:p>
        </w:tc>
        <w:tc>
          <w:tcPr>
            <w:tcW w:w="3210" w:type="pct"/>
            <w:noWrap w:val="0"/>
            <w:vAlign w:val="center"/>
          </w:tcPr>
          <w:p w14:paraId="6BD6F176">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4.支持全校成绩提升人次、全校运动人数、全校人均运动次数数据分析，并生成相应的趋势图；</w:t>
            </w:r>
          </w:p>
        </w:tc>
      </w:tr>
      <w:tr w14:paraId="16EC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650FDD99">
            <w:pPr>
              <w:widowControl/>
              <w:spacing w:line="360" w:lineRule="auto"/>
              <w:jc w:val="left"/>
              <w:rPr>
                <w:rFonts w:ascii="宋体" w:hAnsi="宋体"/>
                <w:szCs w:val="21"/>
              </w:rPr>
            </w:pPr>
          </w:p>
        </w:tc>
        <w:tc>
          <w:tcPr>
            <w:tcW w:w="1415" w:type="pct"/>
            <w:vMerge w:val="continue"/>
            <w:noWrap w:val="0"/>
            <w:vAlign w:val="center"/>
          </w:tcPr>
          <w:p w14:paraId="1D1AC9DF">
            <w:pPr>
              <w:widowControl/>
              <w:spacing w:line="360" w:lineRule="auto"/>
              <w:jc w:val="left"/>
              <w:rPr>
                <w:rFonts w:ascii="宋体" w:hAnsi="宋体"/>
                <w:szCs w:val="21"/>
              </w:rPr>
            </w:pPr>
          </w:p>
        </w:tc>
        <w:tc>
          <w:tcPr>
            <w:tcW w:w="3210" w:type="pct"/>
            <w:noWrap w:val="0"/>
            <w:vAlign w:val="center"/>
          </w:tcPr>
          <w:p w14:paraId="1E0E2517">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▲5.支持选择分年级查看各年级的运动达标率/优良率趋势图、全部运动项目达标率/优良率及班级运动频次&amp;达标率；</w:t>
            </w:r>
            <w:r>
              <w:rPr>
                <w:rFonts w:hint="eastAsia" w:ascii="宋体" w:hAnsi="宋体" w:cs="仿宋"/>
                <w:b/>
                <w:bCs/>
                <w:color w:val="FF0000"/>
                <w:kern w:val="0"/>
                <w:szCs w:val="21"/>
                <w:lang w:bidi="ar"/>
              </w:rPr>
              <w:t>提供具有检测资质的第三方检验检测机构出具的带有CMA标识的检验检测报告关键页扫描件，检验（检测）报告检测项目里面明确备注说明相关检验检测项不在检验检测机构CMA资质许可(认定)范围内的则视为负偏离，未按要求提供或提供不清晰导致专家无法判断的不得分</w:t>
            </w:r>
          </w:p>
        </w:tc>
      </w:tr>
      <w:tr w14:paraId="4955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6A98F39D">
            <w:pPr>
              <w:widowControl/>
              <w:spacing w:line="360" w:lineRule="auto"/>
              <w:jc w:val="left"/>
              <w:rPr>
                <w:rFonts w:ascii="宋体" w:hAnsi="宋体" w:cs="仿宋"/>
                <w:color w:val="000000"/>
                <w:kern w:val="0"/>
                <w:szCs w:val="21"/>
              </w:rPr>
            </w:pPr>
          </w:p>
        </w:tc>
        <w:tc>
          <w:tcPr>
            <w:tcW w:w="1415" w:type="pct"/>
            <w:vMerge w:val="continue"/>
            <w:noWrap w:val="0"/>
            <w:vAlign w:val="center"/>
          </w:tcPr>
          <w:p w14:paraId="6DA1EA75">
            <w:pPr>
              <w:widowControl/>
              <w:spacing w:line="360" w:lineRule="auto"/>
              <w:jc w:val="left"/>
              <w:rPr>
                <w:rFonts w:ascii="宋体" w:hAnsi="宋体" w:cs="仿宋"/>
                <w:color w:val="000000"/>
                <w:kern w:val="0"/>
                <w:szCs w:val="21"/>
              </w:rPr>
            </w:pPr>
          </w:p>
        </w:tc>
        <w:tc>
          <w:tcPr>
            <w:tcW w:w="3210" w:type="pct"/>
            <w:noWrap w:val="0"/>
            <w:vAlign w:val="center"/>
          </w:tcPr>
          <w:p w14:paraId="5A74C27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6.支持实时显示各运动项目今日运动量、本月运动量数据，并支持学生个人最好成绩截图实时上屏展示。</w:t>
            </w:r>
          </w:p>
        </w:tc>
      </w:tr>
      <w:tr w14:paraId="5E30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6A1A27E4">
            <w:pPr>
              <w:widowControl/>
              <w:spacing w:line="360" w:lineRule="auto"/>
              <w:jc w:val="left"/>
              <w:rPr>
                <w:rFonts w:ascii="宋体" w:hAnsi="宋体" w:cs="仿宋"/>
                <w:color w:val="000000"/>
                <w:kern w:val="0"/>
                <w:szCs w:val="21"/>
              </w:rPr>
            </w:pPr>
          </w:p>
        </w:tc>
        <w:tc>
          <w:tcPr>
            <w:tcW w:w="1415" w:type="pct"/>
            <w:vMerge w:val="continue"/>
            <w:noWrap w:val="0"/>
            <w:vAlign w:val="center"/>
          </w:tcPr>
          <w:p w14:paraId="016E0A2E">
            <w:pPr>
              <w:widowControl/>
              <w:spacing w:line="360" w:lineRule="auto"/>
              <w:jc w:val="left"/>
              <w:rPr>
                <w:rFonts w:ascii="宋体" w:hAnsi="宋体" w:cs="仿宋"/>
                <w:color w:val="000000"/>
                <w:kern w:val="0"/>
                <w:szCs w:val="21"/>
              </w:rPr>
            </w:pPr>
          </w:p>
        </w:tc>
        <w:tc>
          <w:tcPr>
            <w:tcW w:w="3210" w:type="pct"/>
            <w:noWrap w:val="0"/>
            <w:vAlign w:val="center"/>
          </w:tcPr>
          <w:p w14:paraId="4E984088">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三、学生运动数据管理</w:t>
            </w:r>
          </w:p>
          <w:p w14:paraId="36361507">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1.支持班级数据总览，按照周、月、学期维度查看班级学生运动数据；</w:t>
            </w:r>
          </w:p>
        </w:tc>
      </w:tr>
      <w:tr w14:paraId="4C35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1D574647">
            <w:pPr>
              <w:widowControl/>
              <w:spacing w:line="360" w:lineRule="auto"/>
              <w:jc w:val="left"/>
              <w:rPr>
                <w:rFonts w:ascii="宋体" w:hAnsi="宋体" w:cs="仿宋"/>
                <w:color w:val="000000"/>
                <w:kern w:val="0"/>
                <w:szCs w:val="21"/>
              </w:rPr>
            </w:pPr>
          </w:p>
        </w:tc>
        <w:tc>
          <w:tcPr>
            <w:tcW w:w="1415" w:type="pct"/>
            <w:vMerge w:val="continue"/>
            <w:noWrap w:val="0"/>
            <w:vAlign w:val="center"/>
          </w:tcPr>
          <w:p w14:paraId="1106E8B9">
            <w:pPr>
              <w:widowControl/>
              <w:spacing w:line="360" w:lineRule="auto"/>
              <w:jc w:val="left"/>
              <w:rPr>
                <w:rFonts w:ascii="宋体" w:hAnsi="宋体" w:cs="仿宋"/>
                <w:color w:val="000000"/>
                <w:kern w:val="0"/>
                <w:szCs w:val="21"/>
              </w:rPr>
            </w:pPr>
          </w:p>
        </w:tc>
        <w:tc>
          <w:tcPr>
            <w:tcW w:w="3210" w:type="pct"/>
            <w:noWrap w:val="0"/>
            <w:vAlign w:val="center"/>
          </w:tcPr>
          <w:p w14:paraId="16304DAE">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2.支持实时汇总校级每日人均运动时长，按照周、月、学期维度进行查看，并呈现完整波线图展示；</w:t>
            </w:r>
          </w:p>
        </w:tc>
      </w:tr>
      <w:tr w14:paraId="131B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59EED9B3">
            <w:pPr>
              <w:widowControl/>
              <w:spacing w:line="360" w:lineRule="auto"/>
              <w:jc w:val="left"/>
              <w:rPr>
                <w:rFonts w:ascii="宋体" w:hAnsi="宋体" w:cs="仿宋"/>
                <w:color w:val="000000"/>
                <w:kern w:val="0"/>
                <w:szCs w:val="21"/>
              </w:rPr>
            </w:pPr>
          </w:p>
        </w:tc>
        <w:tc>
          <w:tcPr>
            <w:tcW w:w="1415" w:type="pct"/>
            <w:vMerge w:val="continue"/>
            <w:noWrap w:val="0"/>
            <w:vAlign w:val="center"/>
          </w:tcPr>
          <w:p w14:paraId="731047C6">
            <w:pPr>
              <w:widowControl/>
              <w:spacing w:line="360" w:lineRule="auto"/>
              <w:jc w:val="left"/>
              <w:rPr>
                <w:rFonts w:ascii="宋体" w:hAnsi="宋体" w:cs="仿宋"/>
                <w:color w:val="000000"/>
                <w:kern w:val="0"/>
                <w:szCs w:val="21"/>
              </w:rPr>
            </w:pPr>
          </w:p>
        </w:tc>
        <w:tc>
          <w:tcPr>
            <w:tcW w:w="3210" w:type="pct"/>
            <w:noWrap w:val="0"/>
            <w:vAlign w:val="center"/>
          </w:tcPr>
          <w:p w14:paraId="62B9840F">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支持每日运动人数占比分析、每日达标人数占比分析、并可分年级、分本周、本月、本学期进行查看班级运动一小时情况明细（包含但不限于班级、总人数、运动人数、达标人数、运动人数占比、达标人数占比）；</w:t>
            </w:r>
          </w:p>
        </w:tc>
      </w:tr>
      <w:tr w14:paraId="1236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56721640">
            <w:pPr>
              <w:widowControl/>
              <w:spacing w:line="360" w:lineRule="auto"/>
              <w:jc w:val="left"/>
              <w:rPr>
                <w:rFonts w:ascii="宋体" w:hAnsi="宋体" w:cs="仿宋"/>
                <w:color w:val="000000"/>
                <w:kern w:val="0"/>
                <w:szCs w:val="21"/>
              </w:rPr>
            </w:pPr>
          </w:p>
        </w:tc>
        <w:tc>
          <w:tcPr>
            <w:tcW w:w="1415" w:type="pct"/>
            <w:vMerge w:val="continue"/>
            <w:noWrap w:val="0"/>
            <w:vAlign w:val="center"/>
          </w:tcPr>
          <w:p w14:paraId="3DB4B9E4">
            <w:pPr>
              <w:widowControl/>
              <w:spacing w:line="360" w:lineRule="auto"/>
              <w:jc w:val="left"/>
              <w:rPr>
                <w:rFonts w:ascii="宋体" w:hAnsi="宋体" w:cs="仿宋"/>
                <w:color w:val="000000"/>
                <w:kern w:val="0"/>
                <w:szCs w:val="21"/>
              </w:rPr>
            </w:pPr>
          </w:p>
        </w:tc>
        <w:tc>
          <w:tcPr>
            <w:tcW w:w="3210" w:type="pct"/>
            <w:noWrap w:val="0"/>
            <w:vAlign w:val="center"/>
          </w:tcPr>
          <w:p w14:paraId="024D9B0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4.支持校园运动榜单数据查看，可分年级、分性别、分项目，按照周、月、学期维度进行数据查询及批量导出操作；</w:t>
            </w:r>
          </w:p>
        </w:tc>
      </w:tr>
      <w:tr w14:paraId="7B9D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57F876C9">
            <w:pPr>
              <w:widowControl/>
              <w:spacing w:line="360" w:lineRule="auto"/>
              <w:jc w:val="left"/>
              <w:rPr>
                <w:rFonts w:ascii="宋体" w:hAnsi="宋体" w:cs="仿宋"/>
                <w:color w:val="000000"/>
                <w:kern w:val="0"/>
                <w:szCs w:val="21"/>
              </w:rPr>
            </w:pPr>
          </w:p>
        </w:tc>
        <w:tc>
          <w:tcPr>
            <w:tcW w:w="1415" w:type="pct"/>
            <w:vMerge w:val="continue"/>
            <w:noWrap w:val="0"/>
            <w:vAlign w:val="center"/>
          </w:tcPr>
          <w:p w14:paraId="599E5E31">
            <w:pPr>
              <w:widowControl/>
              <w:spacing w:line="360" w:lineRule="auto"/>
              <w:jc w:val="left"/>
              <w:rPr>
                <w:rFonts w:ascii="宋体" w:hAnsi="宋体" w:cs="仿宋"/>
                <w:color w:val="000000"/>
                <w:kern w:val="0"/>
                <w:szCs w:val="21"/>
              </w:rPr>
            </w:pPr>
          </w:p>
        </w:tc>
        <w:tc>
          <w:tcPr>
            <w:tcW w:w="3210" w:type="pct"/>
            <w:noWrap w:val="0"/>
            <w:vAlign w:val="center"/>
          </w:tcPr>
          <w:p w14:paraId="009C13D3">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5.支持校园运动风云榜展示，可查看数据包括学生项目排名、项目成绩、学生班级信息、姓名、性别、学号等；</w:t>
            </w:r>
          </w:p>
        </w:tc>
      </w:tr>
      <w:tr w14:paraId="32FB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26E6BD6C">
            <w:pPr>
              <w:widowControl/>
              <w:spacing w:line="360" w:lineRule="auto"/>
              <w:jc w:val="left"/>
              <w:rPr>
                <w:rFonts w:ascii="宋体" w:hAnsi="宋体" w:cs="仿宋"/>
                <w:color w:val="000000"/>
                <w:kern w:val="0"/>
                <w:szCs w:val="21"/>
              </w:rPr>
            </w:pPr>
          </w:p>
        </w:tc>
        <w:tc>
          <w:tcPr>
            <w:tcW w:w="1415" w:type="pct"/>
            <w:vMerge w:val="continue"/>
            <w:noWrap w:val="0"/>
            <w:vAlign w:val="center"/>
          </w:tcPr>
          <w:p w14:paraId="1962E9CF">
            <w:pPr>
              <w:widowControl/>
              <w:spacing w:line="360" w:lineRule="auto"/>
              <w:jc w:val="left"/>
              <w:rPr>
                <w:rFonts w:ascii="宋体" w:hAnsi="宋体" w:cs="仿宋"/>
                <w:color w:val="000000"/>
                <w:kern w:val="0"/>
                <w:szCs w:val="21"/>
              </w:rPr>
            </w:pPr>
          </w:p>
        </w:tc>
        <w:tc>
          <w:tcPr>
            <w:tcW w:w="3210" w:type="pct"/>
            <w:noWrap w:val="0"/>
            <w:vAlign w:val="center"/>
          </w:tcPr>
          <w:p w14:paraId="228EF833">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6.支持阳光跑数据管理，可分年级、分班级、分性别、分本周、本月、本学期或任意时段进行阳光跑数据查询、批量增加里程及批量导出操作；</w:t>
            </w:r>
          </w:p>
        </w:tc>
      </w:tr>
      <w:tr w14:paraId="261C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7CC95F87">
            <w:pPr>
              <w:widowControl/>
              <w:spacing w:line="360" w:lineRule="auto"/>
              <w:jc w:val="left"/>
              <w:rPr>
                <w:rFonts w:ascii="宋体" w:hAnsi="宋体" w:cs="仿宋"/>
                <w:color w:val="000000"/>
                <w:kern w:val="0"/>
                <w:szCs w:val="21"/>
              </w:rPr>
            </w:pPr>
          </w:p>
        </w:tc>
        <w:tc>
          <w:tcPr>
            <w:tcW w:w="1415" w:type="pct"/>
            <w:vMerge w:val="continue"/>
            <w:noWrap w:val="0"/>
            <w:vAlign w:val="center"/>
          </w:tcPr>
          <w:p w14:paraId="40E85086">
            <w:pPr>
              <w:widowControl/>
              <w:spacing w:line="360" w:lineRule="auto"/>
              <w:jc w:val="left"/>
              <w:rPr>
                <w:rFonts w:ascii="宋体" w:hAnsi="宋体" w:cs="仿宋"/>
                <w:color w:val="000000"/>
                <w:kern w:val="0"/>
                <w:szCs w:val="21"/>
              </w:rPr>
            </w:pPr>
          </w:p>
        </w:tc>
        <w:tc>
          <w:tcPr>
            <w:tcW w:w="3210" w:type="pct"/>
            <w:noWrap w:val="0"/>
            <w:vAlign w:val="center"/>
          </w:tcPr>
          <w:p w14:paraId="29CE19A6">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7.支持阳光跑数据查看，可查看数据包括但不限于班级、姓名、性别、学号、累计里程、平均配速等；</w:t>
            </w:r>
          </w:p>
        </w:tc>
      </w:tr>
      <w:tr w14:paraId="482D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34577A5D">
            <w:pPr>
              <w:widowControl/>
              <w:spacing w:line="360" w:lineRule="auto"/>
              <w:jc w:val="left"/>
              <w:rPr>
                <w:rFonts w:ascii="宋体" w:hAnsi="宋体" w:cs="仿宋"/>
                <w:color w:val="000000"/>
                <w:kern w:val="0"/>
                <w:szCs w:val="21"/>
              </w:rPr>
            </w:pPr>
          </w:p>
        </w:tc>
        <w:tc>
          <w:tcPr>
            <w:tcW w:w="1415" w:type="pct"/>
            <w:vMerge w:val="continue"/>
            <w:noWrap w:val="0"/>
            <w:vAlign w:val="center"/>
          </w:tcPr>
          <w:p w14:paraId="086E7964">
            <w:pPr>
              <w:widowControl/>
              <w:spacing w:line="360" w:lineRule="auto"/>
              <w:jc w:val="left"/>
              <w:rPr>
                <w:rFonts w:ascii="宋体" w:hAnsi="宋体" w:cs="仿宋"/>
                <w:color w:val="000000"/>
                <w:kern w:val="0"/>
                <w:szCs w:val="21"/>
              </w:rPr>
            </w:pPr>
          </w:p>
        </w:tc>
        <w:tc>
          <w:tcPr>
            <w:tcW w:w="3210" w:type="pct"/>
            <w:noWrap w:val="0"/>
            <w:vAlign w:val="center"/>
          </w:tcPr>
          <w:p w14:paraId="6276F607">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8.支持展示学生所有累计阳光跑单日跑步记录，可查询并一键导出Excel；</w:t>
            </w:r>
          </w:p>
        </w:tc>
      </w:tr>
      <w:tr w14:paraId="142E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09E84248">
            <w:pPr>
              <w:widowControl/>
              <w:spacing w:line="360" w:lineRule="auto"/>
              <w:jc w:val="left"/>
              <w:rPr>
                <w:rFonts w:ascii="宋体" w:hAnsi="宋体" w:cs="仿宋"/>
                <w:color w:val="000000"/>
                <w:kern w:val="0"/>
                <w:szCs w:val="21"/>
              </w:rPr>
            </w:pPr>
          </w:p>
        </w:tc>
        <w:tc>
          <w:tcPr>
            <w:tcW w:w="1415" w:type="pct"/>
            <w:vMerge w:val="continue"/>
            <w:noWrap w:val="0"/>
            <w:vAlign w:val="center"/>
          </w:tcPr>
          <w:p w14:paraId="6B9FA066">
            <w:pPr>
              <w:widowControl/>
              <w:spacing w:line="360" w:lineRule="auto"/>
              <w:jc w:val="left"/>
              <w:rPr>
                <w:rFonts w:ascii="宋体" w:hAnsi="宋体" w:cs="仿宋"/>
                <w:color w:val="000000"/>
                <w:kern w:val="0"/>
                <w:szCs w:val="21"/>
              </w:rPr>
            </w:pPr>
          </w:p>
        </w:tc>
        <w:tc>
          <w:tcPr>
            <w:tcW w:w="3210" w:type="pct"/>
            <w:noWrap w:val="0"/>
            <w:vAlign w:val="center"/>
          </w:tcPr>
          <w:p w14:paraId="5D412C81">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9.支持分班级、分年级、分项目、分任意时段、分测试模式查看学生练习数据，并支持成绩的查询、下载、一键迁移至体育考试模块和国家体测模块等操作；</w:t>
            </w:r>
          </w:p>
        </w:tc>
      </w:tr>
      <w:tr w14:paraId="67EB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5D73827B">
            <w:pPr>
              <w:widowControl/>
              <w:spacing w:line="360" w:lineRule="auto"/>
              <w:jc w:val="left"/>
              <w:rPr>
                <w:rFonts w:ascii="宋体" w:hAnsi="宋体" w:cs="仿宋"/>
                <w:color w:val="000000"/>
                <w:kern w:val="0"/>
                <w:szCs w:val="21"/>
              </w:rPr>
            </w:pPr>
          </w:p>
        </w:tc>
        <w:tc>
          <w:tcPr>
            <w:tcW w:w="1415" w:type="pct"/>
            <w:vMerge w:val="continue"/>
            <w:noWrap w:val="0"/>
            <w:vAlign w:val="center"/>
          </w:tcPr>
          <w:p w14:paraId="11C7EE2B">
            <w:pPr>
              <w:widowControl/>
              <w:spacing w:line="360" w:lineRule="auto"/>
              <w:jc w:val="left"/>
              <w:rPr>
                <w:rFonts w:ascii="宋体" w:hAnsi="宋体" w:cs="仿宋"/>
                <w:color w:val="000000"/>
                <w:kern w:val="0"/>
                <w:szCs w:val="21"/>
              </w:rPr>
            </w:pPr>
          </w:p>
        </w:tc>
        <w:tc>
          <w:tcPr>
            <w:tcW w:w="3210" w:type="pct"/>
            <w:noWrap w:val="0"/>
            <w:vAlign w:val="center"/>
          </w:tcPr>
          <w:p w14:paraId="29E8AE21">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10.学生测试记录查看，包括但不限于测试时间、测试班级、测试项目、测试模式、测试人数及已测人数分析；</w:t>
            </w:r>
          </w:p>
        </w:tc>
      </w:tr>
      <w:tr w14:paraId="31A4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3DA6AEFE">
            <w:pPr>
              <w:widowControl/>
              <w:spacing w:line="360" w:lineRule="auto"/>
              <w:jc w:val="left"/>
              <w:rPr>
                <w:rFonts w:ascii="宋体" w:hAnsi="宋体" w:cs="仿宋"/>
                <w:color w:val="000000"/>
                <w:kern w:val="0"/>
                <w:szCs w:val="21"/>
              </w:rPr>
            </w:pPr>
          </w:p>
        </w:tc>
        <w:tc>
          <w:tcPr>
            <w:tcW w:w="1415" w:type="pct"/>
            <w:vMerge w:val="continue"/>
            <w:noWrap w:val="0"/>
            <w:vAlign w:val="center"/>
          </w:tcPr>
          <w:p w14:paraId="64A89A43">
            <w:pPr>
              <w:widowControl/>
              <w:spacing w:line="360" w:lineRule="auto"/>
              <w:jc w:val="left"/>
              <w:rPr>
                <w:rFonts w:ascii="宋体" w:hAnsi="宋体" w:cs="仿宋"/>
                <w:color w:val="000000"/>
                <w:kern w:val="0"/>
                <w:szCs w:val="21"/>
              </w:rPr>
            </w:pPr>
          </w:p>
        </w:tc>
        <w:tc>
          <w:tcPr>
            <w:tcW w:w="3210" w:type="pct"/>
            <w:noWrap w:val="0"/>
            <w:vAlign w:val="center"/>
          </w:tcPr>
          <w:p w14:paraId="1E9B02C8">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11.支持以班级为单位汇总学生当天测试记录，可点击查看所有测试学生多次测试记录(包括但不限于班级、姓名、学号、成绩、评分等级）和个人成绩档案（包括但不限于成绩记录、姿态指标分析、肌群分析、点评及建议、动作关键帧分析）；</w:t>
            </w:r>
          </w:p>
        </w:tc>
      </w:tr>
      <w:tr w14:paraId="2475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373" w:type="pct"/>
            <w:vMerge w:val="continue"/>
            <w:noWrap/>
            <w:vAlign w:val="center"/>
          </w:tcPr>
          <w:p w14:paraId="3D1094D1">
            <w:pPr>
              <w:widowControl/>
              <w:spacing w:line="360" w:lineRule="auto"/>
              <w:jc w:val="left"/>
              <w:rPr>
                <w:rFonts w:ascii="宋体" w:hAnsi="宋体" w:cs="仿宋"/>
                <w:color w:val="000000"/>
                <w:kern w:val="0"/>
                <w:szCs w:val="21"/>
              </w:rPr>
            </w:pPr>
          </w:p>
        </w:tc>
        <w:tc>
          <w:tcPr>
            <w:tcW w:w="1415" w:type="pct"/>
            <w:vMerge w:val="continue"/>
            <w:noWrap w:val="0"/>
            <w:vAlign w:val="center"/>
          </w:tcPr>
          <w:p w14:paraId="4B12AA1D">
            <w:pPr>
              <w:widowControl/>
              <w:spacing w:line="360" w:lineRule="auto"/>
              <w:jc w:val="left"/>
              <w:rPr>
                <w:rFonts w:ascii="宋体" w:hAnsi="宋体" w:cs="仿宋"/>
                <w:color w:val="000000"/>
                <w:kern w:val="0"/>
                <w:szCs w:val="21"/>
              </w:rPr>
            </w:pPr>
          </w:p>
        </w:tc>
        <w:tc>
          <w:tcPr>
            <w:tcW w:w="3210" w:type="pct"/>
            <w:noWrap w:val="0"/>
            <w:vAlign w:val="center"/>
          </w:tcPr>
          <w:p w14:paraId="16CD0221">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12.支持分年级、分班级、分学年查看学生体育运动档案，档案内容包括：学生基础信息、累计运动天数、时长、测试项目及综合能力图谱，并可分项目查看最佳成绩、得分、等级、排名等数据；</w:t>
            </w:r>
          </w:p>
        </w:tc>
      </w:tr>
      <w:tr w14:paraId="2212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2E97827B">
            <w:pPr>
              <w:widowControl/>
              <w:spacing w:line="360" w:lineRule="auto"/>
              <w:jc w:val="left"/>
              <w:rPr>
                <w:rFonts w:ascii="宋体" w:hAnsi="宋体" w:cs="仿宋"/>
                <w:color w:val="000000"/>
                <w:kern w:val="0"/>
                <w:szCs w:val="21"/>
              </w:rPr>
            </w:pPr>
          </w:p>
        </w:tc>
        <w:tc>
          <w:tcPr>
            <w:tcW w:w="1415" w:type="pct"/>
            <w:vMerge w:val="continue"/>
            <w:noWrap w:val="0"/>
            <w:vAlign w:val="center"/>
          </w:tcPr>
          <w:p w14:paraId="6B55EC7B">
            <w:pPr>
              <w:widowControl/>
              <w:spacing w:line="360" w:lineRule="auto"/>
              <w:jc w:val="left"/>
              <w:rPr>
                <w:rFonts w:ascii="宋体" w:hAnsi="宋体" w:cs="仿宋"/>
                <w:color w:val="000000"/>
                <w:kern w:val="0"/>
                <w:szCs w:val="21"/>
              </w:rPr>
            </w:pPr>
          </w:p>
        </w:tc>
        <w:tc>
          <w:tcPr>
            <w:tcW w:w="3210" w:type="pct"/>
            <w:noWrap w:val="0"/>
            <w:vAlign w:val="center"/>
          </w:tcPr>
          <w:p w14:paraId="116CB774">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五、体育考试管理</w:t>
            </w:r>
          </w:p>
          <w:p w14:paraId="1CA5AFDA">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1.支持查看全校体育成绩概况、全校各项目成绩对比以及各班级体育考试成绩对比，可分析平均分、合格率、优秀率等并导出；</w:t>
            </w:r>
          </w:p>
        </w:tc>
      </w:tr>
      <w:tr w14:paraId="1AA1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6F9853ED">
            <w:pPr>
              <w:widowControl/>
              <w:spacing w:line="360" w:lineRule="auto"/>
              <w:jc w:val="left"/>
              <w:rPr>
                <w:rFonts w:ascii="宋体" w:hAnsi="宋体" w:cs="仿宋"/>
                <w:color w:val="000000"/>
                <w:kern w:val="0"/>
                <w:szCs w:val="21"/>
              </w:rPr>
            </w:pPr>
          </w:p>
        </w:tc>
        <w:tc>
          <w:tcPr>
            <w:tcW w:w="1415" w:type="pct"/>
            <w:vMerge w:val="continue"/>
            <w:noWrap w:val="0"/>
            <w:vAlign w:val="center"/>
          </w:tcPr>
          <w:p w14:paraId="46BFE402">
            <w:pPr>
              <w:widowControl/>
              <w:spacing w:line="360" w:lineRule="auto"/>
              <w:jc w:val="left"/>
              <w:rPr>
                <w:rFonts w:ascii="宋体" w:hAnsi="宋体" w:cs="仿宋"/>
                <w:color w:val="000000"/>
                <w:kern w:val="0"/>
                <w:szCs w:val="21"/>
              </w:rPr>
            </w:pPr>
          </w:p>
        </w:tc>
        <w:tc>
          <w:tcPr>
            <w:tcW w:w="3210" w:type="pct"/>
            <w:noWrap w:val="0"/>
            <w:vAlign w:val="center"/>
          </w:tcPr>
          <w:p w14:paraId="7BC3B0BA">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2.支持体育考试成绩管理表查询，可选择分学期、分年级、分班级进行筛选、也可选择输入具体学生学号筛选；</w:t>
            </w:r>
          </w:p>
        </w:tc>
      </w:tr>
      <w:tr w14:paraId="4EE7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10D264B5">
            <w:pPr>
              <w:widowControl/>
              <w:spacing w:line="360" w:lineRule="auto"/>
              <w:jc w:val="left"/>
              <w:rPr>
                <w:rFonts w:ascii="宋体" w:hAnsi="宋体" w:cs="仿宋"/>
                <w:color w:val="000000"/>
                <w:kern w:val="0"/>
                <w:szCs w:val="21"/>
              </w:rPr>
            </w:pPr>
          </w:p>
        </w:tc>
        <w:tc>
          <w:tcPr>
            <w:tcW w:w="1415" w:type="pct"/>
            <w:vMerge w:val="continue"/>
            <w:noWrap w:val="0"/>
            <w:vAlign w:val="center"/>
          </w:tcPr>
          <w:p w14:paraId="13B3BDA3">
            <w:pPr>
              <w:widowControl/>
              <w:spacing w:line="360" w:lineRule="auto"/>
              <w:jc w:val="left"/>
              <w:rPr>
                <w:rFonts w:ascii="宋体" w:hAnsi="宋体" w:cs="仿宋"/>
                <w:color w:val="000000"/>
                <w:kern w:val="0"/>
                <w:szCs w:val="21"/>
              </w:rPr>
            </w:pPr>
          </w:p>
        </w:tc>
        <w:tc>
          <w:tcPr>
            <w:tcW w:w="3210" w:type="pct"/>
            <w:noWrap w:val="0"/>
            <w:vAlign w:val="center"/>
          </w:tcPr>
          <w:p w14:paraId="36E6939F">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3.支持实时筛选并查看考试学生已考项目数，并可通过查看详情查看考试详情；</w:t>
            </w:r>
          </w:p>
        </w:tc>
      </w:tr>
      <w:tr w14:paraId="4EE8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467E9875">
            <w:pPr>
              <w:widowControl/>
              <w:spacing w:line="360" w:lineRule="auto"/>
              <w:jc w:val="left"/>
              <w:rPr>
                <w:rFonts w:ascii="宋体" w:hAnsi="宋体" w:cs="仿宋"/>
                <w:color w:val="000000"/>
                <w:kern w:val="0"/>
                <w:szCs w:val="21"/>
              </w:rPr>
            </w:pPr>
          </w:p>
        </w:tc>
        <w:tc>
          <w:tcPr>
            <w:tcW w:w="1415" w:type="pct"/>
            <w:vMerge w:val="continue"/>
            <w:noWrap w:val="0"/>
            <w:vAlign w:val="center"/>
          </w:tcPr>
          <w:p w14:paraId="513B09F5">
            <w:pPr>
              <w:widowControl/>
              <w:spacing w:line="360" w:lineRule="auto"/>
              <w:jc w:val="left"/>
              <w:rPr>
                <w:rFonts w:ascii="宋体" w:hAnsi="宋体" w:cs="仿宋"/>
                <w:color w:val="000000"/>
                <w:kern w:val="0"/>
                <w:szCs w:val="21"/>
              </w:rPr>
            </w:pPr>
          </w:p>
        </w:tc>
        <w:tc>
          <w:tcPr>
            <w:tcW w:w="3210" w:type="pct"/>
            <w:noWrap w:val="0"/>
            <w:vAlign w:val="center"/>
          </w:tcPr>
          <w:p w14:paraId="5E2A6F68">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4.支持为每一位学生生成个人考试详情，包括学生个人信息及分数详情，分数详情包含考试项目名称、考试成绩（展示历史最好成绩）、项目成绩评分。</w:t>
            </w:r>
          </w:p>
        </w:tc>
      </w:tr>
      <w:tr w14:paraId="59D1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73" w:type="pct"/>
            <w:vMerge w:val="continue"/>
            <w:noWrap/>
            <w:vAlign w:val="center"/>
          </w:tcPr>
          <w:p w14:paraId="1EDBCAF0">
            <w:pPr>
              <w:widowControl/>
              <w:spacing w:line="360" w:lineRule="auto"/>
              <w:jc w:val="left"/>
              <w:rPr>
                <w:rFonts w:ascii="宋体" w:hAnsi="宋体" w:cs="仿宋"/>
                <w:color w:val="000000"/>
                <w:kern w:val="0"/>
                <w:szCs w:val="21"/>
              </w:rPr>
            </w:pPr>
          </w:p>
        </w:tc>
        <w:tc>
          <w:tcPr>
            <w:tcW w:w="1415" w:type="pct"/>
            <w:vMerge w:val="continue"/>
            <w:noWrap w:val="0"/>
            <w:vAlign w:val="center"/>
          </w:tcPr>
          <w:p w14:paraId="72570F67">
            <w:pPr>
              <w:widowControl/>
              <w:spacing w:line="360" w:lineRule="auto"/>
              <w:jc w:val="left"/>
              <w:rPr>
                <w:rFonts w:ascii="宋体" w:hAnsi="宋体" w:cs="仿宋"/>
                <w:color w:val="000000"/>
                <w:kern w:val="0"/>
                <w:szCs w:val="21"/>
              </w:rPr>
            </w:pPr>
          </w:p>
        </w:tc>
        <w:tc>
          <w:tcPr>
            <w:tcW w:w="3210" w:type="pct"/>
            <w:noWrap w:val="0"/>
            <w:vAlign w:val="center"/>
          </w:tcPr>
          <w:p w14:paraId="26040A5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六、教学管理</w:t>
            </w:r>
          </w:p>
          <w:p w14:paraId="110ECADD">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支持根据地区要求，自定义运动项目评分标准。</w:t>
            </w:r>
          </w:p>
        </w:tc>
      </w:tr>
      <w:tr w14:paraId="2E35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373" w:type="pct"/>
            <w:vMerge w:val="restart"/>
            <w:noWrap/>
            <w:vAlign w:val="center"/>
          </w:tcPr>
          <w:p w14:paraId="7011387A">
            <w:pPr>
              <w:widowControl/>
              <w:numPr>
                <w:ilvl w:val="0"/>
                <w:numId w:val="3"/>
              </w:numPr>
              <w:jc w:val="center"/>
              <w:textAlignment w:val="center"/>
              <w:rPr>
                <w:rFonts w:ascii="宋体" w:hAnsi="宋体" w:cs="仿宋"/>
                <w:color w:val="000000"/>
                <w:szCs w:val="21"/>
              </w:rPr>
            </w:pPr>
          </w:p>
        </w:tc>
        <w:tc>
          <w:tcPr>
            <w:tcW w:w="1415" w:type="pct"/>
            <w:vMerge w:val="restart"/>
            <w:noWrap w:val="0"/>
            <w:vAlign w:val="center"/>
          </w:tcPr>
          <w:p w14:paraId="68D5AC69">
            <w:pPr>
              <w:widowControl/>
              <w:jc w:val="center"/>
              <w:textAlignment w:val="center"/>
              <w:rPr>
                <w:rFonts w:ascii="宋体" w:hAnsi="宋体" w:cs="仿宋"/>
                <w:color w:val="000000"/>
                <w:szCs w:val="21"/>
              </w:rPr>
            </w:pPr>
            <w:r>
              <w:rPr>
                <w:rFonts w:hint="eastAsia" w:ascii="宋体" w:hAnsi="宋体" w:cs="仿宋"/>
                <w:color w:val="000000"/>
                <w:kern w:val="0"/>
                <w:szCs w:val="21"/>
              </w:rPr>
              <w:t>智慧体育助手</w:t>
            </w:r>
          </w:p>
        </w:tc>
        <w:tc>
          <w:tcPr>
            <w:tcW w:w="3210" w:type="pct"/>
            <w:noWrap w:val="0"/>
            <w:vAlign w:val="center"/>
          </w:tcPr>
          <w:p w14:paraId="5ED3D1CB">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1.支持学生基础信息管理、设备管理和运动风云榜审核等；</w:t>
            </w:r>
          </w:p>
        </w:tc>
      </w:tr>
      <w:tr w14:paraId="2AB5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373" w:type="pct"/>
            <w:vMerge w:val="continue"/>
            <w:noWrap/>
            <w:vAlign w:val="center"/>
          </w:tcPr>
          <w:p w14:paraId="615B4EAE">
            <w:pPr>
              <w:widowControl/>
              <w:spacing w:line="360" w:lineRule="auto"/>
              <w:jc w:val="left"/>
              <w:rPr>
                <w:rFonts w:ascii="宋体" w:hAnsi="宋体"/>
                <w:szCs w:val="21"/>
              </w:rPr>
            </w:pPr>
          </w:p>
        </w:tc>
        <w:tc>
          <w:tcPr>
            <w:tcW w:w="1415" w:type="pct"/>
            <w:vMerge w:val="continue"/>
            <w:noWrap w:val="0"/>
            <w:vAlign w:val="center"/>
          </w:tcPr>
          <w:p w14:paraId="0E62C185">
            <w:pPr>
              <w:widowControl/>
              <w:spacing w:line="360" w:lineRule="auto"/>
              <w:jc w:val="left"/>
              <w:rPr>
                <w:rFonts w:ascii="宋体" w:hAnsi="宋体"/>
                <w:szCs w:val="21"/>
              </w:rPr>
            </w:pPr>
          </w:p>
        </w:tc>
        <w:tc>
          <w:tcPr>
            <w:tcW w:w="3210" w:type="pct"/>
            <w:noWrap w:val="0"/>
            <w:vAlign w:val="center"/>
          </w:tcPr>
          <w:p w14:paraId="52034EF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2.支持创建不同角色管理账号，包括校园代理、学校管理员、区管理员、行政老师，并分配相应教师端后台管理权限；</w:t>
            </w:r>
          </w:p>
        </w:tc>
      </w:tr>
      <w:tr w14:paraId="6140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3" w:type="pct"/>
            <w:vMerge w:val="continue"/>
            <w:noWrap/>
            <w:vAlign w:val="center"/>
          </w:tcPr>
          <w:p w14:paraId="013806F2">
            <w:pPr>
              <w:widowControl/>
              <w:spacing w:line="360" w:lineRule="auto"/>
              <w:jc w:val="left"/>
              <w:rPr>
                <w:rFonts w:ascii="宋体" w:hAnsi="宋体"/>
                <w:szCs w:val="21"/>
              </w:rPr>
            </w:pPr>
          </w:p>
        </w:tc>
        <w:tc>
          <w:tcPr>
            <w:tcW w:w="1415" w:type="pct"/>
            <w:vMerge w:val="continue"/>
            <w:noWrap w:val="0"/>
            <w:vAlign w:val="center"/>
          </w:tcPr>
          <w:p w14:paraId="5E67AE11">
            <w:pPr>
              <w:widowControl/>
              <w:spacing w:line="360" w:lineRule="auto"/>
              <w:jc w:val="left"/>
              <w:rPr>
                <w:rFonts w:ascii="宋体" w:hAnsi="宋体"/>
                <w:szCs w:val="21"/>
              </w:rPr>
            </w:pPr>
          </w:p>
        </w:tc>
        <w:tc>
          <w:tcPr>
            <w:tcW w:w="3210" w:type="pct"/>
            <w:noWrap w:val="0"/>
            <w:vAlign w:val="center"/>
          </w:tcPr>
          <w:p w14:paraId="36E31959">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3.支持教师班级权限管理，后台为老师分配各自班级使用权限，后台支持隐私信息保护设置；</w:t>
            </w:r>
          </w:p>
        </w:tc>
      </w:tr>
      <w:tr w14:paraId="70B5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3" w:type="pct"/>
            <w:vMerge w:val="continue"/>
            <w:noWrap/>
            <w:vAlign w:val="center"/>
          </w:tcPr>
          <w:p w14:paraId="515A25C8">
            <w:pPr>
              <w:widowControl/>
              <w:spacing w:line="360" w:lineRule="auto"/>
              <w:jc w:val="left"/>
              <w:rPr>
                <w:rFonts w:ascii="宋体" w:hAnsi="宋体" w:cs="仿宋"/>
                <w:color w:val="000000"/>
                <w:kern w:val="0"/>
                <w:szCs w:val="21"/>
              </w:rPr>
            </w:pPr>
          </w:p>
        </w:tc>
        <w:tc>
          <w:tcPr>
            <w:tcW w:w="1415" w:type="pct"/>
            <w:vMerge w:val="continue"/>
            <w:noWrap w:val="0"/>
            <w:vAlign w:val="center"/>
          </w:tcPr>
          <w:p w14:paraId="14CE2336">
            <w:pPr>
              <w:widowControl/>
              <w:spacing w:line="360" w:lineRule="auto"/>
              <w:jc w:val="left"/>
              <w:rPr>
                <w:rFonts w:ascii="宋体" w:hAnsi="宋体" w:cs="仿宋"/>
                <w:color w:val="000000"/>
                <w:kern w:val="0"/>
                <w:szCs w:val="21"/>
              </w:rPr>
            </w:pPr>
          </w:p>
        </w:tc>
        <w:tc>
          <w:tcPr>
            <w:tcW w:w="3210" w:type="pct"/>
            <w:noWrap w:val="0"/>
            <w:vAlign w:val="center"/>
          </w:tcPr>
          <w:p w14:paraId="005F1596">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4.支持快速创建行政班和分项班，并实时查看各班级录入进度；</w:t>
            </w:r>
          </w:p>
        </w:tc>
      </w:tr>
      <w:tr w14:paraId="1DE7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3" w:type="pct"/>
            <w:vMerge w:val="continue"/>
            <w:noWrap/>
            <w:vAlign w:val="center"/>
          </w:tcPr>
          <w:p w14:paraId="688346EB">
            <w:pPr>
              <w:widowControl/>
              <w:spacing w:line="360" w:lineRule="auto"/>
              <w:jc w:val="left"/>
              <w:rPr>
                <w:rFonts w:ascii="宋体" w:hAnsi="宋体" w:cs="仿宋"/>
                <w:color w:val="000000"/>
                <w:kern w:val="0"/>
                <w:szCs w:val="21"/>
              </w:rPr>
            </w:pPr>
          </w:p>
        </w:tc>
        <w:tc>
          <w:tcPr>
            <w:tcW w:w="1415" w:type="pct"/>
            <w:vMerge w:val="continue"/>
            <w:noWrap w:val="0"/>
            <w:vAlign w:val="center"/>
          </w:tcPr>
          <w:p w14:paraId="264CA936">
            <w:pPr>
              <w:widowControl/>
              <w:spacing w:line="360" w:lineRule="auto"/>
              <w:jc w:val="left"/>
              <w:rPr>
                <w:rFonts w:ascii="宋体" w:hAnsi="宋体" w:cs="仿宋"/>
                <w:color w:val="000000"/>
                <w:kern w:val="0"/>
                <w:szCs w:val="21"/>
              </w:rPr>
            </w:pPr>
          </w:p>
        </w:tc>
        <w:tc>
          <w:tcPr>
            <w:tcW w:w="3210" w:type="pct"/>
            <w:noWrap w:val="0"/>
            <w:vAlign w:val="center"/>
          </w:tcPr>
          <w:p w14:paraId="3D2CA010">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5.支持拍照录入或本地图片导入方式进行人脸信息录入，支持人脸信息重录；</w:t>
            </w:r>
          </w:p>
        </w:tc>
      </w:tr>
      <w:tr w14:paraId="72EC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3" w:type="pct"/>
            <w:vMerge w:val="continue"/>
            <w:noWrap/>
            <w:vAlign w:val="center"/>
          </w:tcPr>
          <w:p w14:paraId="5B1D599A">
            <w:pPr>
              <w:widowControl/>
              <w:spacing w:line="360" w:lineRule="auto"/>
              <w:jc w:val="left"/>
              <w:rPr>
                <w:rFonts w:ascii="宋体" w:hAnsi="宋体" w:cs="仿宋"/>
                <w:color w:val="000000"/>
                <w:kern w:val="0"/>
                <w:szCs w:val="21"/>
              </w:rPr>
            </w:pPr>
          </w:p>
        </w:tc>
        <w:tc>
          <w:tcPr>
            <w:tcW w:w="1415" w:type="pct"/>
            <w:vMerge w:val="continue"/>
            <w:noWrap w:val="0"/>
            <w:vAlign w:val="center"/>
          </w:tcPr>
          <w:p w14:paraId="646B0E0C">
            <w:pPr>
              <w:widowControl/>
              <w:spacing w:line="360" w:lineRule="auto"/>
              <w:jc w:val="left"/>
              <w:rPr>
                <w:rFonts w:ascii="宋体" w:hAnsi="宋体" w:cs="仿宋"/>
                <w:color w:val="000000"/>
                <w:kern w:val="0"/>
                <w:szCs w:val="21"/>
              </w:rPr>
            </w:pPr>
          </w:p>
        </w:tc>
        <w:tc>
          <w:tcPr>
            <w:tcW w:w="3210" w:type="pct"/>
            <w:noWrap w:val="0"/>
            <w:vAlign w:val="center"/>
          </w:tcPr>
          <w:p w14:paraId="2EA7637D">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6.支持学生姓名、性别、学号等基础信息管理和学生人员删减；</w:t>
            </w:r>
          </w:p>
        </w:tc>
      </w:tr>
      <w:tr w14:paraId="239B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3" w:type="pct"/>
            <w:vMerge w:val="continue"/>
            <w:noWrap/>
            <w:vAlign w:val="center"/>
          </w:tcPr>
          <w:p w14:paraId="48F35B94">
            <w:pPr>
              <w:widowControl/>
              <w:spacing w:line="360" w:lineRule="auto"/>
              <w:jc w:val="left"/>
              <w:rPr>
                <w:rFonts w:ascii="宋体" w:hAnsi="宋体" w:cs="仿宋"/>
                <w:color w:val="000000"/>
                <w:kern w:val="0"/>
                <w:szCs w:val="21"/>
              </w:rPr>
            </w:pPr>
          </w:p>
        </w:tc>
        <w:tc>
          <w:tcPr>
            <w:tcW w:w="1415" w:type="pct"/>
            <w:vMerge w:val="continue"/>
            <w:noWrap w:val="0"/>
            <w:vAlign w:val="center"/>
          </w:tcPr>
          <w:p w14:paraId="49295D97">
            <w:pPr>
              <w:widowControl/>
              <w:spacing w:line="360" w:lineRule="auto"/>
              <w:jc w:val="left"/>
              <w:rPr>
                <w:rFonts w:ascii="宋体" w:hAnsi="宋体" w:cs="仿宋"/>
                <w:color w:val="000000"/>
                <w:kern w:val="0"/>
                <w:szCs w:val="21"/>
              </w:rPr>
            </w:pPr>
          </w:p>
        </w:tc>
        <w:tc>
          <w:tcPr>
            <w:tcW w:w="3210" w:type="pct"/>
            <w:noWrap w:val="0"/>
            <w:vAlign w:val="center"/>
          </w:tcPr>
          <w:p w14:paraId="0ED486F6">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7.支持智慧体育助手管理项目的开启与关闭，并支持测试成绩记录实时查看、成绩补录及修正，成绩表单可支持下载及导出。</w:t>
            </w:r>
          </w:p>
        </w:tc>
      </w:tr>
      <w:tr w14:paraId="646F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3" w:type="pct"/>
            <w:vMerge w:val="continue"/>
            <w:noWrap/>
            <w:vAlign w:val="center"/>
          </w:tcPr>
          <w:p w14:paraId="505E68C1">
            <w:pPr>
              <w:widowControl/>
              <w:spacing w:line="360" w:lineRule="auto"/>
              <w:jc w:val="left"/>
              <w:rPr>
                <w:rFonts w:ascii="宋体" w:hAnsi="宋体" w:cs="仿宋"/>
                <w:color w:val="000000"/>
                <w:kern w:val="0"/>
                <w:szCs w:val="21"/>
              </w:rPr>
            </w:pPr>
          </w:p>
        </w:tc>
        <w:tc>
          <w:tcPr>
            <w:tcW w:w="1415" w:type="pct"/>
            <w:vMerge w:val="continue"/>
            <w:noWrap w:val="0"/>
            <w:vAlign w:val="center"/>
          </w:tcPr>
          <w:p w14:paraId="4FD354AF">
            <w:pPr>
              <w:widowControl/>
              <w:spacing w:line="360" w:lineRule="auto"/>
              <w:jc w:val="left"/>
              <w:rPr>
                <w:rFonts w:ascii="宋体" w:hAnsi="宋体" w:cs="仿宋"/>
                <w:color w:val="000000"/>
                <w:kern w:val="0"/>
                <w:szCs w:val="21"/>
              </w:rPr>
            </w:pPr>
          </w:p>
        </w:tc>
        <w:tc>
          <w:tcPr>
            <w:tcW w:w="3210" w:type="pct"/>
            <w:noWrap w:val="0"/>
            <w:vAlign w:val="center"/>
          </w:tcPr>
          <w:p w14:paraId="6A968D6E">
            <w:pPr>
              <w:widowControl/>
              <w:spacing w:line="360" w:lineRule="auto"/>
              <w:jc w:val="left"/>
              <w:rPr>
                <w:rFonts w:ascii="宋体" w:hAnsi="宋体" w:cs="仿宋"/>
                <w:color w:val="000000"/>
                <w:kern w:val="0"/>
                <w:szCs w:val="21"/>
              </w:rPr>
            </w:pPr>
            <w:r>
              <w:rPr>
                <w:rFonts w:hint="eastAsia" w:ascii="宋体" w:hAnsi="宋体" w:cs="仿宋"/>
                <w:color w:val="000000"/>
                <w:kern w:val="0"/>
                <w:szCs w:val="21"/>
                <w:lang w:val="en-US" w:eastAsia="zh-CN"/>
              </w:rPr>
              <w:t>8</w:t>
            </w:r>
            <w:r>
              <w:rPr>
                <w:rFonts w:hint="eastAsia" w:ascii="宋体" w:hAnsi="宋体" w:cs="仿宋"/>
                <w:color w:val="000000"/>
                <w:kern w:val="0"/>
                <w:szCs w:val="21"/>
              </w:rPr>
              <w:t>.支持所有已建项目的体育作业任务一键发布，可针对每一位学生发布定制化体育作业，且根据每一位学生运动能力匹配体育作业最低达成标准及定制化作业强度等要求；</w:t>
            </w:r>
          </w:p>
        </w:tc>
      </w:tr>
      <w:tr w14:paraId="5E00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3" w:type="pct"/>
            <w:vMerge w:val="continue"/>
            <w:noWrap/>
            <w:vAlign w:val="center"/>
          </w:tcPr>
          <w:p w14:paraId="25A742A9">
            <w:pPr>
              <w:widowControl/>
              <w:spacing w:line="360" w:lineRule="auto"/>
              <w:jc w:val="left"/>
              <w:rPr>
                <w:rFonts w:ascii="宋体" w:hAnsi="宋体" w:cs="仿宋"/>
                <w:color w:val="000000"/>
                <w:kern w:val="0"/>
                <w:szCs w:val="21"/>
              </w:rPr>
            </w:pPr>
          </w:p>
        </w:tc>
        <w:tc>
          <w:tcPr>
            <w:tcW w:w="1415" w:type="pct"/>
            <w:vMerge w:val="continue"/>
            <w:noWrap w:val="0"/>
            <w:vAlign w:val="center"/>
          </w:tcPr>
          <w:p w14:paraId="1B22FE32">
            <w:pPr>
              <w:widowControl/>
              <w:spacing w:line="360" w:lineRule="auto"/>
              <w:jc w:val="left"/>
              <w:rPr>
                <w:rFonts w:ascii="宋体" w:hAnsi="宋体" w:cs="仿宋"/>
                <w:color w:val="000000"/>
                <w:kern w:val="0"/>
                <w:szCs w:val="21"/>
              </w:rPr>
            </w:pPr>
          </w:p>
        </w:tc>
        <w:tc>
          <w:tcPr>
            <w:tcW w:w="3210" w:type="pct"/>
            <w:noWrap w:val="0"/>
            <w:vAlign w:val="center"/>
          </w:tcPr>
          <w:p w14:paraId="0FB7E14B">
            <w:pPr>
              <w:widowControl/>
              <w:spacing w:line="360" w:lineRule="auto"/>
              <w:jc w:val="left"/>
              <w:rPr>
                <w:rFonts w:ascii="宋体" w:hAnsi="宋体" w:cs="仿宋"/>
                <w:color w:val="000000"/>
                <w:kern w:val="0"/>
                <w:szCs w:val="21"/>
              </w:rPr>
            </w:pPr>
            <w:r>
              <w:rPr>
                <w:rFonts w:hint="eastAsia" w:ascii="宋体" w:hAnsi="宋体" w:cs="仿宋"/>
                <w:color w:val="000000"/>
                <w:kern w:val="0"/>
                <w:szCs w:val="21"/>
                <w:lang w:val="en-US" w:eastAsia="zh-CN"/>
              </w:rPr>
              <w:t>9</w:t>
            </w:r>
            <w:r>
              <w:rPr>
                <w:rFonts w:hint="eastAsia" w:ascii="宋体" w:hAnsi="宋体" w:cs="仿宋"/>
                <w:color w:val="000000"/>
                <w:kern w:val="0"/>
                <w:szCs w:val="21"/>
              </w:rPr>
              <w:t>.支持自定义设备开关时间；</w:t>
            </w:r>
          </w:p>
        </w:tc>
      </w:tr>
      <w:tr w14:paraId="559F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3" w:type="pct"/>
            <w:vMerge w:val="continue"/>
            <w:noWrap/>
            <w:vAlign w:val="center"/>
          </w:tcPr>
          <w:p w14:paraId="54E1CFA5">
            <w:pPr>
              <w:widowControl/>
              <w:spacing w:line="360" w:lineRule="auto"/>
              <w:jc w:val="left"/>
              <w:rPr>
                <w:rFonts w:ascii="宋体" w:hAnsi="宋体" w:cs="仿宋"/>
                <w:color w:val="000000"/>
                <w:kern w:val="0"/>
                <w:szCs w:val="21"/>
              </w:rPr>
            </w:pPr>
          </w:p>
        </w:tc>
        <w:tc>
          <w:tcPr>
            <w:tcW w:w="1415" w:type="pct"/>
            <w:vMerge w:val="continue"/>
            <w:noWrap w:val="0"/>
            <w:vAlign w:val="center"/>
          </w:tcPr>
          <w:p w14:paraId="6B23D442">
            <w:pPr>
              <w:widowControl/>
              <w:spacing w:line="360" w:lineRule="auto"/>
              <w:jc w:val="left"/>
              <w:rPr>
                <w:rFonts w:ascii="宋体" w:hAnsi="宋体" w:cs="仿宋"/>
                <w:color w:val="000000"/>
                <w:kern w:val="0"/>
                <w:szCs w:val="21"/>
              </w:rPr>
            </w:pPr>
          </w:p>
        </w:tc>
        <w:tc>
          <w:tcPr>
            <w:tcW w:w="3210" w:type="pct"/>
            <w:noWrap w:val="0"/>
            <w:vAlign w:val="center"/>
          </w:tcPr>
          <w:p w14:paraId="6ACE43FA">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w:t>
            </w:r>
            <w:r>
              <w:rPr>
                <w:rFonts w:hint="eastAsia" w:ascii="宋体" w:hAnsi="宋体" w:cs="仿宋"/>
                <w:color w:val="000000"/>
                <w:kern w:val="0"/>
                <w:szCs w:val="21"/>
                <w:lang w:val="en-US" w:eastAsia="zh-CN"/>
              </w:rPr>
              <w:t>0</w:t>
            </w:r>
            <w:r>
              <w:rPr>
                <w:rFonts w:hint="eastAsia" w:ascii="宋体" w:hAnsi="宋体" w:cs="仿宋"/>
                <w:color w:val="000000"/>
                <w:kern w:val="0"/>
                <w:szCs w:val="21"/>
              </w:rPr>
              <w:t>.支持开启国家体测模式，开启后通过移动端智慧体育助手开启的任务成绩归属于国家体测成绩；</w:t>
            </w:r>
          </w:p>
        </w:tc>
      </w:tr>
      <w:tr w14:paraId="02B3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3" w:type="pct"/>
            <w:vMerge w:val="continue"/>
            <w:noWrap/>
            <w:vAlign w:val="center"/>
          </w:tcPr>
          <w:p w14:paraId="7C9D549B">
            <w:pPr>
              <w:widowControl/>
              <w:spacing w:line="360" w:lineRule="auto"/>
              <w:jc w:val="left"/>
              <w:rPr>
                <w:rFonts w:ascii="宋体" w:hAnsi="宋体" w:cs="仿宋"/>
                <w:color w:val="000000"/>
                <w:kern w:val="0"/>
                <w:szCs w:val="21"/>
              </w:rPr>
            </w:pPr>
          </w:p>
        </w:tc>
        <w:tc>
          <w:tcPr>
            <w:tcW w:w="1415" w:type="pct"/>
            <w:vMerge w:val="continue"/>
            <w:noWrap w:val="0"/>
            <w:vAlign w:val="center"/>
          </w:tcPr>
          <w:p w14:paraId="464E9B61">
            <w:pPr>
              <w:widowControl/>
              <w:spacing w:line="360" w:lineRule="auto"/>
              <w:jc w:val="left"/>
              <w:rPr>
                <w:rFonts w:ascii="宋体" w:hAnsi="宋体" w:cs="仿宋"/>
                <w:color w:val="000000"/>
                <w:kern w:val="0"/>
                <w:szCs w:val="21"/>
              </w:rPr>
            </w:pPr>
          </w:p>
        </w:tc>
        <w:tc>
          <w:tcPr>
            <w:tcW w:w="3210" w:type="pct"/>
            <w:noWrap w:val="0"/>
            <w:vAlign w:val="center"/>
          </w:tcPr>
          <w:p w14:paraId="75661C86">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w:t>
            </w:r>
            <w:r>
              <w:rPr>
                <w:rFonts w:hint="eastAsia" w:ascii="宋体" w:hAnsi="宋体" w:cs="仿宋"/>
                <w:color w:val="000000"/>
                <w:kern w:val="0"/>
                <w:szCs w:val="21"/>
                <w:lang w:val="en-US" w:eastAsia="zh-CN"/>
              </w:rPr>
              <w:t>1</w:t>
            </w:r>
            <w:r>
              <w:rPr>
                <w:rFonts w:hint="eastAsia" w:ascii="宋体" w:hAnsi="宋体" w:cs="仿宋"/>
                <w:color w:val="000000"/>
                <w:kern w:val="0"/>
                <w:szCs w:val="21"/>
              </w:rPr>
              <w:t>.支持开启体育考试模式，开启后通过移动端智慧体育助手开启的任务成绩归属于体育考试成绩，支持将非体育考试的任务成绩归档到体育考试成绩；</w:t>
            </w:r>
          </w:p>
        </w:tc>
      </w:tr>
      <w:tr w14:paraId="46FB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3" w:type="pct"/>
            <w:vMerge w:val="continue"/>
            <w:noWrap/>
            <w:vAlign w:val="center"/>
          </w:tcPr>
          <w:p w14:paraId="1C33C1B8">
            <w:pPr>
              <w:widowControl/>
              <w:spacing w:line="360" w:lineRule="auto"/>
              <w:jc w:val="left"/>
              <w:rPr>
                <w:rFonts w:ascii="宋体" w:hAnsi="宋体" w:cs="仿宋"/>
                <w:color w:val="000000"/>
                <w:kern w:val="0"/>
                <w:szCs w:val="21"/>
              </w:rPr>
            </w:pPr>
          </w:p>
        </w:tc>
        <w:tc>
          <w:tcPr>
            <w:tcW w:w="1415" w:type="pct"/>
            <w:vMerge w:val="continue"/>
            <w:noWrap w:val="0"/>
            <w:vAlign w:val="center"/>
          </w:tcPr>
          <w:p w14:paraId="3FB56D82">
            <w:pPr>
              <w:widowControl/>
              <w:spacing w:line="360" w:lineRule="auto"/>
              <w:jc w:val="left"/>
              <w:rPr>
                <w:rFonts w:ascii="宋体" w:hAnsi="宋体" w:cs="仿宋"/>
                <w:color w:val="000000"/>
                <w:kern w:val="0"/>
                <w:szCs w:val="21"/>
              </w:rPr>
            </w:pPr>
          </w:p>
        </w:tc>
        <w:tc>
          <w:tcPr>
            <w:tcW w:w="3210" w:type="pct"/>
            <w:noWrap w:val="0"/>
            <w:vAlign w:val="center"/>
          </w:tcPr>
          <w:p w14:paraId="65D52AA3">
            <w:pPr>
              <w:widowControl/>
              <w:spacing w:line="360" w:lineRule="auto"/>
              <w:jc w:val="left"/>
              <w:rPr>
                <w:rFonts w:ascii="宋体" w:hAnsi="宋体" w:cs="仿宋"/>
                <w:color w:val="000000"/>
                <w:kern w:val="0"/>
                <w:szCs w:val="21"/>
              </w:rPr>
            </w:pPr>
            <w:r>
              <w:rPr>
                <w:rFonts w:hint="eastAsia" w:ascii="宋体" w:hAnsi="宋体" w:cs="仿宋"/>
                <w:color w:val="000000"/>
                <w:kern w:val="0"/>
                <w:szCs w:val="21"/>
                <w:lang w:val="en-US" w:eastAsia="zh-CN"/>
              </w:rPr>
              <w:t>12</w:t>
            </w:r>
            <w:r>
              <w:rPr>
                <w:rFonts w:hint="eastAsia" w:ascii="宋体" w:hAnsi="宋体" w:cs="仿宋"/>
                <w:color w:val="000000"/>
                <w:kern w:val="0"/>
                <w:szCs w:val="21"/>
              </w:rPr>
              <w:t>.支持查看学生运动档案，包含学生运动时长、阳光跑的里程记录、每日跑步里程和每日平均配速，以及其他项目的最佳运动记录、成绩趋势，支持对最佳成绩进行修改；</w:t>
            </w:r>
          </w:p>
        </w:tc>
      </w:tr>
      <w:tr w14:paraId="4670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3" w:type="pct"/>
            <w:vMerge w:val="continue"/>
            <w:noWrap/>
            <w:vAlign w:val="center"/>
          </w:tcPr>
          <w:p w14:paraId="42D4FE6C">
            <w:pPr>
              <w:widowControl/>
              <w:spacing w:line="360" w:lineRule="auto"/>
              <w:jc w:val="left"/>
              <w:rPr>
                <w:rFonts w:ascii="宋体" w:hAnsi="宋体" w:cs="仿宋"/>
                <w:color w:val="000000"/>
                <w:kern w:val="0"/>
                <w:szCs w:val="21"/>
              </w:rPr>
            </w:pPr>
          </w:p>
        </w:tc>
        <w:tc>
          <w:tcPr>
            <w:tcW w:w="1415" w:type="pct"/>
            <w:vMerge w:val="continue"/>
            <w:noWrap w:val="0"/>
            <w:vAlign w:val="center"/>
          </w:tcPr>
          <w:p w14:paraId="0F23F9C1">
            <w:pPr>
              <w:widowControl/>
              <w:spacing w:line="360" w:lineRule="auto"/>
              <w:jc w:val="left"/>
              <w:rPr>
                <w:rFonts w:ascii="宋体" w:hAnsi="宋体" w:cs="仿宋"/>
                <w:color w:val="000000"/>
                <w:kern w:val="0"/>
                <w:szCs w:val="21"/>
              </w:rPr>
            </w:pPr>
          </w:p>
        </w:tc>
        <w:tc>
          <w:tcPr>
            <w:tcW w:w="3210" w:type="pct"/>
            <w:noWrap w:val="0"/>
            <w:vAlign w:val="center"/>
          </w:tcPr>
          <w:p w14:paraId="26C43C4B">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w:t>
            </w:r>
            <w:r>
              <w:rPr>
                <w:rFonts w:hint="eastAsia" w:ascii="宋体" w:hAnsi="宋体" w:cs="仿宋"/>
                <w:color w:val="000000"/>
                <w:kern w:val="0"/>
                <w:szCs w:val="21"/>
                <w:lang w:val="en-US" w:eastAsia="zh-CN"/>
              </w:rPr>
              <w:t>3</w:t>
            </w:r>
            <w:r>
              <w:rPr>
                <w:rFonts w:hint="eastAsia" w:ascii="宋体" w:hAnsi="宋体" w:cs="仿宋"/>
                <w:color w:val="000000"/>
                <w:kern w:val="0"/>
                <w:szCs w:val="21"/>
              </w:rPr>
              <w:t>.系统提供智慧体育使用视频教程，包含全部项目的测试教学演示视频、测试场景国家体测数据下载视频、智慧体育平台操作视频等；</w:t>
            </w:r>
          </w:p>
        </w:tc>
      </w:tr>
      <w:tr w14:paraId="510B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3" w:type="pct"/>
            <w:vMerge w:val="continue"/>
            <w:noWrap/>
            <w:vAlign w:val="center"/>
          </w:tcPr>
          <w:p w14:paraId="417EF4B9">
            <w:pPr>
              <w:widowControl/>
              <w:spacing w:line="360" w:lineRule="auto"/>
              <w:jc w:val="left"/>
              <w:rPr>
                <w:rFonts w:ascii="宋体" w:hAnsi="宋体" w:cs="仿宋"/>
                <w:color w:val="000000"/>
                <w:kern w:val="0"/>
                <w:szCs w:val="21"/>
              </w:rPr>
            </w:pPr>
          </w:p>
        </w:tc>
        <w:tc>
          <w:tcPr>
            <w:tcW w:w="1415" w:type="pct"/>
            <w:vMerge w:val="continue"/>
            <w:noWrap w:val="0"/>
            <w:vAlign w:val="center"/>
          </w:tcPr>
          <w:p w14:paraId="3387495D">
            <w:pPr>
              <w:widowControl/>
              <w:spacing w:line="360" w:lineRule="auto"/>
              <w:jc w:val="left"/>
              <w:rPr>
                <w:rFonts w:ascii="宋体" w:hAnsi="宋体" w:cs="仿宋"/>
                <w:color w:val="000000"/>
                <w:kern w:val="0"/>
                <w:szCs w:val="21"/>
              </w:rPr>
            </w:pPr>
          </w:p>
        </w:tc>
        <w:tc>
          <w:tcPr>
            <w:tcW w:w="3210" w:type="pct"/>
            <w:noWrap w:val="0"/>
            <w:vAlign w:val="center"/>
          </w:tcPr>
          <w:p w14:paraId="527FBD4E">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w:t>
            </w:r>
            <w:r>
              <w:rPr>
                <w:rFonts w:hint="eastAsia" w:ascii="宋体" w:hAnsi="宋体" w:cs="仿宋"/>
                <w:color w:val="000000"/>
                <w:kern w:val="0"/>
                <w:szCs w:val="21"/>
                <w:lang w:val="en-US" w:eastAsia="zh-CN"/>
              </w:rPr>
              <w:t>4</w:t>
            </w:r>
            <w:r>
              <w:rPr>
                <w:rFonts w:hint="eastAsia" w:ascii="宋体" w:hAnsi="宋体" w:cs="仿宋"/>
                <w:color w:val="000000"/>
                <w:kern w:val="0"/>
                <w:szCs w:val="21"/>
              </w:rPr>
              <w:t>.支持版本更新提醒、确认，以及在线版本信息查看等功能；</w:t>
            </w:r>
          </w:p>
        </w:tc>
      </w:tr>
      <w:tr w14:paraId="0FEF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3" w:type="pct"/>
            <w:vMerge w:val="continue"/>
            <w:noWrap/>
            <w:vAlign w:val="center"/>
          </w:tcPr>
          <w:p w14:paraId="1D0D3C32">
            <w:pPr>
              <w:widowControl/>
              <w:spacing w:line="360" w:lineRule="auto"/>
              <w:jc w:val="left"/>
              <w:rPr>
                <w:rFonts w:ascii="宋体" w:hAnsi="宋体" w:cs="仿宋"/>
                <w:color w:val="000000"/>
                <w:kern w:val="0"/>
                <w:szCs w:val="21"/>
              </w:rPr>
            </w:pPr>
          </w:p>
        </w:tc>
        <w:tc>
          <w:tcPr>
            <w:tcW w:w="1415" w:type="pct"/>
            <w:vMerge w:val="continue"/>
            <w:noWrap w:val="0"/>
            <w:vAlign w:val="center"/>
          </w:tcPr>
          <w:p w14:paraId="55965EE0">
            <w:pPr>
              <w:widowControl/>
              <w:spacing w:line="360" w:lineRule="auto"/>
              <w:jc w:val="left"/>
              <w:rPr>
                <w:rFonts w:ascii="宋体" w:hAnsi="宋体" w:cs="仿宋"/>
                <w:color w:val="000000"/>
                <w:kern w:val="0"/>
                <w:szCs w:val="21"/>
              </w:rPr>
            </w:pPr>
          </w:p>
        </w:tc>
        <w:tc>
          <w:tcPr>
            <w:tcW w:w="3210" w:type="pct"/>
            <w:noWrap w:val="0"/>
            <w:vAlign w:val="center"/>
          </w:tcPr>
          <w:p w14:paraId="0D066343">
            <w:pPr>
              <w:widowControl/>
              <w:spacing w:line="360" w:lineRule="auto"/>
              <w:jc w:val="left"/>
              <w:rPr>
                <w:rFonts w:hint="eastAsia" w:ascii="宋体" w:hAnsi="宋体" w:cs="仿宋"/>
                <w:color w:val="000000"/>
                <w:kern w:val="0"/>
                <w:szCs w:val="21"/>
              </w:rPr>
            </w:pPr>
            <w:r>
              <w:rPr>
                <w:rFonts w:hint="eastAsia" w:ascii="宋体" w:hAnsi="宋体" w:cs="仿宋"/>
                <w:color w:val="000000"/>
                <w:kern w:val="0"/>
                <w:szCs w:val="21"/>
              </w:rPr>
              <w:t>1</w:t>
            </w:r>
            <w:r>
              <w:rPr>
                <w:rFonts w:hint="eastAsia" w:ascii="宋体" w:hAnsi="宋体" w:cs="仿宋"/>
                <w:color w:val="000000"/>
                <w:kern w:val="0"/>
                <w:szCs w:val="21"/>
                <w:lang w:val="en-US" w:eastAsia="zh-CN"/>
              </w:rPr>
              <w:t>5</w:t>
            </w:r>
            <w:r>
              <w:rPr>
                <w:rFonts w:hint="eastAsia" w:ascii="宋体" w:hAnsi="宋体" w:cs="仿宋"/>
                <w:color w:val="000000"/>
                <w:kern w:val="0"/>
                <w:szCs w:val="21"/>
              </w:rPr>
              <w:t>.通过虚拟组班，帮助体育老师实现走班教学、兴趣小组等多种教学情况。</w:t>
            </w:r>
          </w:p>
        </w:tc>
      </w:tr>
      <w:tr w14:paraId="6A96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3" w:type="pct"/>
            <w:vMerge w:val="continue"/>
            <w:noWrap/>
            <w:vAlign w:val="center"/>
          </w:tcPr>
          <w:p w14:paraId="03065474">
            <w:pPr>
              <w:widowControl/>
              <w:spacing w:line="360" w:lineRule="auto"/>
              <w:jc w:val="left"/>
              <w:rPr>
                <w:rFonts w:ascii="宋体" w:hAnsi="宋体" w:cs="仿宋"/>
                <w:color w:val="000000"/>
                <w:kern w:val="0"/>
                <w:szCs w:val="21"/>
              </w:rPr>
            </w:pPr>
          </w:p>
        </w:tc>
        <w:tc>
          <w:tcPr>
            <w:tcW w:w="1415" w:type="pct"/>
            <w:vMerge w:val="continue"/>
            <w:noWrap w:val="0"/>
            <w:vAlign w:val="center"/>
          </w:tcPr>
          <w:p w14:paraId="740058BB">
            <w:pPr>
              <w:widowControl/>
              <w:spacing w:line="360" w:lineRule="auto"/>
              <w:jc w:val="left"/>
              <w:rPr>
                <w:rFonts w:ascii="宋体" w:hAnsi="宋体" w:cs="仿宋"/>
                <w:color w:val="000000"/>
                <w:kern w:val="0"/>
                <w:szCs w:val="21"/>
              </w:rPr>
            </w:pPr>
          </w:p>
        </w:tc>
        <w:tc>
          <w:tcPr>
            <w:tcW w:w="3210" w:type="pct"/>
            <w:noWrap w:val="0"/>
            <w:vAlign w:val="center"/>
          </w:tcPr>
          <w:p w14:paraId="34E57311">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w:t>
            </w:r>
            <w:r>
              <w:rPr>
                <w:rFonts w:hint="eastAsia" w:ascii="宋体" w:hAnsi="宋体" w:cs="仿宋"/>
                <w:color w:val="000000"/>
                <w:kern w:val="0"/>
                <w:szCs w:val="21"/>
                <w:lang w:val="en-US" w:eastAsia="zh-CN"/>
              </w:rPr>
              <w:t>6</w:t>
            </w:r>
            <w:bookmarkStart w:id="9" w:name="_GoBack"/>
            <w:bookmarkEnd w:id="9"/>
            <w:r>
              <w:rPr>
                <w:rFonts w:hint="eastAsia" w:ascii="宋体" w:hAnsi="宋体" w:cs="仿宋"/>
                <w:color w:val="000000"/>
                <w:kern w:val="0"/>
                <w:szCs w:val="21"/>
              </w:rPr>
              <w:t>.支持在线联系客服反馈产品需求，匹配在线售后服务体系。</w:t>
            </w:r>
          </w:p>
        </w:tc>
      </w:tr>
      <w:tr w14:paraId="3CCC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restart"/>
            <w:noWrap/>
            <w:vAlign w:val="center"/>
          </w:tcPr>
          <w:p w14:paraId="64E76087">
            <w:pPr>
              <w:widowControl/>
              <w:numPr>
                <w:ilvl w:val="0"/>
                <w:numId w:val="3"/>
              </w:numPr>
              <w:jc w:val="center"/>
              <w:textAlignment w:val="center"/>
              <w:rPr>
                <w:rFonts w:ascii="宋体" w:hAnsi="宋体" w:cs="仿宋"/>
                <w:color w:val="000000"/>
                <w:szCs w:val="21"/>
              </w:rPr>
            </w:pPr>
          </w:p>
        </w:tc>
        <w:tc>
          <w:tcPr>
            <w:tcW w:w="1415" w:type="pct"/>
            <w:vMerge w:val="restart"/>
            <w:noWrap w:val="0"/>
            <w:vAlign w:val="center"/>
          </w:tcPr>
          <w:p w14:paraId="4A4C3C3B">
            <w:pPr>
              <w:widowControl/>
              <w:jc w:val="center"/>
              <w:textAlignment w:val="center"/>
              <w:rPr>
                <w:rFonts w:ascii="宋体" w:hAnsi="宋体" w:cs="仿宋"/>
                <w:color w:val="000000"/>
                <w:szCs w:val="21"/>
              </w:rPr>
            </w:pPr>
            <w:r>
              <w:rPr>
                <w:rFonts w:hint="eastAsia" w:ascii="宋体" w:hAnsi="宋体" w:cs="仿宋"/>
                <w:color w:val="000000"/>
                <w:kern w:val="0"/>
                <w:szCs w:val="21"/>
              </w:rPr>
              <w:t>AI阳光跑（夜跑版）</w:t>
            </w:r>
          </w:p>
        </w:tc>
        <w:tc>
          <w:tcPr>
            <w:tcW w:w="3210" w:type="pct"/>
            <w:noWrap w:val="0"/>
            <w:vAlign w:val="center"/>
          </w:tcPr>
          <w:p w14:paraId="57AA8E91">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1．支持学生阳光晨跑、大课间跑操、课前热身、自由跑等多种应用场景；</w:t>
            </w:r>
          </w:p>
        </w:tc>
      </w:tr>
      <w:tr w14:paraId="5323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10467EDF">
            <w:pPr>
              <w:widowControl/>
              <w:spacing w:line="360" w:lineRule="auto"/>
              <w:jc w:val="left"/>
              <w:rPr>
                <w:rFonts w:ascii="宋体" w:hAnsi="宋体"/>
                <w:szCs w:val="21"/>
              </w:rPr>
            </w:pPr>
          </w:p>
        </w:tc>
        <w:tc>
          <w:tcPr>
            <w:tcW w:w="1415" w:type="pct"/>
            <w:vMerge w:val="continue"/>
            <w:noWrap w:val="0"/>
            <w:vAlign w:val="center"/>
          </w:tcPr>
          <w:p w14:paraId="10EA8808">
            <w:pPr>
              <w:widowControl/>
              <w:spacing w:line="360" w:lineRule="auto"/>
              <w:jc w:val="left"/>
              <w:rPr>
                <w:rFonts w:ascii="宋体" w:hAnsi="宋体"/>
                <w:szCs w:val="21"/>
              </w:rPr>
            </w:pPr>
          </w:p>
        </w:tc>
        <w:tc>
          <w:tcPr>
            <w:tcW w:w="3210" w:type="pct"/>
            <w:noWrap w:val="0"/>
            <w:vAlign w:val="center"/>
          </w:tcPr>
          <w:p w14:paraId="7C3399C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2．支持智能检测阳光跑成绩，包含跑步距离（里程）、跑步时长、跑步配速，误差：平均里程≤2%、平均时长≤2%；</w:t>
            </w:r>
          </w:p>
        </w:tc>
      </w:tr>
      <w:tr w14:paraId="7EFB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40E13150">
            <w:pPr>
              <w:widowControl/>
              <w:spacing w:line="360" w:lineRule="auto"/>
              <w:jc w:val="left"/>
              <w:rPr>
                <w:rFonts w:ascii="宋体" w:hAnsi="宋体" w:cs="仿宋"/>
                <w:color w:val="000000"/>
                <w:kern w:val="0"/>
                <w:szCs w:val="21"/>
              </w:rPr>
            </w:pPr>
          </w:p>
        </w:tc>
        <w:tc>
          <w:tcPr>
            <w:tcW w:w="1415" w:type="pct"/>
            <w:vMerge w:val="continue"/>
            <w:noWrap w:val="0"/>
            <w:vAlign w:val="center"/>
          </w:tcPr>
          <w:p w14:paraId="4A54444D">
            <w:pPr>
              <w:widowControl/>
              <w:spacing w:line="360" w:lineRule="auto"/>
              <w:jc w:val="left"/>
              <w:rPr>
                <w:rFonts w:ascii="宋体" w:hAnsi="宋体" w:cs="仿宋"/>
                <w:color w:val="000000"/>
                <w:kern w:val="0"/>
                <w:szCs w:val="21"/>
              </w:rPr>
            </w:pPr>
          </w:p>
        </w:tc>
        <w:tc>
          <w:tcPr>
            <w:tcW w:w="3210" w:type="pct"/>
            <w:noWrap w:val="0"/>
            <w:vAlign w:val="center"/>
          </w:tcPr>
          <w:p w14:paraId="5F770D9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3．分度值：里程≤1m、时长≤1s；</w:t>
            </w:r>
          </w:p>
        </w:tc>
      </w:tr>
      <w:tr w14:paraId="3ACA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7D65AF1E">
            <w:pPr>
              <w:widowControl/>
              <w:spacing w:line="360" w:lineRule="auto"/>
              <w:jc w:val="left"/>
              <w:rPr>
                <w:rFonts w:ascii="宋体" w:hAnsi="宋体" w:cs="仿宋"/>
                <w:color w:val="000000"/>
                <w:kern w:val="0"/>
                <w:szCs w:val="21"/>
              </w:rPr>
            </w:pPr>
          </w:p>
        </w:tc>
        <w:tc>
          <w:tcPr>
            <w:tcW w:w="1415" w:type="pct"/>
            <w:vMerge w:val="continue"/>
            <w:noWrap w:val="0"/>
            <w:vAlign w:val="center"/>
          </w:tcPr>
          <w:p w14:paraId="1DBCF7E7">
            <w:pPr>
              <w:widowControl/>
              <w:spacing w:line="360" w:lineRule="auto"/>
              <w:jc w:val="left"/>
              <w:rPr>
                <w:rFonts w:ascii="宋体" w:hAnsi="宋体" w:cs="仿宋"/>
                <w:color w:val="000000"/>
                <w:kern w:val="0"/>
                <w:szCs w:val="21"/>
              </w:rPr>
            </w:pPr>
          </w:p>
        </w:tc>
        <w:tc>
          <w:tcPr>
            <w:tcW w:w="3210" w:type="pct"/>
            <w:noWrap w:val="0"/>
            <w:vAlign w:val="center"/>
          </w:tcPr>
          <w:p w14:paraId="0944CC0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▲4．支持至少千人以上同时测试；</w:t>
            </w:r>
            <w:r>
              <w:rPr>
                <w:rFonts w:hint="eastAsia" w:ascii="宋体" w:hAnsi="宋体" w:cs="仿宋"/>
                <w:b/>
                <w:bCs/>
                <w:color w:val="FF0000"/>
                <w:kern w:val="0"/>
                <w:szCs w:val="21"/>
                <w:lang w:bidi="ar"/>
              </w:rPr>
              <w:t>提供具有检测资质的第三方检验检测机构出具的带有CMA标识的检验检测报告关键页扫描件，检验（检测）报告检测项目里面明确备注说明相关检验检测项不在检验检测机构CMA资质许可(认定)范围内的则视为负偏离，未按要求提供或提供不清晰导致专家无法判断的不得分</w:t>
            </w:r>
          </w:p>
        </w:tc>
      </w:tr>
      <w:tr w14:paraId="4096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319192D0">
            <w:pPr>
              <w:widowControl/>
              <w:spacing w:line="360" w:lineRule="auto"/>
              <w:jc w:val="left"/>
              <w:rPr>
                <w:rFonts w:ascii="宋体" w:hAnsi="宋体" w:cs="仿宋"/>
                <w:color w:val="000000"/>
                <w:kern w:val="0"/>
                <w:szCs w:val="21"/>
              </w:rPr>
            </w:pPr>
          </w:p>
        </w:tc>
        <w:tc>
          <w:tcPr>
            <w:tcW w:w="1415" w:type="pct"/>
            <w:vMerge w:val="continue"/>
            <w:noWrap w:val="0"/>
            <w:vAlign w:val="center"/>
          </w:tcPr>
          <w:p w14:paraId="6F65365E">
            <w:pPr>
              <w:widowControl/>
              <w:spacing w:line="360" w:lineRule="auto"/>
              <w:jc w:val="left"/>
              <w:rPr>
                <w:rFonts w:ascii="宋体" w:hAnsi="宋体" w:cs="仿宋"/>
                <w:color w:val="000000"/>
                <w:kern w:val="0"/>
                <w:szCs w:val="21"/>
              </w:rPr>
            </w:pPr>
          </w:p>
        </w:tc>
        <w:tc>
          <w:tcPr>
            <w:tcW w:w="3210" w:type="pct"/>
            <w:noWrap w:val="0"/>
            <w:vAlign w:val="center"/>
          </w:tcPr>
          <w:p w14:paraId="30DACF5F">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▲5．支持白天正常光线条件和夜间及光线不足的条件下智能检测阳光跑成绩，夜跑人脸识别率≥97%，数据准确率≥95%；</w:t>
            </w:r>
            <w:r>
              <w:rPr>
                <w:rFonts w:hint="eastAsia" w:ascii="宋体" w:hAnsi="宋体" w:cs="仿宋"/>
                <w:b/>
                <w:bCs/>
                <w:color w:val="FF0000"/>
                <w:kern w:val="0"/>
                <w:szCs w:val="21"/>
                <w:lang w:bidi="ar"/>
              </w:rPr>
              <w:t>提供具有检测资质的第三方检验检测机构出具的带有CMA标识的检验检测报告关键页扫描件，检验（检测）报告检测项目里面明确备注说明相关检验检测项不在检验检测机构CMA资质许可(认定)范围内的则视为负偏离，未按要求提供或提供不清晰导致专家无法判断的不得分</w:t>
            </w:r>
          </w:p>
        </w:tc>
      </w:tr>
      <w:tr w14:paraId="15AD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75F2047F">
            <w:pPr>
              <w:widowControl/>
              <w:spacing w:line="360" w:lineRule="auto"/>
              <w:jc w:val="left"/>
              <w:rPr>
                <w:rFonts w:ascii="宋体" w:hAnsi="宋体" w:cs="仿宋"/>
                <w:color w:val="000000"/>
                <w:kern w:val="0"/>
                <w:szCs w:val="21"/>
              </w:rPr>
            </w:pPr>
          </w:p>
        </w:tc>
        <w:tc>
          <w:tcPr>
            <w:tcW w:w="1415" w:type="pct"/>
            <w:vMerge w:val="continue"/>
            <w:noWrap w:val="0"/>
            <w:vAlign w:val="center"/>
          </w:tcPr>
          <w:p w14:paraId="214E591A">
            <w:pPr>
              <w:widowControl/>
              <w:spacing w:line="360" w:lineRule="auto"/>
              <w:jc w:val="left"/>
              <w:rPr>
                <w:rFonts w:ascii="宋体" w:hAnsi="宋体" w:cs="仿宋"/>
                <w:color w:val="000000"/>
                <w:kern w:val="0"/>
                <w:szCs w:val="21"/>
              </w:rPr>
            </w:pPr>
          </w:p>
        </w:tc>
        <w:tc>
          <w:tcPr>
            <w:tcW w:w="3210" w:type="pct"/>
            <w:noWrap w:val="0"/>
            <w:vAlign w:val="center"/>
          </w:tcPr>
          <w:p w14:paraId="332263D6">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6．支持跑步过程中系统自动通过无感人脸进行身份识别，同时捕捉学生跑步信息，自动实时计算每位学生每次跑步的总里程时间，并自动计算本次跑步配速；</w:t>
            </w:r>
          </w:p>
        </w:tc>
      </w:tr>
      <w:tr w14:paraId="24CA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53877DE3">
            <w:pPr>
              <w:widowControl/>
              <w:spacing w:line="360" w:lineRule="auto"/>
              <w:jc w:val="left"/>
              <w:rPr>
                <w:rFonts w:ascii="宋体" w:hAnsi="宋体" w:cs="仿宋"/>
                <w:color w:val="000000"/>
                <w:kern w:val="0"/>
                <w:szCs w:val="21"/>
              </w:rPr>
            </w:pPr>
          </w:p>
        </w:tc>
        <w:tc>
          <w:tcPr>
            <w:tcW w:w="1415" w:type="pct"/>
            <w:vMerge w:val="continue"/>
            <w:noWrap w:val="0"/>
            <w:vAlign w:val="center"/>
          </w:tcPr>
          <w:p w14:paraId="0E1CF037">
            <w:pPr>
              <w:widowControl/>
              <w:spacing w:line="360" w:lineRule="auto"/>
              <w:jc w:val="left"/>
              <w:rPr>
                <w:rFonts w:ascii="宋体" w:hAnsi="宋体" w:cs="仿宋"/>
                <w:color w:val="000000"/>
                <w:kern w:val="0"/>
                <w:szCs w:val="21"/>
              </w:rPr>
            </w:pPr>
          </w:p>
        </w:tc>
        <w:tc>
          <w:tcPr>
            <w:tcW w:w="3210" w:type="pct"/>
            <w:noWrap w:val="0"/>
            <w:vAlign w:val="center"/>
          </w:tcPr>
          <w:p w14:paraId="71E99CE2">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7．支持人脸识别测试，学生无操作零接触设备识别人脸，系统自动匹配学生信息开始测试，人脸识别率≥98%；</w:t>
            </w:r>
          </w:p>
        </w:tc>
      </w:tr>
      <w:tr w14:paraId="62E6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0E6965A8">
            <w:pPr>
              <w:widowControl/>
              <w:spacing w:line="360" w:lineRule="auto"/>
              <w:jc w:val="left"/>
              <w:rPr>
                <w:rFonts w:ascii="宋体" w:hAnsi="宋体" w:cs="仿宋"/>
                <w:color w:val="000000"/>
                <w:kern w:val="0"/>
                <w:szCs w:val="21"/>
              </w:rPr>
            </w:pPr>
          </w:p>
        </w:tc>
        <w:tc>
          <w:tcPr>
            <w:tcW w:w="1415" w:type="pct"/>
            <w:vMerge w:val="continue"/>
            <w:noWrap w:val="0"/>
            <w:vAlign w:val="center"/>
          </w:tcPr>
          <w:p w14:paraId="7F0F0BA0">
            <w:pPr>
              <w:widowControl/>
              <w:spacing w:line="360" w:lineRule="auto"/>
              <w:jc w:val="left"/>
              <w:rPr>
                <w:rFonts w:ascii="宋体" w:hAnsi="宋体" w:cs="仿宋"/>
                <w:color w:val="000000"/>
                <w:kern w:val="0"/>
                <w:szCs w:val="21"/>
              </w:rPr>
            </w:pPr>
          </w:p>
        </w:tc>
        <w:tc>
          <w:tcPr>
            <w:tcW w:w="3210" w:type="pct"/>
            <w:noWrap w:val="0"/>
            <w:vAlign w:val="center"/>
          </w:tcPr>
          <w:p w14:paraId="01037A81">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8．支持作弊检测，操场布置有多个识别区，有效识别学生是否完成完整的跑步，学生跑步过程必须在相邻无感识别区做有效识别，相应里程才会被汇总计入；</w:t>
            </w:r>
          </w:p>
        </w:tc>
      </w:tr>
      <w:tr w14:paraId="3389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067849EC">
            <w:pPr>
              <w:widowControl/>
              <w:spacing w:line="360" w:lineRule="auto"/>
              <w:jc w:val="left"/>
              <w:rPr>
                <w:rFonts w:ascii="宋体" w:hAnsi="宋体" w:cs="仿宋"/>
                <w:color w:val="000000"/>
                <w:kern w:val="0"/>
                <w:szCs w:val="21"/>
              </w:rPr>
            </w:pPr>
          </w:p>
        </w:tc>
        <w:tc>
          <w:tcPr>
            <w:tcW w:w="1415" w:type="pct"/>
            <w:vMerge w:val="continue"/>
            <w:noWrap w:val="0"/>
            <w:vAlign w:val="center"/>
          </w:tcPr>
          <w:p w14:paraId="73DB359C">
            <w:pPr>
              <w:widowControl/>
              <w:spacing w:line="360" w:lineRule="auto"/>
              <w:jc w:val="left"/>
              <w:rPr>
                <w:rFonts w:ascii="宋体" w:hAnsi="宋体" w:cs="仿宋"/>
                <w:color w:val="000000"/>
                <w:kern w:val="0"/>
                <w:szCs w:val="21"/>
              </w:rPr>
            </w:pPr>
          </w:p>
        </w:tc>
        <w:tc>
          <w:tcPr>
            <w:tcW w:w="3210" w:type="pct"/>
            <w:noWrap w:val="0"/>
            <w:vAlign w:val="center"/>
          </w:tcPr>
          <w:p w14:paraId="1559583D">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9．支持抄近道检测，没有按照识别区顺序被依次识别，相应里程不计入总里程；</w:t>
            </w:r>
          </w:p>
        </w:tc>
      </w:tr>
      <w:tr w14:paraId="054D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13DDD1E5">
            <w:pPr>
              <w:widowControl/>
              <w:spacing w:line="360" w:lineRule="auto"/>
              <w:jc w:val="left"/>
              <w:rPr>
                <w:rFonts w:ascii="宋体" w:hAnsi="宋体" w:cs="仿宋"/>
                <w:color w:val="000000"/>
                <w:kern w:val="0"/>
                <w:szCs w:val="21"/>
              </w:rPr>
            </w:pPr>
          </w:p>
        </w:tc>
        <w:tc>
          <w:tcPr>
            <w:tcW w:w="1415" w:type="pct"/>
            <w:vMerge w:val="continue"/>
            <w:noWrap w:val="0"/>
            <w:vAlign w:val="center"/>
          </w:tcPr>
          <w:p w14:paraId="7761DB8D">
            <w:pPr>
              <w:widowControl/>
              <w:spacing w:line="360" w:lineRule="auto"/>
              <w:jc w:val="left"/>
              <w:rPr>
                <w:rFonts w:ascii="宋体" w:hAnsi="宋体" w:cs="仿宋"/>
                <w:color w:val="000000"/>
                <w:kern w:val="0"/>
                <w:szCs w:val="21"/>
              </w:rPr>
            </w:pPr>
          </w:p>
        </w:tc>
        <w:tc>
          <w:tcPr>
            <w:tcW w:w="5784" w:type="dxa"/>
            <w:noWrap w:val="0"/>
            <w:vAlign w:val="center"/>
          </w:tcPr>
          <w:p w14:paraId="531C224D">
            <w:pPr>
              <w:pStyle w:val="9"/>
              <w:numPr>
                <w:ilvl w:val="0"/>
                <w:numId w:val="0"/>
              </w:numPr>
              <w:spacing w:line="240" w:lineRule="auto"/>
              <w:rPr>
                <w:rFonts w:hint="eastAsia" w:ascii="宋体" w:hAnsi="宋体" w:eastAsia="宋体" w:cs="仿宋"/>
                <w:color w:val="000000"/>
                <w:sz w:val="21"/>
                <w:szCs w:val="21"/>
              </w:rPr>
            </w:pPr>
            <w:r>
              <w:rPr>
                <w:rFonts w:hint="eastAsia" w:ascii="宋体" w:hAnsi="宋体" w:eastAsia="宋体" w:cs="仿宋"/>
                <w:color w:val="000000"/>
                <w:sz w:val="21"/>
                <w:szCs w:val="21"/>
                <w:lang w:val="en-US" w:eastAsia="zh-CN"/>
              </w:rPr>
              <w:t>10</w:t>
            </w:r>
            <w:r>
              <w:rPr>
                <w:rFonts w:hint="eastAsia" w:ascii="宋体" w:hAnsi="宋体" w:eastAsia="宋体" w:cs="仿宋"/>
                <w:color w:val="000000"/>
                <w:sz w:val="21"/>
                <w:szCs w:val="21"/>
              </w:rPr>
              <w:t>.速度违规检测：此功能用于监控学生在阳光跑中的速度。如果出现速度异常（无论是过快还是过慢），这些记录将被排除在外，不会计入总里程数中。</w:t>
            </w:r>
          </w:p>
        </w:tc>
      </w:tr>
      <w:tr w14:paraId="380A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3FA420B1">
            <w:pPr>
              <w:widowControl/>
              <w:spacing w:line="360" w:lineRule="auto"/>
              <w:jc w:val="left"/>
              <w:rPr>
                <w:rFonts w:ascii="宋体" w:hAnsi="宋体" w:cs="仿宋"/>
                <w:color w:val="000000"/>
                <w:kern w:val="0"/>
                <w:szCs w:val="21"/>
              </w:rPr>
            </w:pPr>
          </w:p>
        </w:tc>
        <w:tc>
          <w:tcPr>
            <w:tcW w:w="1415" w:type="pct"/>
            <w:vMerge w:val="continue"/>
            <w:noWrap w:val="0"/>
            <w:vAlign w:val="center"/>
          </w:tcPr>
          <w:p w14:paraId="1D8DF671">
            <w:pPr>
              <w:widowControl/>
              <w:spacing w:line="360" w:lineRule="auto"/>
              <w:jc w:val="left"/>
              <w:rPr>
                <w:rFonts w:ascii="宋体" w:hAnsi="宋体" w:cs="仿宋"/>
                <w:color w:val="000000"/>
                <w:kern w:val="0"/>
                <w:szCs w:val="21"/>
              </w:rPr>
            </w:pPr>
          </w:p>
        </w:tc>
        <w:tc>
          <w:tcPr>
            <w:tcW w:w="5784" w:type="dxa"/>
            <w:noWrap w:val="0"/>
            <w:vAlign w:val="center"/>
          </w:tcPr>
          <w:p w14:paraId="08261200">
            <w:pPr>
              <w:pStyle w:val="9"/>
              <w:numPr>
                <w:ilvl w:val="0"/>
                <w:numId w:val="0"/>
              </w:numPr>
              <w:spacing w:line="240" w:lineRule="auto"/>
              <w:rPr>
                <w:rFonts w:hint="eastAsia" w:ascii="宋体" w:hAnsi="宋体" w:eastAsia="宋体" w:cs="仿宋"/>
                <w:color w:val="000000"/>
                <w:sz w:val="21"/>
                <w:szCs w:val="21"/>
              </w:rPr>
            </w:pPr>
            <w:r>
              <w:rPr>
                <w:rFonts w:hint="eastAsia" w:ascii="宋体" w:hAnsi="宋体" w:eastAsia="宋体" w:cs="仿宋"/>
                <w:color w:val="000000"/>
                <w:sz w:val="21"/>
                <w:szCs w:val="21"/>
                <w:lang w:val="en-US" w:eastAsia="zh-CN"/>
              </w:rPr>
              <w:t>11</w:t>
            </w:r>
            <w:r>
              <w:rPr>
                <w:rFonts w:hint="eastAsia" w:ascii="宋体" w:hAnsi="宋体" w:eastAsia="宋体" w:cs="仿宋"/>
                <w:color w:val="000000"/>
                <w:sz w:val="21"/>
                <w:szCs w:val="21"/>
              </w:rPr>
              <w:t>.违规区域检测：此功能用于识别出在规定跑步区域内的运动记录，如出现横穿跑道等情况，此记录都将被过滤掉，不会计入总里程数。</w:t>
            </w:r>
          </w:p>
        </w:tc>
      </w:tr>
      <w:tr w14:paraId="1321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5F75E1E4">
            <w:pPr>
              <w:widowControl/>
              <w:spacing w:line="360" w:lineRule="auto"/>
              <w:jc w:val="left"/>
              <w:rPr>
                <w:rFonts w:ascii="宋体" w:hAnsi="宋体" w:cs="仿宋"/>
                <w:color w:val="000000"/>
                <w:kern w:val="0"/>
                <w:szCs w:val="21"/>
              </w:rPr>
            </w:pPr>
          </w:p>
        </w:tc>
        <w:tc>
          <w:tcPr>
            <w:tcW w:w="1415" w:type="pct"/>
            <w:vMerge w:val="continue"/>
            <w:noWrap w:val="0"/>
            <w:vAlign w:val="center"/>
          </w:tcPr>
          <w:p w14:paraId="57750D85">
            <w:pPr>
              <w:widowControl/>
              <w:spacing w:line="360" w:lineRule="auto"/>
              <w:jc w:val="left"/>
              <w:rPr>
                <w:rFonts w:ascii="宋体" w:hAnsi="宋体" w:cs="仿宋"/>
                <w:color w:val="000000"/>
                <w:kern w:val="0"/>
                <w:szCs w:val="21"/>
              </w:rPr>
            </w:pPr>
          </w:p>
        </w:tc>
        <w:tc>
          <w:tcPr>
            <w:tcW w:w="3210" w:type="pct"/>
            <w:noWrap w:val="0"/>
            <w:vAlign w:val="center"/>
          </w:tcPr>
          <w:p w14:paraId="7088370B">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12．支持配速管理设置：支持系统后台进行配速管理，包括设置相邻识别区最短时长、最长离线时间；</w:t>
            </w:r>
          </w:p>
        </w:tc>
      </w:tr>
      <w:tr w14:paraId="6BDB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6319B18C">
            <w:pPr>
              <w:widowControl/>
              <w:spacing w:line="360" w:lineRule="auto"/>
              <w:jc w:val="left"/>
              <w:rPr>
                <w:rFonts w:ascii="宋体" w:hAnsi="宋体" w:cs="仿宋"/>
                <w:color w:val="000000"/>
                <w:kern w:val="0"/>
                <w:szCs w:val="21"/>
              </w:rPr>
            </w:pPr>
          </w:p>
        </w:tc>
        <w:tc>
          <w:tcPr>
            <w:tcW w:w="1415" w:type="pct"/>
            <w:vMerge w:val="continue"/>
            <w:noWrap w:val="0"/>
            <w:vAlign w:val="center"/>
          </w:tcPr>
          <w:p w14:paraId="2E2C4F85">
            <w:pPr>
              <w:widowControl/>
              <w:spacing w:line="360" w:lineRule="auto"/>
              <w:jc w:val="left"/>
              <w:rPr>
                <w:rFonts w:ascii="宋体" w:hAnsi="宋体" w:cs="仿宋"/>
                <w:color w:val="000000"/>
                <w:kern w:val="0"/>
                <w:szCs w:val="21"/>
              </w:rPr>
            </w:pPr>
          </w:p>
        </w:tc>
        <w:tc>
          <w:tcPr>
            <w:tcW w:w="3210" w:type="pct"/>
            <w:noWrap w:val="0"/>
            <w:vAlign w:val="center"/>
          </w:tcPr>
          <w:p w14:paraId="5532BC3D">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13．支持里程限制管理：支持后台设置单日最大里程、周最大里程，并支持分性别设置男生、女生最大里程。</w:t>
            </w:r>
          </w:p>
        </w:tc>
      </w:tr>
      <w:tr w14:paraId="245D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125D6357">
            <w:pPr>
              <w:widowControl/>
              <w:spacing w:line="360" w:lineRule="auto"/>
              <w:jc w:val="left"/>
              <w:rPr>
                <w:rFonts w:ascii="宋体" w:hAnsi="宋体" w:cs="仿宋"/>
                <w:color w:val="000000"/>
                <w:kern w:val="0"/>
                <w:szCs w:val="21"/>
              </w:rPr>
            </w:pPr>
          </w:p>
        </w:tc>
        <w:tc>
          <w:tcPr>
            <w:tcW w:w="1415" w:type="pct"/>
            <w:vMerge w:val="continue"/>
            <w:noWrap w:val="0"/>
            <w:vAlign w:val="center"/>
          </w:tcPr>
          <w:p w14:paraId="57B4BE6F">
            <w:pPr>
              <w:widowControl/>
              <w:spacing w:line="360" w:lineRule="auto"/>
              <w:jc w:val="left"/>
              <w:rPr>
                <w:rFonts w:ascii="宋体" w:hAnsi="宋体" w:cs="仿宋"/>
                <w:color w:val="000000"/>
                <w:kern w:val="0"/>
                <w:szCs w:val="21"/>
              </w:rPr>
            </w:pPr>
          </w:p>
        </w:tc>
        <w:tc>
          <w:tcPr>
            <w:tcW w:w="3210" w:type="pct"/>
            <w:noWrap w:val="0"/>
            <w:vAlign w:val="center"/>
          </w:tcPr>
          <w:p w14:paraId="0AD0406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14．支持屏幕系统管理：系统可根据课时情况进行后台设置自动关闭和自动开启功能。</w:t>
            </w:r>
          </w:p>
        </w:tc>
      </w:tr>
      <w:tr w14:paraId="2DAC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43631EAE">
            <w:pPr>
              <w:widowControl/>
              <w:spacing w:line="360" w:lineRule="auto"/>
              <w:jc w:val="left"/>
              <w:rPr>
                <w:rFonts w:ascii="宋体" w:hAnsi="宋体" w:cs="仿宋"/>
                <w:color w:val="000000"/>
                <w:kern w:val="0"/>
                <w:szCs w:val="21"/>
              </w:rPr>
            </w:pPr>
          </w:p>
        </w:tc>
        <w:tc>
          <w:tcPr>
            <w:tcW w:w="1415" w:type="pct"/>
            <w:vMerge w:val="continue"/>
            <w:noWrap w:val="0"/>
            <w:vAlign w:val="center"/>
          </w:tcPr>
          <w:p w14:paraId="4F86F273">
            <w:pPr>
              <w:widowControl/>
              <w:spacing w:line="360" w:lineRule="auto"/>
              <w:jc w:val="left"/>
              <w:rPr>
                <w:rFonts w:ascii="宋体" w:hAnsi="宋体" w:cs="仿宋"/>
                <w:color w:val="000000"/>
                <w:kern w:val="0"/>
                <w:szCs w:val="21"/>
              </w:rPr>
            </w:pPr>
          </w:p>
        </w:tc>
        <w:tc>
          <w:tcPr>
            <w:tcW w:w="3210" w:type="pct"/>
            <w:noWrap w:val="0"/>
            <w:vAlign w:val="center"/>
          </w:tcPr>
          <w:p w14:paraId="63A729EC">
            <w:pPr>
              <w:widowControl/>
              <w:spacing w:line="360" w:lineRule="auto"/>
              <w:jc w:val="left"/>
              <w:rPr>
                <w:rFonts w:hint="eastAsia" w:ascii="宋体" w:hAnsi="宋体" w:cs="仿宋"/>
                <w:color w:val="000000"/>
                <w:kern w:val="0"/>
                <w:szCs w:val="21"/>
              </w:rPr>
            </w:pPr>
            <w:r>
              <w:rPr>
                <w:rFonts w:hint="eastAsia" w:ascii="宋体" w:hAnsi="宋体" w:cs="仿宋"/>
                <w:color w:val="000000"/>
                <w:kern w:val="0"/>
                <w:szCs w:val="21"/>
              </w:rPr>
              <w:t>15.支持成绩实时在学校现有的LED显示大屏上显示。</w:t>
            </w:r>
          </w:p>
        </w:tc>
      </w:tr>
      <w:tr w14:paraId="2143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3" w:type="pct"/>
            <w:vMerge w:val="continue"/>
            <w:noWrap/>
            <w:vAlign w:val="center"/>
          </w:tcPr>
          <w:p w14:paraId="21700876">
            <w:pPr>
              <w:widowControl/>
              <w:spacing w:line="360" w:lineRule="auto"/>
              <w:jc w:val="left"/>
              <w:rPr>
                <w:rFonts w:ascii="宋体" w:hAnsi="宋体" w:cs="仿宋"/>
                <w:color w:val="000000"/>
                <w:kern w:val="0"/>
                <w:szCs w:val="21"/>
              </w:rPr>
            </w:pPr>
          </w:p>
        </w:tc>
        <w:tc>
          <w:tcPr>
            <w:tcW w:w="1415" w:type="pct"/>
            <w:vMerge w:val="continue"/>
            <w:noWrap w:val="0"/>
            <w:vAlign w:val="center"/>
          </w:tcPr>
          <w:p w14:paraId="055497B4">
            <w:pPr>
              <w:widowControl/>
              <w:spacing w:line="360" w:lineRule="auto"/>
              <w:jc w:val="left"/>
              <w:rPr>
                <w:rFonts w:ascii="宋体" w:hAnsi="宋体" w:cs="仿宋"/>
                <w:color w:val="000000"/>
                <w:kern w:val="0"/>
                <w:szCs w:val="21"/>
              </w:rPr>
            </w:pPr>
          </w:p>
        </w:tc>
        <w:tc>
          <w:tcPr>
            <w:tcW w:w="3210" w:type="pct"/>
            <w:noWrap w:val="0"/>
            <w:vAlign w:val="center"/>
          </w:tcPr>
          <w:p w14:paraId="2CC60DF1">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16．支持节能模式管理：支持系统自动息屏节能模式管理，如没有学生在使用系统跑步，系统会自动做息屏处理，如有学生进入操场跑步，系统可自动启动。</w:t>
            </w:r>
          </w:p>
        </w:tc>
      </w:tr>
      <w:tr w14:paraId="55DE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73" w:type="pct"/>
            <w:vMerge w:val="restart"/>
            <w:noWrap/>
            <w:vAlign w:val="center"/>
          </w:tcPr>
          <w:p w14:paraId="50A7EF32">
            <w:pPr>
              <w:widowControl/>
              <w:numPr>
                <w:ilvl w:val="0"/>
                <w:numId w:val="3"/>
              </w:numPr>
              <w:jc w:val="center"/>
              <w:textAlignment w:val="center"/>
              <w:rPr>
                <w:rFonts w:ascii="宋体" w:hAnsi="宋体" w:cs="仿宋"/>
                <w:color w:val="000000"/>
                <w:szCs w:val="21"/>
              </w:rPr>
            </w:pPr>
          </w:p>
        </w:tc>
        <w:tc>
          <w:tcPr>
            <w:tcW w:w="1415" w:type="pct"/>
            <w:vMerge w:val="restart"/>
            <w:noWrap w:val="0"/>
            <w:vAlign w:val="center"/>
          </w:tcPr>
          <w:p w14:paraId="00622CF0">
            <w:pPr>
              <w:widowControl/>
              <w:jc w:val="center"/>
              <w:textAlignment w:val="center"/>
              <w:rPr>
                <w:rFonts w:ascii="宋体" w:hAnsi="宋体" w:cs="仿宋"/>
                <w:color w:val="000000"/>
                <w:szCs w:val="21"/>
              </w:rPr>
            </w:pPr>
            <w:r>
              <w:rPr>
                <w:rFonts w:hint="eastAsia" w:ascii="宋体" w:hAnsi="宋体" w:cs="仿宋"/>
                <w:color w:val="000000"/>
                <w:kern w:val="0"/>
                <w:szCs w:val="21"/>
              </w:rPr>
              <w:t>夜视物联网摄像头</w:t>
            </w:r>
          </w:p>
        </w:tc>
        <w:tc>
          <w:tcPr>
            <w:tcW w:w="3210" w:type="pct"/>
            <w:noWrap w:val="0"/>
            <w:vAlign w:val="center"/>
          </w:tcPr>
          <w:p w14:paraId="2767C23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1)采用不低于超星光800万像素CMOS图像传感器+2×不低于200万像素CMOS图像传感器，低照度效果好，图像清晰度高；</w:t>
            </w:r>
          </w:p>
        </w:tc>
      </w:tr>
      <w:tr w14:paraId="09FF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73" w:type="pct"/>
            <w:vMerge w:val="continue"/>
            <w:noWrap/>
            <w:vAlign w:val="center"/>
          </w:tcPr>
          <w:p w14:paraId="02E1ED41">
            <w:pPr>
              <w:widowControl/>
              <w:spacing w:line="360" w:lineRule="auto"/>
              <w:jc w:val="left"/>
              <w:rPr>
                <w:rFonts w:ascii="宋体" w:hAnsi="宋体"/>
                <w:szCs w:val="21"/>
              </w:rPr>
            </w:pPr>
          </w:p>
        </w:tc>
        <w:tc>
          <w:tcPr>
            <w:tcW w:w="1415" w:type="pct"/>
            <w:vMerge w:val="continue"/>
            <w:noWrap w:val="0"/>
            <w:vAlign w:val="center"/>
          </w:tcPr>
          <w:p w14:paraId="060CA9E7">
            <w:pPr>
              <w:widowControl/>
              <w:spacing w:line="360" w:lineRule="auto"/>
              <w:jc w:val="left"/>
              <w:rPr>
                <w:rFonts w:ascii="宋体" w:hAnsi="宋体"/>
                <w:szCs w:val="21"/>
              </w:rPr>
            </w:pPr>
          </w:p>
        </w:tc>
        <w:tc>
          <w:tcPr>
            <w:tcW w:w="3210" w:type="pct"/>
            <w:noWrap w:val="0"/>
            <w:vAlign w:val="center"/>
          </w:tcPr>
          <w:p w14:paraId="5635DB22">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2)防尘防水等级: IP67；</w:t>
            </w:r>
          </w:p>
        </w:tc>
      </w:tr>
      <w:tr w14:paraId="3389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73" w:type="pct"/>
            <w:vMerge w:val="continue"/>
            <w:noWrap/>
            <w:vAlign w:val="center"/>
          </w:tcPr>
          <w:p w14:paraId="5D3B8A32">
            <w:pPr>
              <w:widowControl/>
              <w:spacing w:line="360" w:lineRule="auto"/>
              <w:jc w:val="left"/>
              <w:rPr>
                <w:rFonts w:ascii="宋体" w:hAnsi="宋体" w:cs="仿宋"/>
                <w:color w:val="000000"/>
                <w:kern w:val="0"/>
                <w:szCs w:val="21"/>
              </w:rPr>
            </w:pPr>
          </w:p>
        </w:tc>
        <w:tc>
          <w:tcPr>
            <w:tcW w:w="1415" w:type="pct"/>
            <w:vMerge w:val="continue"/>
            <w:noWrap w:val="0"/>
            <w:vAlign w:val="center"/>
          </w:tcPr>
          <w:p w14:paraId="6E0C2353">
            <w:pPr>
              <w:widowControl/>
              <w:spacing w:line="360" w:lineRule="auto"/>
              <w:jc w:val="left"/>
              <w:rPr>
                <w:rFonts w:ascii="宋体" w:hAnsi="宋体" w:cs="仿宋"/>
                <w:color w:val="000000"/>
                <w:kern w:val="0"/>
                <w:szCs w:val="21"/>
              </w:rPr>
            </w:pPr>
          </w:p>
        </w:tc>
        <w:tc>
          <w:tcPr>
            <w:tcW w:w="3210" w:type="pct"/>
            <w:noWrap w:val="0"/>
            <w:vAlign w:val="center"/>
          </w:tcPr>
          <w:p w14:paraId="4F0B7E30">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3)双通道监控，支持不同通道之间双智能同开需求，有效兼顾全景和细节监控画面；</w:t>
            </w:r>
          </w:p>
        </w:tc>
      </w:tr>
      <w:tr w14:paraId="2B31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73" w:type="pct"/>
            <w:vMerge w:val="continue"/>
            <w:noWrap/>
            <w:vAlign w:val="center"/>
          </w:tcPr>
          <w:p w14:paraId="2ADC2BEE">
            <w:pPr>
              <w:widowControl/>
              <w:spacing w:line="360" w:lineRule="auto"/>
              <w:jc w:val="left"/>
              <w:rPr>
                <w:rFonts w:ascii="宋体" w:hAnsi="宋体" w:cs="仿宋"/>
                <w:color w:val="000000"/>
                <w:kern w:val="0"/>
                <w:szCs w:val="21"/>
              </w:rPr>
            </w:pPr>
          </w:p>
        </w:tc>
        <w:tc>
          <w:tcPr>
            <w:tcW w:w="1415" w:type="pct"/>
            <w:vMerge w:val="continue"/>
            <w:noWrap w:val="0"/>
            <w:vAlign w:val="center"/>
          </w:tcPr>
          <w:p w14:paraId="77D769ED">
            <w:pPr>
              <w:widowControl/>
              <w:spacing w:line="360" w:lineRule="auto"/>
              <w:jc w:val="left"/>
              <w:rPr>
                <w:rFonts w:ascii="宋体" w:hAnsi="宋体" w:cs="仿宋"/>
                <w:color w:val="000000"/>
                <w:kern w:val="0"/>
                <w:szCs w:val="21"/>
              </w:rPr>
            </w:pPr>
          </w:p>
        </w:tc>
        <w:tc>
          <w:tcPr>
            <w:tcW w:w="3210" w:type="pct"/>
            <w:noWrap w:val="0"/>
            <w:vAlign w:val="center"/>
          </w:tcPr>
          <w:p w14:paraId="0897C68D">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4)内置GPU芯片，支持深度学习算法，有效提升检测准确率；</w:t>
            </w:r>
          </w:p>
        </w:tc>
      </w:tr>
      <w:tr w14:paraId="02A2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73" w:type="pct"/>
            <w:vMerge w:val="continue"/>
            <w:noWrap/>
            <w:vAlign w:val="center"/>
          </w:tcPr>
          <w:p w14:paraId="1BD88AC1">
            <w:pPr>
              <w:widowControl/>
              <w:spacing w:line="360" w:lineRule="auto"/>
              <w:jc w:val="left"/>
              <w:rPr>
                <w:rFonts w:ascii="宋体" w:hAnsi="宋体" w:cs="仿宋"/>
                <w:color w:val="000000"/>
                <w:kern w:val="0"/>
                <w:szCs w:val="21"/>
              </w:rPr>
            </w:pPr>
          </w:p>
        </w:tc>
        <w:tc>
          <w:tcPr>
            <w:tcW w:w="1415" w:type="pct"/>
            <w:vMerge w:val="continue"/>
            <w:noWrap w:val="0"/>
            <w:vAlign w:val="center"/>
          </w:tcPr>
          <w:p w14:paraId="4FBDEE66">
            <w:pPr>
              <w:widowControl/>
              <w:spacing w:line="360" w:lineRule="auto"/>
              <w:jc w:val="left"/>
              <w:rPr>
                <w:rFonts w:ascii="宋体" w:hAnsi="宋体" w:cs="仿宋"/>
                <w:color w:val="000000"/>
                <w:kern w:val="0"/>
                <w:szCs w:val="21"/>
              </w:rPr>
            </w:pPr>
          </w:p>
        </w:tc>
        <w:tc>
          <w:tcPr>
            <w:tcW w:w="3210" w:type="pct"/>
            <w:noWrap w:val="0"/>
            <w:vAlign w:val="center"/>
          </w:tcPr>
          <w:p w14:paraId="4FBB2127">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5)支持三码流功能，三路高清视频显示；</w:t>
            </w:r>
          </w:p>
        </w:tc>
      </w:tr>
      <w:tr w14:paraId="193B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73" w:type="pct"/>
            <w:vMerge w:val="continue"/>
            <w:noWrap/>
            <w:vAlign w:val="center"/>
          </w:tcPr>
          <w:p w14:paraId="4FEBA4C2">
            <w:pPr>
              <w:widowControl/>
              <w:spacing w:line="360" w:lineRule="auto"/>
              <w:jc w:val="left"/>
              <w:rPr>
                <w:rFonts w:ascii="宋体" w:hAnsi="宋体" w:cs="仿宋"/>
                <w:color w:val="000000"/>
                <w:kern w:val="0"/>
                <w:szCs w:val="21"/>
              </w:rPr>
            </w:pPr>
          </w:p>
        </w:tc>
        <w:tc>
          <w:tcPr>
            <w:tcW w:w="1415" w:type="pct"/>
            <w:vMerge w:val="continue"/>
            <w:noWrap w:val="0"/>
            <w:vAlign w:val="center"/>
          </w:tcPr>
          <w:p w14:paraId="7BF1491B">
            <w:pPr>
              <w:widowControl/>
              <w:spacing w:line="360" w:lineRule="auto"/>
              <w:jc w:val="left"/>
              <w:rPr>
                <w:rFonts w:ascii="宋体" w:hAnsi="宋体" w:cs="仿宋"/>
                <w:color w:val="000000"/>
                <w:kern w:val="0"/>
                <w:szCs w:val="21"/>
              </w:rPr>
            </w:pPr>
          </w:p>
        </w:tc>
        <w:tc>
          <w:tcPr>
            <w:tcW w:w="3210" w:type="pct"/>
            <w:noWrap w:val="0"/>
            <w:vAlign w:val="center"/>
          </w:tcPr>
          <w:p w14:paraId="08C05772">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6)支持双目拼接，拼接后全景水平视场角可以达到180°；</w:t>
            </w:r>
          </w:p>
        </w:tc>
      </w:tr>
      <w:tr w14:paraId="0019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73" w:type="pct"/>
            <w:vMerge w:val="continue"/>
            <w:noWrap/>
            <w:vAlign w:val="center"/>
          </w:tcPr>
          <w:p w14:paraId="24C0EFEE">
            <w:pPr>
              <w:widowControl/>
              <w:spacing w:line="360" w:lineRule="auto"/>
              <w:jc w:val="left"/>
              <w:rPr>
                <w:rFonts w:ascii="宋体" w:hAnsi="宋体" w:cs="仿宋"/>
                <w:color w:val="000000"/>
                <w:kern w:val="0"/>
                <w:szCs w:val="21"/>
              </w:rPr>
            </w:pPr>
          </w:p>
        </w:tc>
        <w:tc>
          <w:tcPr>
            <w:tcW w:w="1415" w:type="pct"/>
            <w:vMerge w:val="continue"/>
            <w:noWrap w:val="0"/>
            <w:vAlign w:val="center"/>
          </w:tcPr>
          <w:p w14:paraId="6684410B">
            <w:pPr>
              <w:widowControl/>
              <w:spacing w:line="360" w:lineRule="auto"/>
              <w:jc w:val="left"/>
              <w:rPr>
                <w:rFonts w:ascii="宋体" w:hAnsi="宋体" w:cs="仿宋"/>
                <w:color w:val="000000"/>
                <w:kern w:val="0"/>
                <w:szCs w:val="21"/>
              </w:rPr>
            </w:pPr>
          </w:p>
        </w:tc>
        <w:tc>
          <w:tcPr>
            <w:tcW w:w="3210" w:type="pct"/>
            <w:noWrap w:val="0"/>
            <w:vAlign w:val="center"/>
          </w:tcPr>
          <w:p w14:paraId="324AECF2">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7)最大图像尺寸: 3840 × 2160；</w:t>
            </w:r>
          </w:p>
        </w:tc>
      </w:tr>
      <w:tr w14:paraId="3F71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73" w:type="pct"/>
            <w:vMerge w:val="continue"/>
            <w:noWrap/>
            <w:vAlign w:val="center"/>
          </w:tcPr>
          <w:p w14:paraId="1BB5753B">
            <w:pPr>
              <w:widowControl/>
              <w:spacing w:line="360" w:lineRule="auto"/>
              <w:jc w:val="left"/>
              <w:rPr>
                <w:rFonts w:ascii="宋体" w:hAnsi="宋体" w:cs="仿宋"/>
                <w:color w:val="000000"/>
                <w:kern w:val="0"/>
                <w:szCs w:val="21"/>
              </w:rPr>
            </w:pPr>
          </w:p>
        </w:tc>
        <w:tc>
          <w:tcPr>
            <w:tcW w:w="1415" w:type="pct"/>
            <w:vMerge w:val="continue"/>
            <w:noWrap w:val="0"/>
            <w:vAlign w:val="center"/>
          </w:tcPr>
          <w:p w14:paraId="27CF1082">
            <w:pPr>
              <w:widowControl/>
              <w:spacing w:line="360" w:lineRule="auto"/>
              <w:jc w:val="left"/>
              <w:rPr>
                <w:rFonts w:ascii="宋体" w:hAnsi="宋体" w:cs="仿宋"/>
                <w:color w:val="000000"/>
                <w:kern w:val="0"/>
                <w:szCs w:val="21"/>
              </w:rPr>
            </w:pPr>
          </w:p>
        </w:tc>
        <w:tc>
          <w:tcPr>
            <w:tcW w:w="3210" w:type="pct"/>
            <w:noWrap w:val="0"/>
            <w:vAlign w:val="center"/>
          </w:tcPr>
          <w:p w14:paraId="77D6D400">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8)视频压缩标准:SMART H.264/H.265；</w:t>
            </w:r>
          </w:p>
        </w:tc>
      </w:tr>
      <w:tr w14:paraId="58A5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73" w:type="pct"/>
            <w:vMerge w:val="continue"/>
            <w:noWrap/>
            <w:vAlign w:val="center"/>
          </w:tcPr>
          <w:p w14:paraId="709DF805">
            <w:pPr>
              <w:widowControl/>
              <w:spacing w:line="360" w:lineRule="auto"/>
              <w:jc w:val="left"/>
              <w:rPr>
                <w:rFonts w:ascii="宋体" w:hAnsi="宋体" w:cs="仿宋"/>
                <w:color w:val="000000"/>
                <w:kern w:val="0"/>
                <w:szCs w:val="21"/>
              </w:rPr>
            </w:pPr>
          </w:p>
        </w:tc>
        <w:tc>
          <w:tcPr>
            <w:tcW w:w="1415" w:type="pct"/>
            <w:vMerge w:val="continue"/>
            <w:noWrap w:val="0"/>
            <w:vAlign w:val="center"/>
          </w:tcPr>
          <w:p w14:paraId="08308D2B">
            <w:pPr>
              <w:widowControl/>
              <w:spacing w:line="360" w:lineRule="auto"/>
              <w:jc w:val="left"/>
              <w:rPr>
                <w:rFonts w:ascii="宋体" w:hAnsi="宋体" w:cs="仿宋"/>
                <w:color w:val="000000"/>
                <w:kern w:val="0"/>
                <w:szCs w:val="21"/>
              </w:rPr>
            </w:pPr>
          </w:p>
        </w:tc>
        <w:tc>
          <w:tcPr>
            <w:tcW w:w="3210" w:type="pct"/>
            <w:noWrap w:val="0"/>
            <w:vAlign w:val="center"/>
          </w:tcPr>
          <w:p w14:paraId="6F0CD813">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9)内置高效双晶灯，最大红外监控距离120米，最大暖光监控距离80米，最大人脸检测距离25米，提供良好的夜间监控能力；</w:t>
            </w:r>
          </w:p>
        </w:tc>
      </w:tr>
      <w:tr w14:paraId="12A1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73" w:type="pct"/>
            <w:vMerge w:val="continue"/>
            <w:noWrap/>
            <w:vAlign w:val="center"/>
          </w:tcPr>
          <w:p w14:paraId="4CF4B25B">
            <w:pPr>
              <w:widowControl/>
              <w:spacing w:line="360" w:lineRule="auto"/>
              <w:jc w:val="left"/>
              <w:rPr>
                <w:rFonts w:ascii="宋体" w:hAnsi="宋体" w:cs="仿宋"/>
                <w:color w:val="000000"/>
                <w:kern w:val="0"/>
                <w:szCs w:val="21"/>
              </w:rPr>
            </w:pPr>
          </w:p>
        </w:tc>
        <w:tc>
          <w:tcPr>
            <w:tcW w:w="1415" w:type="pct"/>
            <w:vMerge w:val="continue"/>
            <w:noWrap w:val="0"/>
            <w:vAlign w:val="center"/>
          </w:tcPr>
          <w:p w14:paraId="69556106">
            <w:pPr>
              <w:widowControl/>
              <w:spacing w:line="360" w:lineRule="auto"/>
              <w:jc w:val="left"/>
              <w:rPr>
                <w:rFonts w:ascii="宋体" w:hAnsi="宋体" w:cs="仿宋"/>
                <w:color w:val="000000"/>
                <w:kern w:val="0"/>
                <w:szCs w:val="21"/>
              </w:rPr>
            </w:pPr>
          </w:p>
        </w:tc>
        <w:tc>
          <w:tcPr>
            <w:tcW w:w="3210" w:type="pct"/>
            <w:noWrap w:val="0"/>
            <w:vAlign w:val="center"/>
          </w:tcPr>
          <w:p w14:paraId="0045010F">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10)支持人脸检测：支持跟踪，支持优选，支持抓拍，支持上报最优的人脸抓图，支持人脸增强，人脸曝光，支持人脸属性提取，支持6种属性，8种表情。</w:t>
            </w:r>
          </w:p>
        </w:tc>
      </w:tr>
      <w:tr w14:paraId="4AF1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73" w:type="pct"/>
            <w:vMerge w:val="restart"/>
            <w:shd w:val="clear" w:color="auto" w:fill="auto"/>
            <w:noWrap/>
            <w:vAlign w:val="center"/>
          </w:tcPr>
          <w:p w14:paraId="796B1FB1">
            <w:pPr>
              <w:widowControl/>
              <w:numPr>
                <w:ilvl w:val="0"/>
                <w:numId w:val="3"/>
              </w:numPr>
              <w:jc w:val="center"/>
              <w:textAlignment w:val="center"/>
              <w:rPr>
                <w:rFonts w:ascii="宋体" w:hAnsi="宋体" w:cs="仿宋"/>
                <w:color w:val="000000"/>
                <w:szCs w:val="21"/>
              </w:rPr>
            </w:pPr>
          </w:p>
        </w:tc>
        <w:tc>
          <w:tcPr>
            <w:tcW w:w="1415" w:type="pct"/>
            <w:vMerge w:val="restart"/>
            <w:shd w:val="clear" w:color="auto" w:fill="FFFFFF"/>
            <w:noWrap w:val="0"/>
            <w:vAlign w:val="center"/>
          </w:tcPr>
          <w:p w14:paraId="64849397">
            <w:pPr>
              <w:widowControl/>
              <w:jc w:val="center"/>
              <w:textAlignment w:val="center"/>
              <w:rPr>
                <w:rFonts w:ascii="宋体" w:hAnsi="宋体" w:cs="仿宋"/>
                <w:color w:val="000000"/>
                <w:szCs w:val="21"/>
              </w:rPr>
            </w:pPr>
            <w:r>
              <w:rPr>
                <w:rFonts w:hint="eastAsia" w:ascii="宋体" w:hAnsi="宋体" w:cs="仿宋"/>
                <w:color w:val="000000"/>
                <w:kern w:val="0"/>
                <w:szCs w:val="21"/>
              </w:rPr>
              <w:t>监控立杆1</w:t>
            </w:r>
          </w:p>
        </w:tc>
        <w:tc>
          <w:tcPr>
            <w:tcW w:w="3210" w:type="pct"/>
            <w:noWrap w:val="0"/>
            <w:vAlign w:val="center"/>
          </w:tcPr>
          <w:p w14:paraId="4F3358F6">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1、材质：Q235钢材；</w:t>
            </w:r>
          </w:p>
        </w:tc>
      </w:tr>
      <w:tr w14:paraId="2984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3" w:type="pct"/>
            <w:vMerge w:val="continue"/>
            <w:shd w:val="clear" w:color="auto" w:fill="auto"/>
            <w:noWrap/>
            <w:vAlign w:val="center"/>
          </w:tcPr>
          <w:p w14:paraId="3EDE941E">
            <w:pPr>
              <w:widowControl/>
              <w:spacing w:line="360" w:lineRule="auto"/>
              <w:jc w:val="left"/>
              <w:rPr>
                <w:rFonts w:ascii="宋体" w:hAnsi="宋体"/>
                <w:szCs w:val="21"/>
              </w:rPr>
            </w:pPr>
          </w:p>
        </w:tc>
        <w:tc>
          <w:tcPr>
            <w:tcW w:w="1415" w:type="pct"/>
            <w:vMerge w:val="continue"/>
            <w:shd w:val="clear" w:color="auto" w:fill="FFFFFF"/>
            <w:noWrap w:val="0"/>
            <w:vAlign w:val="center"/>
          </w:tcPr>
          <w:p w14:paraId="388F7511">
            <w:pPr>
              <w:widowControl/>
              <w:spacing w:line="360" w:lineRule="auto"/>
              <w:jc w:val="left"/>
              <w:rPr>
                <w:rFonts w:ascii="宋体" w:hAnsi="宋体"/>
                <w:szCs w:val="21"/>
              </w:rPr>
            </w:pPr>
          </w:p>
        </w:tc>
        <w:tc>
          <w:tcPr>
            <w:tcW w:w="3210" w:type="pct"/>
            <w:noWrap w:val="0"/>
            <w:vAlign w:val="center"/>
          </w:tcPr>
          <w:p w14:paraId="1E9B6844">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2、烤漆：糖果白；</w:t>
            </w:r>
          </w:p>
        </w:tc>
      </w:tr>
      <w:tr w14:paraId="26D2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3" w:type="pct"/>
            <w:vMerge w:val="continue"/>
            <w:shd w:val="clear" w:color="auto" w:fill="auto"/>
            <w:noWrap/>
            <w:vAlign w:val="center"/>
          </w:tcPr>
          <w:p w14:paraId="5E012382">
            <w:pPr>
              <w:widowControl/>
              <w:spacing w:line="360" w:lineRule="auto"/>
              <w:jc w:val="left"/>
              <w:rPr>
                <w:rFonts w:ascii="宋体" w:hAnsi="宋体"/>
                <w:szCs w:val="21"/>
              </w:rPr>
            </w:pPr>
          </w:p>
        </w:tc>
        <w:tc>
          <w:tcPr>
            <w:tcW w:w="1415" w:type="pct"/>
            <w:vMerge w:val="continue"/>
            <w:shd w:val="clear" w:color="auto" w:fill="FFFFFF"/>
            <w:noWrap w:val="0"/>
            <w:vAlign w:val="center"/>
          </w:tcPr>
          <w:p w14:paraId="04ABE556">
            <w:pPr>
              <w:widowControl/>
              <w:spacing w:line="360" w:lineRule="auto"/>
              <w:jc w:val="left"/>
              <w:rPr>
                <w:rFonts w:ascii="宋体" w:hAnsi="宋体"/>
                <w:szCs w:val="21"/>
              </w:rPr>
            </w:pPr>
          </w:p>
        </w:tc>
        <w:tc>
          <w:tcPr>
            <w:tcW w:w="3210" w:type="pct"/>
            <w:noWrap w:val="0"/>
            <w:vAlign w:val="center"/>
          </w:tcPr>
          <w:p w14:paraId="7F8A4FBF">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3、厚度：2 mm ；</w:t>
            </w:r>
          </w:p>
        </w:tc>
      </w:tr>
      <w:tr w14:paraId="329B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3" w:type="pct"/>
            <w:vMerge w:val="continue"/>
            <w:shd w:val="clear" w:color="auto" w:fill="auto"/>
            <w:noWrap/>
            <w:vAlign w:val="center"/>
          </w:tcPr>
          <w:p w14:paraId="242E59F8">
            <w:pPr>
              <w:widowControl/>
              <w:spacing w:line="360" w:lineRule="auto"/>
              <w:jc w:val="left"/>
              <w:rPr>
                <w:rFonts w:ascii="宋体" w:hAnsi="宋体" w:cs="仿宋"/>
                <w:color w:val="000000"/>
                <w:kern w:val="0"/>
                <w:szCs w:val="21"/>
              </w:rPr>
            </w:pPr>
          </w:p>
        </w:tc>
        <w:tc>
          <w:tcPr>
            <w:tcW w:w="1415" w:type="pct"/>
            <w:vMerge w:val="continue"/>
            <w:shd w:val="clear" w:color="auto" w:fill="FFFFFF"/>
            <w:noWrap w:val="0"/>
            <w:vAlign w:val="center"/>
          </w:tcPr>
          <w:p w14:paraId="256FD03D">
            <w:pPr>
              <w:widowControl/>
              <w:spacing w:line="360" w:lineRule="auto"/>
              <w:jc w:val="left"/>
              <w:rPr>
                <w:rFonts w:ascii="宋体" w:hAnsi="宋体" w:cs="仿宋"/>
                <w:color w:val="000000"/>
                <w:kern w:val="0"/>
                <w:szCs w:val="21"/>
              </w:rPr>
            </w:pPr>
          </w:p>
        </w:tc>
        <w:tc>
          <w:tcPr>
            <w:tcW w:w="3210" w:type="pct"/>
            <w:noWrap w:val="0"/>
            <w:vAlign w:val="center"/>
          </w:tcPr>
          <w:p w14:paraId="6EEC259D">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4、高度：3-4 m；</w:t>
            </w:r>
          </w:p>
        </w:tc>
      </w:tr>
      <w:tr w14:paraId="7700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373" w:type="pct"/>
            <w:vMerge w:val="continue"/>
            <w:shd w:val="clear" w:color="auto" w:fill="auto"/>
            <w:noWrap/>
            <w:vAlign w:val="center"/>
          </w:tcPr>
          <w:p w14:paraId="4893D1CC">
            <w:pPr>
              <w:widowControl/>
              <w:spacing w:line="360" w:lineRule="auto"/>
              <w:jc w:val="left"/>
              <w:rPr>
                <w:rFonts w:ascii="宋体" w:hAnsi="宋体" w:cs="仿宋"/>
                <w:color w:val="000000"/>
                <w:kern w:val="0"/>
                <w:szCs w:val="21"/>
              </w:rPr>
            </w:pPr>
          </w:p>
        </w:tc>
        <w:tc>
          <w:tcPr>
            <w:tcW w:w="1415" w:type="pct"/>
            <w:vMerge w:val="continue"/>
            <w:shd w:val="clear" w:color="auto" w:fill="FFFFFF"/>
            <w:noWrap w:val="0"/>
            <w:vAlign w:val="center"/>
          </w:tcPr>
          <w:p w14:paraId="799733F3">
            <w:pPr>
              <w:widowControl/>
              <w:spacing w:line="360" w:lineRule="auto"/>
              <w:jc w:val="left"/>
              <w:rPr>
                <w:rFonts w:ascii="宋体" w:hAnsi="宋体" w:cs="仿宋"/>
                <w:color w:val="000000"/>
                <w:kern w:val="0"/>
                <w:szCs w:val="21"/>
              </w:rPr>
            </w:pPr>
          </w:p>
        </w:tc>
        <w:tc>
          <w:tcPr>
            <w:tcW w:w="3210" w:type="pct"/>
            <w:noWrap w:val="0"/>
            <w:vAlign w:val="center"/>
          </w:tcPr>
          <w:p w14:paraId="26E31B41">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5、直径：140 mm(±2mm)；</w:t>
            </w:r>
          </w:p>
        </w:tc>
      </w:tr>
      <w:tr w14:paraId="38F3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373" w:type="pct"/>
            <w:vMerge w:val="continue"/>
            <w:shd w:val="clear" w:color="auto" w:fill="auto"/>
            <w:noWrap/>
            <w:vAlign w:val="center"/>
          </w:tcPr>
          <w:p w14:paraId="2BFDDD05">
            <w:pPr>
              <w:widowControl/>
              <w:spacing w:line="360" w:lineRule="auto"/>
              <w:jc w:val="left"/>
              <w:rPr>
                <w:rFonts w:ascii="宋体" w:hAnsi="宋体"/>
                <w:szCs w:val="21"/>
              </w:rPr>
            </w:pPr>
          </w:p>
        </w:tc>
        <w:tc>
          <w:tcPr>
            <w:tcW w:w="1415" w:type="pct"/>
            <w:vMerge w:val="continue"/>
            <w:shd w:val="clear" w:color="auto" w:fill="FFFFFF"/>
            <w:noWrap w:val="0"/>
            <w:vAlign w:val="center"/>
          </w:tcPr>
          <w:p w14:paraId="5BC97E2E">
            <w:pPr>
              <w:widowControl/>
              <w:spacing w:line="360" w:lineRule="auto"/>
              <w:jc w:val="left"/>
              <w:rPr>
                <w:rFonts w:ascii="宋体" w:hAnsi="宋体"/>
                <w:szCs w:val="21"/>
              </w:rPr>
            </w:pPr>
          </w:p>
        </w:tc>
        <w:tc>
          <w:tcPr>
            <w:tcW w:w="3210" w:type="pct"/>
            <w:noWrap w:val="0"/>
            <w:vAlign w:val="center"/>
          </w:tcPr>
          <w:p w14:paraId="4BF6FB6A">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6、横杆：≥2.5m。</w:t>
            </w:r>
          </w:p>
        </w:tc>
      </w:tr>
      <w:tr w14:paraId="13F0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373" w:type="pct"/>
            <w:vMerge w:val="restart"/>
            <w:shd w:val="clear" w:color="auto" w:fill="auto"/>
            <w:noWrap/>
            <w:vAlign w:val="center"/>
          </w:tcPr>
          <w:p w14:paraId="154EFAFB">
            <w:pPr>
              <w:widowControl/>
              <w:numPr>
                <w:ilvl w:val="0"/>
                <w:numId w:val="3"/>
              </w:numPr>
              <w:spacing w:line="360" w:lineRule="auto"/>
              <w:jc w:val="left"/>
              <w:rPr>
                <w:rFonts w:ascii="宋体" w:hAnsi="宋体" w:cs="仿宋"/>
                <w:color w:val="000000"/>
                <w:kern w:val="0"/>
                <w:szCs w:val="21"/>
              </w:rPr>
            </w:pPr>
          </w:p>
        </w:tc>
        <w:tc>
          <w:tcPr>
            <w:tcW w:w="1415" w:type="pct"/>
            <w:vMerge w:val="restart"/>
            <w:shd w:val="clear" w:color="auto" w:fill="FFFFFF"/>
            <w:noWrap w:val="0"/>
            <w:vAlign w:val="center"/>
          </w:tcPr>
          <w:p w14:paraId="5CAB4C56">
            <w:pPr>
              <w:widowControl/>
              <w:spacing w:line="360" w:lineRule="auto"/>
              <w:jc w:val="center"/>
              <w:rPr>
                <w:rFonts w:ascii="宋体" w:hAnsi="宋体" w:cs="仿宋"/>
                <w:color w:val="000000"/>
                <w:kern w:val="0"/>
                <w:szCs w:val="21"/>
              </w:rPr>
            </w:pPr>
            <w:r>
              <w:rPr>
                <w:rFonts w:hint="eastAsia" w:ascii="宋体" w:hAnsi="宋体" w:cs="仿宋"/>
                <w:color w:val="000000"/>
                <w:kern w:val="0"/>
                <w:szCs w:val="21"/>
              </w:rPr>
              <w:t>监控立杆2</w:t>
            </w:r>
          </w:p>
        </w:tc>
        <w:tc>
          <w:tcPr>
            <w:tcW w:w="3210" w:type="pct"/>
            <w:noWrap w:val="0"/>
            <w:vAlign w:val="center"/>
          </w:tcPr>
          <w:p w14:paraId="70F6A17A">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1、材质：Q235钢材；</w:t>
            </w:r>
          </w:p>
        </w:tc>
      </w:tr>
      <w:tr w14:paraId="506D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373" w:type="pct"/>
            <w:vMerge w:val="continue"/>
            <w:shd w:val="clear" w:color="auto" w:fill="auto"/>
            <w:noWrap/>
            <w:vAlign w:val="center"/>
          </w:tcPr>
          <w:p w14:paraId="5EE488E0">
            <w:pPr>
              <w:widowControl/>
              <w:spacing w:line="360" w:lineRule="auto"/>
              <w:jc w:val="left"/>
              <w:rPr>
                <w:rFonts w:ascii="宋体" w:hAnsi="宋体"/>
                <w:szCs w:val="21"/>
              </w:rPr>
            </w:pPr>
          </w:p>
        </w:tc>
        <w:tc>
          <w:tcPr>
            <w:tcW w:w="1415" w:type="pct"/>
            <w:vMerge w:val="continue"/>
            <w:shd w:val="clear" w:color="auto" w:fill="FFFFFF"/>
            <w:noWrap w:val="0"/>
            <w:vAlign w:val="center"/>
          </w:tcPr>
          <w:p w14:paraId="006BC1AB">
            <w:pPr>
              <w:widowControl/>
              <w:spacing w:line="360" w:lineRule="auto"/>
              <w:jc w:val="left"/>
              <w:rPr>
                <w:rFonts w:ascii="宋体" w:hAnsi="宋体"/>
                <w:szCs w:val="21"/>
              </w:rPr>
            </w:pPr>
          </w:p>
        </w:tc>
        <w:tc>
          <w:tcPr>
            <w:tcW w:w="3210" w:type="pct"/>
            <w:noWrap w:val="0"/>
            <w:vAlign w:val="center"/>
          </w:tcPr>
          <w:p w14:paraId="0A3ED61A">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2、烤漆：糖果白；</w:t>
            </w:r>
          </w:p>
        </w:tc>
      </w:tr>
      <w:tr w14:paraId="1D26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373" w:type="pct"/>
            <w:vMerge w:val="continue"/>
            <w:shd w:val="clear" w:color="auto" w:fill="auto"/>
            <w:noWrap/>
            <w:vAlign w:val="center"/>
          </w:tcPr>
          <w:p w14:paraId="7C5054A5">
            <w:pPr>
              <w:widowControl/>
              <w:spacing w:line="360" w:lineRule="auto"/>
              <w:jc w:val="left"/>
              <w:rPr>
                <w:rFonts w:ascii="宋体" w:hAnsi="宋体" w:cs="仿宋"/>
                <w:color w:val="000000"/>
                <w:kern w:val="0"/>
                <w:szCs w:val="21"/>
              </w:rPr>
            </w:pPr>
          </w:p>
        </w:tc>
        <w:tc>
          <w:tcPr>
            <w:tcW w:w="1415" w:type="pct"/>
            <w:vMerge w:val="continue"/>
            <w:shd w:val="clear" w:color="auto" w:fill="FFFFFF"/>
            <w:noWrap w:val="0"/>
            <w:vAlign w:val="center"/>
          </w:tcPr>
          <w:p w14:paraId="33B815DB">
            <w:pPr>
              <w:widowControl/>
              <w:spacing w:line="360" w:lineRule="auto"/>
              <w:jc w:val="left"/>
              <w:rPr>
                <w:rFonts w:ascii="宋体" w:hAnsi="宋体" w:cs="仿宋"/>
                <w:color w:val="000000"/>
                <w:kern w:val="0"/>
                <w:szCs w:val="21"/>
              </w:rPr>
            </w:pPr>
          </w:p>
        </w:tc>
        <w:tc>
          <w:tcPr>
            <w:tcW w:w="3210" w:type="pct"/>
            <w:noWrap w:val="0"/>
            <w:vAlign w:val="center"/>
          </w:tcPr>
          <w:p w14:paraId="629D6F3F">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3、厚度：2 mm ；</w:t>
            </w:r>
          </w:p>
        </w:tc>
      </w:tr>
      <w:tr w14:paraId="2715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373" w:type="pct"/>
            <w:vMerge w:val="continue"/>
            <w:shd w:val="clear" w:color="auto" w:fill="auto"/>
            <w:noWrap/>
            <w:vAlign w:val="center"/>
          </w:tcPr>
          <w:p w14:paraId="49A96108">
            <w:pPr>
              <w:widowControl/>
              <w:spacing w:line="360" w:lineRule="auto"/>
              <w:jc w:val="left"/>
              <w:rPr>
                <w:rFonts w:ascii="宋体" w:hAnsi="宋体" w:cs="仿宋"/>
                <w:color w:val="000000"/>
                <w:kern w:val="0"/>
                <w:szCs w:val="21"/>
              </w:rPr>
            </w:pPr>
          </w:p>
        </w:tc>
        <w:tc>
          <w:tcPr>
            <w:tcW w:w="1415" w:type="pct"/>
            <w:vMerge w:val="continue"/>
            <w:shd w:val="clear" w:color="auto" w:fill="FFFFFF"/>
            <w:noWrap w:val="0"/>
            <w:vAlign w:val="center"/>
          </w:tcPr>
          <w:p w14:paraId="133AA8BC">
            <w:pPr>
              <w:widowControl/>
              <w:spacing w:line="360" w:lineRule="auto"/>
              <w:jc w:val="left"/>
              <w:rPr>
                <w:rFonts w:ascii="宋体" w:hAnsi="宋体" w:cs="仿宋"/>
                <w:color w:val="000000"/>
                <w:kern w:val="0"/>
                <w:szCs w:val="21"/>
              </w:rPr>
            </w:pPr>
          </w:p>
        </w:tc>
        <w:tc>
          <w:tcPr>
            <w:tcW w:w="3210" w:type="pct"/>
            <w:noWrap w:val="0"/>
            <w:vAlign w:val="center"/>
          </w:tcPr>
          <w:p w14:paraId="4BB9BC99">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4、高度：3-4 m；</w:t>
            </w:r>
          </w:p>
        </w:tc>
      </w:tr>
      <w:tr w14:paraId="54C3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373" w:type="pct"/>
            <w:vMerge w:val="continue"/>
            <w:shd w:val="clear" w:color="auto" w:fill="auto"/>
            <w:noWrap/>
            <w:vAlign w:val="center"/>
          </w:tcPr>
          <w:p w14:paraId="493917CD">
            <w:pPr>
              <w:widowControl/>
              <w:spacing w:line="360" w:lineRule="auto"/>
              <w:jc w:val="left"/>
              <w:rPr>
                <w:rFonts w:ascii="宋体" w:hAnsi="宋体" w:cs="仿宋"/>
                <w:color w:val="000000"/>
                <w:kern w:val="0"/>
                <w:szCs w:val="21"/>
              </w:rPr>
            </w:pPr>
          </w:p>
        </w:tc>
        <w:tc>
          <w:tcPr>
            <w:tcW w:w="1415" w:type="pct"/>
            <w:vMerge w:val="continue"/>
            <w:shd w:val="clear" w:color="auto" w:fill="FFFFFF"/>
            <w:noWrap w:val="0"/>
            <w:vAlign w:val="center"/>
          </w:tcPr>
          <w:p w14:paraId="4912ECF0">
            <w:pPr>
              <w:widowControl/>
              <w:spacing w:line="360" w:lineRule="auto"/>
              <w:jc w:val="left"/>
              <w:rPr>
                <w:rFonts w:ascii="宋体" w:hAnsi="宋体" w:cs="仿宋"/>
                <w:color w:val="000000"/>
                <w:kern w:val="0"/>
                <w:szCs w:val="21"/>
              </w:rPr>
            </w:pPr>
          </w:p>
        </w:tc>
        <w:tc>
          <w:tcPr>
            <w:tcW w:w="3210" w:type="pct"/>
            <w:noWrap w:val="0"/>
            <w:vAlign w:val="center"/>
          </w:tcPr>
          <w:p w14:paraId="272F9810">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5、直径：140 mm(±2mm)；</w:t>
            </w:r>
          </w:p>
        </w:tc>
      </w:tr>
      <w:tr w14:paraId="0B1D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373" w:type="pct"/>
            <w:vMerge w:val="continue"/>
            <w:shd w:val="clear" w:color="auto" w:fill="auto"/>
            <w:noWrap/>
            <w:vAlign w:val="center"/>
          </w:tcPr>
          <w:p w14:paraId="1FA00B46">
            <w:pPr>
              <w:widowControl/>
              <w:spacing w:line="360" w:lineRule="auto"/>
              <w:jc w:val="left"/>
              <w:rPr>
                <w:rFonts w:ascii="宋体" w:hAnsi="宋体" w:cs="仿宋"/>
                <w:color w:val="000000"/>
                <w:kern w:val="0"/>
                <w:szCs w:val="21"/>
              </w:rPr>
            </w:pPr>
          </w:p>
        </w:tc>
        <w:tc>
          <w:tcPr>
            <w:tcW w:w="1415" w:type="pct"/>
            <w:vMerge w:val="continue"/>
            <w:shd w:val="clear" w:color="auto" w:fill="FFFFFF"/>
            <w:noWrap w:val="0"/>
            <w:vAlign w:val="center"/>
          </w:tcPr>
          <w:p w14:paraId="19834C0B">
            <w:pPr>
              <w:widowControl/>
              <w:spacing w:line="360" w:lineRule="auto"/>
              <w:jc w:val="left"/>
              <w:rPr>
                <w:rFonts w:ascii="宋体" w:hAnsi="宋体" w:cs="仿宋"/>
                <w:color w:val="000000"/>
                <w:kern w:val="0"/>
                <w:szCs w:val="21"/>
              </w:rPr>
            </w:pPr>
          </w:p>
        </w:tc>
        <w:tc>
          <w:tcPr>
            <w:tcW w:w="3210" w:type="pct"/>
            <w:noWrap w:val="0"/>
            <w:vAlign w:val="center"/>
          </w:tcPr>
          <w:p w14:paraId="61E84701">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6、横杆：≥5m。</w:t>
            </w:r>
          </w:p>
        </w:tc>
      </w:tr>
      <w:tr w14:paraId="0A8E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73" w:type="pct"/>
            <w:vMerge w:val="restart"/>
            <w:noWrap/>
            <w:vAlign w:val="center"/>
          </w:tcPr>
          <w:p w14:paraId="5174200A">
            <w:pPr>
              <w:widowControl/>
              <w:numPr>
                <w:ilvl w:val="0"/>
                <w:numId w:val="3"/>
              </w:numPr>
              <w:jc w:val="center"/>
              <w:textAlignment w:val="center"/>
              <w:rPr>
                <w:rFonts w:ascii="宋体" w:hAnsi="宋体" w:cs="仿宋"/>
                <w:color w:val="000000"/>
                <w:szCs w:val="21"/>
              </w:rPr>
            </w:pPr>
          </w:p>
        </w:tc>
        <w:tc>
          <w:tcPr>
            <w:tcW w:w="1415" w:type="pct"/>
            <w:vMerge w:val="restart"/>
            <w:noWrap w:val="0"/>
            <w:vAlign w:val="center"/>
          </w:tcPr>
          <w:p w14:paraId="53C4DD69">
            <w:pPr>
              <w:widowControl/>
              <w:jc w:val="center"/>
              <w:textAlignment w:val="center"/>
              <w:rPr>
                <w:rFonts w:ascii="宋体" w:hAnsi="宋体" w:cs="仿宋"/>
                <w:color w:val="000000"/>
                <w:kern w:val="0"/>
                <w:szCs w:val="21"/>
              </w:rPr>
            </w:pPr>
            <w:r>
              <w:rPr>
                <w:rFonts w:hint="eastAsia" w:ascii="宋体" w:hAnsi="宋体" w:cs="仿宋"/>
                <w:color w:val="000000"/>
                <w:kern w:val="0"/>
                <w:szCs w:val="21"/>
              </w:rPr>
              <w:t>光纤收发器</w:t>
            </w:r>
          </w:p>
        </w:tc>
        <w:tc>
          <w:tcPr>
            <w:tcW w:w="3210" w:type="pct"/>
            <w:noWrap w:val="0"/>
            <w:vAlign w:val="center"/>
          </w:tcPr>
          <w:p w14:paraId="75C8BD6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w:t>
            </w:r>
            <w:r>
              <w:rPr>
                <w:rFonts w:hint="eastAsia" w:ascii="宋体" w:hAnsi="宋体" w:cs="仿宋"/>
                <w:szCs w:val="21"/>
              </w:rPr>
              <w:t>类型</w:t>
            </w:r>
            <w:r>
              <w:rPr>
                <w:rFonts w:hint="eastAsia" w:ascii="宋体" w:hAnsi="宋体" w:cs="仿宋"/>
                <w:color w:val="333333"/>
                <w:szCs w:val="21"/>
                <w:shd w:val="clear" w:color="auto" w:fill="FFFFFF"/>
              </w:rPr>
              <w:t>：单模单纤千兆光纤收发器；</w:t>
            </w:r>
          </w:p>
        </w:tc>
      </w:tr>
      <w:tr w14:paraId="3314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73" w:type="pct"/>
            <w:vMerge w:val="continue"/>
            <w:noWrap/>
            <w:vAlign w:val="center"/>
          </w:tcPr>
          <w:p w14:paraId="3A902E1B">
            <w:pPr>
              <w:widowControl/>
              <w:spacing w:line="360" w:lineRule="auto"/>
              <w:jc w:val="left"/>
              <w:rPr>
                <w:rFonts w:ascii="宋体" w:hAnsi="宋体"/>
                <w:szCs w:val="21"/>
              </w:rPr>
            </w:pPr>
          </w:p>
        </w:tc>
        <w:tc>
          <w:tcPr>
            <w:tcW w:w="1415" w:type="pct"/>
            <w:vMerge w:val="continue"/>
            <w:noWrap w:val="0"/>
            <w:vAlign w:val="center"/>
          </w:tcPr>
          <w:p w14:paraId="111185AD">
            <w:pPr>
              <w:widowControl/>
              <w:spacing w:line="360" w:lineRule="auto"/>
              <w:jc w:val="left"/>
              <w:rPr>
                <w:rFonts w:ascii="宋体" w:hAnsi="宋体"/>
                <w:szCs w:val="21"/>
              </w:rPr>
            </w:pPr>
          </w:p>
        </w:tc>
        <w:tc>
          <w:tcPr>
            <w:tcW w:w="3210" w:type="pct"/>
            <w:noWrap w:val="0"/>
            <w:vAlign w:val="center"/>
          </w:tcPr>
          <w:p w14:paraId="28DF979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w:t>
            </w:r>
            <w:r>
              <w:rPr>
                <w:rFonts w:hint="eastAsia" w:ascii="宋体" w:hAnsi="宋体" w:cs="仿宋"/>
                <w:szCs w:val="21"/>
              </w:rPr>
              <w:t>接口配置</w:t>
            </w:r>
            <w:r>
              <w:rPr>
                <w:rFonts w:hint="eastAsia" w:ascii="宋体" w:hAnsi="宋体" w:cs="仿宋"/>
                <w:color w:val="333333"/>
                <w:szCs w:val="21"/>
                <w:shd w:val="clear" w:color="auto" w:fill="FFFFFF"/>
              </w:rPr>
              <w:t>：1个</w:t>
            </w:r>
            <w:r>
              <w:rPr>
                <w:rFonts w:hint="eastAsia" w:ascii="宋体" w:hAnsi="宋体" w:cs="仿宋"/>
                <w:szCs w:val="21"/>
              </w:rPr>
              <w:t>SC光纤接口</w:t>
            </w:r>
            <w:r>
              <w:rPr>
                <w:rFonts w:hint="eastAsia" w:ascii="宋体" w:hAnsi="宋体" w:cs="宋体"/>
                <w:color w:val="333333"/>
                <w:szCs w:val="21"/>
                <w:shd w:val="clear" w:color="auto" w:fill="FFFFFF"/>
              </w:rPr>
              <w:t> </w:t>
            </w:r>
            <w:r>
              <w:rPr>
                <w:rFonts w:hint="eastAsia" w:ascii="宋体" w:hAnsi="宋体" w:cs="仿宋"/>
                <w:color w:val="333333"/>
                <w:szCs w:val="21"/>
                <w:shd w:val="clear" w:color="auto" w:fill="FFFFFF"/>
              </w:rPr>
              <w:t>+ 4个</w:t>
            </w:r>
            <w:r>
              <w:rPr>
                <w:rFonts w:hint="eastAsia" w:ascii="宋体" w:hAnsi="宋体" w:cs="仿宋"/>
                <w:szCs w:val="21"/>
              </w:rPr>
              <w:t>千兆电口</w:t>
            </w:r>
            <w:r>
              <w:rPr>
                <w:rFonts w:hint="eastAsia" w:ascii="宋体" w:hAnsi="宋体" w:cs="仿宋"/>
                <w:color w:val="333333"/>
                <w:szCs w:val="21"/>
                <w:shd w:val="clear" w:color="auto" w:fill="FFFFFF"/>
              </w:rPr>
              <w:t>（10/100/1000M自适应）；</w:t>
            </w:r>
          </w:p>
        </w:tc>
      </w:tr>
      <w:tr w14:paraId="46C0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73" w:type="pct"/>
            <w:vMerge w:val="continue"/>
            <w:noWrap/>
            <w:vAlign w:val="center"/>
          </w:tcPr>
          <w:p w14:paraId="550A3B05">
            <w:pPr>
              <w:widowControl/>
              <w:spacing w:line="360" w:lineRule="auto"/>
              <w:jc w:val="left"/>
              <w:rPr>
                <w:rFonts w:ascii="宋体" w:hAnsi="宋体" w:cs="仿宋"/>
                <w:color w:val="000000"/>
                <w:kern w:val="0"/>
                <w:szCs w:val="21"/>
              </w:rPr>
            </w:pPr>
          </w:p>
        </w:tc>
        <w:tc>
          <w:tcPr>
            <w:tcW w:w="1415" w:type="pct"/>
            <w:vMerge w:val="continue"/>
            <w:noWrap w:val="0"/>
            <w:vAlign w:val="center"/>
          </w:tcPr>
          <w:p w14:paraId="179B5B91">
            <w:pPr>
              <w:widowControl/>
              <w:spacing w:line="360" w:lineRule="auto"/>
              <w:jc w:val="left"/>
              <w:rPr>
                <w:rFonts w:ascii="宋体" w:hAnsi="宋体" w:cs="仿宋"/>
                <w:color w:val="000000"/>
                <w:kern w:val="0"/>
                <w:szCs w:val="21"/>
              </w:rPr>
            </w:pPr>
          </w:p>
        </w:tc>
        <w:tc>
          <w:tcPr>
            <w:tcW w:w="3210" w:type="pct"/>
            <w:noWrap w:val="0"/>
            <w:vAlign w:val="center"/>
          </w:tcPr>
          <w:p w14:paraId="36CF23AB">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w:t>
            </w:r>
            <w:r>
              <w:rPr>
                <w:rFonts w:hint="eastAsia" w:ascii="宋体" w:hAnsi="宋体" w:cs="仿宋"/>
                <w:szCs w:val="21"/>
              </w:rPr>
              <w:t>适用场景</w:t>
            </w:r>
            <w:r>
              <w:rPr>
                <w:rFonts w:hint="eastAsia" w:ascii="宋体" w:hAnsi="宋体" w:cs="仿宋"/>
                <w:color w:val="333333"/>
                <w:szCs w:val="21"/>
                <w:shd w:val="clear" w:color="auto" w:fill="FFFFFF"/>
              </w:rPr>
              <w:t>：支持智慧校园、企业园区、工业制造等网络部署需求。</w:t>
            </w:r>
          </w:p>
        </w:tc>
      </w:tr>
      <w:tr w14:paraId="54FC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 w:type="pct"/>
            <w:noWrap/>
            <w:vAlign w:val="center"/>
          </w:tcPr>
          <w:p w14:paraId="31D568FE">
            <w:pPr>
              <w:widowControl/>
              <w:numPr>
                <w:ilvl w:val="0"/>
                <w:numId w:val="3"/>
              </w:numPr>
              <w:jc w:val="center"/>
              <w:textAlignment w:val="center"/>
              <w:rPr>
                <w:rFonts w:ascii="宋体" w:hAnsi="宋体" w:cs="仿宋"/>
                <w:color w:val="000000"/>
                <w:szCs w:val="21"/>
              </w:rPr>
            </w:pPr>
          </w:p>
        </w:tc>
        <w:tc>
          <w:tcPr>
            <w:tcW w:w="1415" w:type="pct"/>
            <w:noWrap w:val="0"/>
            <w:vAlign w:val="center"/>
          </w:tcPr>
          <w:p w14:paraId="6C3ACBFB">
            <w:pPr>
              <w:widowControl/>
              <w:jc w:val="center"/>
              <w:textAlignment w:val="center"/>
              <w:rPr>
                <w:rFonts w:ascii="宋体" w:hAnsi="宋体" w:cs="仿宋"/>
                <w:color w:val="000000"/>
                <w:szCs w:val="21"/>
              </w:rPr>
            </w:pPr>
            <w:r>
              <w:rPr>
                <w:rFonts w:hint="eastAsia" w:ascii="宋体" w:hAnsi="宋体" w:cs="仿宋"/>
                <w:color w:val="000000"/>
                <w:kern w:val="0"/>
                <w:szCs w:val="21"/>
              </w:rPr>
              <w:t>监控电源</w:t>
            </w:r>
          </w:p>
        </w:tc>
        <w:tc>
          <w:tcPr>
            <w:tcW w:w="3210" w:type="pct"/>
            <w:noWrap w:val="0"/>
            <w:vAlign w:val="center"/>
          </w:tcPr>
          <w:p w14:paraId="5E91CBB2">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具备短路保护、过流保护、输出过压保护等多种保护功能。</w:t>
            </w:r>
          </w:p>
        </w:tc>
      </w:tr>
      <w:tr w14:paraId="4280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373" w:type="pct"/>
            <w:vMerge w:val="restart"/>
            <w:noWrap/>
            <w:vAlign w:val="center"/>
          </w:tcPr>
          <w:p w14:paraId="3BA098D4">
            <w:pPr>
              <w:widowControl/>
              <w:numPr>
                <w:ilvl w:val="0"/>
                <w:numId w:val="3"/>
              </w:numPr>
              <w:jc w:val="center"/>
              <w:textAlignment w:val="center"/>
              <w:rPr>
                <w:rFonts w:ascii="宋体" w:hAnsi="宋体" w:cs="仿宋"/>
                <w:color w:val="000000"/>
                <w:szCs w:val="21"/>
              </w:rPr>
            </w:pPr>
          </w:p>
        </w:tc>
        <w:tc>
          <w:tcPr>
            <w:tcW w:w="1415" w:type="pct"/>
            <w:vMerge w:val="restart"/>
            <w:noWrap w:val="0"/>
            <w:vAlign w:val="center"/>
          </w:tcPr>
          <w:p w14:paraId="05B2BAC8">
            <w:pPr>
              <w:widowControl/>
              <w:jc w:val="center"/>
              <w:textAlignment w:val="center"/>
              <w:rPr>
                <w:rFonts w:ascii="宋体" w:hAnsi="宋体" w:cs="仿宋"/>
                <w:color w:val="000000"/>
                <w:szCs w:val="21"/>
              </w:rPr>
            </w:pPr>
            <w:r>
              <w:rPr>
                <w:rFonts w:hint="eastAsia" w:ascii="宋体" w:hAnsi="宋体" w:cs="仿宋"/>
                <w:color w:val="000000"/>
                <w:kern w:val="0"/>
                <w:szCs w:val="21"/>
              </w:rPr>
              <w:t>光模块</w:t>
            </w:r>
          </w:p>
        </w:tc>
        <w:tc>
          <w:tcPr>
            <w:tcW w:w="3210" w:type="pct"/>
            <w:noWrap w:val="0"/>
            <w:vAlign w:val="center"/>
          </w:tcPr>
          <w:p w14:paraId="11AAA422">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1、速率≥1.25G，传输距离≥2KM；</w:t>
            </w:r>
          </w:p>
        </w:tc>
      </w:tr>
      <w:tr w14:paraId="23F0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continue"/>
            <w:noWrap/>
            <w:vAlign w:val="center"/>
          </w:tcPr>
          <w:p w14:paraId="5060C011">
            <w:pPr>
              <w:widowControl/>
              <w:spacing w:line="360" w:lineRule="auto"/>
              <w:jc w:val="left"/>
              <w:rPr>
                <w:rFonts w:ascii="宋体" w:hAnsi="宋体"/>
                <w:szCs w:val="21"/>
              </w:rPr>
            </w:pPr>
          </w:p>
        </w:tc>
        <w:tc>
          <w:tcPr>
            <w:tcW w:w="1415" w:type="pct"/>
            <w:vMerge w:val="continue"/>
            <w:noWrap w:val="0"/>
            <w:vAlign w:val="center"/>
          </w:tcPr>
          <w:p w14:paraId="21378F4E">
            <w:pPr>
              <w:widowControl/>
              <w:spacing w:line="360" w:lineRule="auto"/>
              <w:jc w:val="left"/>
              <w:rPr>
                <w:rFonts w:ascii="宋体" w:hAnsi="宋体"/>
                <w:szCs w:val="21"/>
              </w:rPr>
            </w:pPr>
          </w:p>
        </w:tc>
        <w:tc>
          <w:tcPr>
            <w:tcW w:w="3210" w:type="pct"/>
            <w:noWrap w:val="0"/>
            <w:vAlign w:val="center"/>
          </w:tcPr>
          <w:p w14:paraId="2A807BD2">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2、单纤SC光口。</w:t>
            </w:r>
          </w:p>
        </w:tc>
      </w:tr>
      <w:tr w14:paraId="2047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 w:type="pct"/>
            <w:noWrap/>
            <w:vAlign w:val="center"/>
          </w:tcPr>
          <w:p w14:paraId="05F31D46">
            <w:pPr>
              <w:widowControl/>
              <w:numPr>
                <w:ilvl w:val="0"/>
                <w:numId w:val="3"/>
              </w:numPr>
              <w:jc w:val="center"/>
              <w:textAlignment w:val="center"/>
              <w:rPr>
                <w:rFonts w:ascii="宋体" w:hAnsi="宋体" w:cs="仿宋"/>
                <w:color w:val="000000"/>
                <w:szCs w:val="21"/>
              </w:rPr>
            </w:pPr>
          </w:p>
        </w:tc>
        <w:tc>
          <w:tcPr>
            <w:tcW w:w="1415" w:type="pct"/>
            <w:noWrap w:val="0"/>
            <w:vAlign w:val="center"/>
          </w:tcPr>
          <w:p w14:paraId="46E8F613">
            <w:pPr>
              <w:widowControl/>
              <w:jc w:val="center"/>
              <w:textAlignment w:val="center"/>
              <w:rPr>
                <w:rFonts w:ascii="宋体" w:hAnsi="宋体" w:cs="仿宋"/>
                <w:color w:val="000000"/>
                <w:szCs w:val="21"/>
              </w:rPr>
            </w:pPr>
            <w:r>
              <w:rPr>
                <w:rFonts w:hint="eastAsia" w:ascii="宋体" w:hAnsi="宋体" w:cs="仿宋"/>
                <w:color w:val="000000"/>
                <w:kern w:val="0"/>
                <w:szCs w:val="21"/>
              </w:rPr>
              <w:t>不锈钢防水箱</w:t>
            </w:r>
          </w:p>
        </w:tc>
        <w:tc>
          <w:tcPr>
            <w:tcW w:w="3210" w:type="pct"/>
            <w:noWrap w:val="0"/>
            <w:vAlign w:val="center"/>
          </w:tcPr>
          <w:p w14:paraId="2E526C53">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1、材质：冷轧钢板</w:t>
            </w:r>
          </w:p>
          <w:p w14:paraId="2341AB8E">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2、厚度：加厚箱体</w:t>
            </w:r>
          </w:p>
          <w:p w14:paraId="5D600F3B">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3、颜色：浅白色</w:t>
            </w:r>
          </w:p>
        </w:tc>
      </w:tr>
      <w:tr w14:paraId="483E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 w:type="pct"/>
            <w:noWrap/>
            <w:vAlign w:val="center"/>
          </w:tcPr>
          <w:p w14:paraId="4571FDA6">
            <w:pPr>
              <w:widowControl/>
              <w:numPr>
                <w:ilvl w:val="0"/>
                <w:numId w:val="3"/>
              </w:numPr>
              <w:jc w:val="center"/>
              <w:textAlignment w:val="center"/>
              <w:rPr>
                <w:rFonts w:ascii="宋体" w:hAnsi="宋体" w:cs="仿宋"/>
                <w:color w:val="000000"/>
                <w:kern w:val="0"/>
                <w:szCs w:val="21"/>
              </w:rPr>
            </w:pPr>
          </w:p>
        </w:tc>
        <w:tc>
          <w:tcPr>
            <w:tcW w:w="1415" w:type="pct"/>
            <w:noWrap w:val="0"/>
            <w:vAlign w:val="center"/>
          </w:tcPr>
          <w:p w14:paraId="096B22BA">
            <w:pPr>
              <w:widowControl/>
              <w:jc w:val="center"/>
              <w:textAlignment w:val="center"/>
              <w:rPr>
                <w:rFonts w:ascii="宋体" w:hAnsi="宋体" w:cs="仿宋"/>
                <w:color w:val="000000"/>
                <w:kern w:val="0"/>
                <w:szCs w:val="21"/>
              </w:rPr>
            </w:pPr>
            <w:r>
              <w:rPr>
                <w:rFonts w:hint="eastAsia" w:ascii="宋体" w:hAnsi="宋体" w:cs="仿宋"/>
                <w:color w:val="000000"/>
                <w:kern w:val="0"/>
                <w:szCs w:val="21"/>
              </w:rPr>
              <w:t>配件</w:t>
            </w:r>
          </w:p>
        </w:tc>
        <w:tc>
          <w:tcPr>
            <w:tcW w:w="3210" w:type="pct"/>
            <w:noWrap w:val="0"/>
            <w:vAlign w:val="center"/>
          </w:tcPr>
          <w:p w14:paraId="0D1413B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电源线、网线、熔纤、安全带等。</w:t>
            </w:r>
          </w:p>
        </w:tc>
      </w:tr>
      <w:tr w14:paraId="1092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restart"/>
            <w:noWrap/>
            <w:vAlign w:val="center"/>
          </w:tcPr>
          <w:p w14:paraId="41820ECB">
            <w:pPr>
              <w:widowControl/>
              <w:numPr>
                <w:ilvl w:val="0"/>
                <w:numId w:val="3"/>
              </w:numPr>
              <w:jc w:val="center"/>
              <w:textAlignment w:val="center"/>
              <w:rPr>
                <w:rFonts w:ascii="宋体" w:hAnsi="宋体" w:cs="仿宋"/>
                <w:color w:val="000000"/>
                <w:kern w:val="0"/>
                <w:szCs w:val="21"/>
              </w:rPr>
            </w:pPr>
          </w:p>
        </w:tc>
        <w:tc>
          <w:tcPr>
            <w:tcW w:w="1415" w:type="pct"/>
            <w:vMerge w:val="restart"/>
            <w:noWrap w:val="0"/>
            <w:vAlign w:val="center"/>
          </w:tcPr>
          <w:p w14:paraId="24D9D317">
            <w:pPr>
              <w:widowControl/>
              <w:jc w:val="center"/>
              <w:textAlignment w:val="center"/>
              <w:rPr>
                <w:rFonts w:ascii="宋体" w:hAnsi="宋体" w:cs="仿宋"/>
                <w:color w:val="000000"/>
                <w:kern w:val="0"/>
                <w:szCs w:val="21"/>
              </w:rPr>
            </w:pPr>
            <w:r>
              <w:rPr>
                <w:rFonts w:hint="eastAsia" w:ascii="宋体" w:hAnsi="宋体" w:cs="仿宋"/>
                <w:color w:val="000000"/>
                <w:kern w:val="0"/>
                <w:szCs w:val="21"/>
              </w:rPr>
              <w:t>运动风云榜大屏</w:t>
            </w:r>
          </w:p>
        </w:tc>
        <w:tc>
          <w:tcPr>
            <w:tcW w:w="3210" w:type="pct"/>
            <w:noWrap w:val="0"/>
            <w:vAlign w:val="center"/>
          </w:tcPr>
          <w:p w14:paraId="79CC86DE">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1.尺寸：≥55寸；</w:t>
            </w:r>
          </w:p>
        </w:tc>
      </w:tr>
      <w:tr w14:paraId="7EDE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continue"/>
            <w:noWrap/>
            <w:vAlign w:val="center"/>
          </w:tcPr>
          <w:p w14:paraId="6545E2AE">
            <w:pPr>
              <w:widowControl/>
              <w:spacing w:line="360" w:lineRule="auto"/>
              <w:jc w:val="left"/>
              <w:rPr>
                <w:rFonts w:ascii="宋体" w:hAnsi="宋体"/>
                <w:szCs w:val="21"/>
              </w:rPr>
            </w:pPr>
          </w:p>
        </w:tc>
        <w:tc>
          <w:tcPr>
            <w:tcW w:w="1415" w:type="pct"/>
            <w:vMerge w:val="continue"/>
            <w:noWrap w:val="0"/>
            <w:vAlign w:val="center"/>
          </w:tcPr>
          <w:p w14:paraId="3780BE43">
            <w:pPr>
              <w:widowControl/>
              <w:spacing w:line="360" w:lineRule="auto"/>
              <w:jc w:val="left"/>
              <w:rPr>
                <w:rFonts w:ascii="宋体" w:hAnsi="宋体"/>
                <w:szCs w:val="21"/>
              </w:rPr>
            </w:pPr>
          </w:p>
        </w:tc>
        <w:tc>
          <w:tcPr>
            <w:tcW w:w="3210" w:type="pct"/>
            <w:noWrap w:val="0"/>
            <w:vAlign w:val="center"/>
          </w:tcPr>
          <w:p w14:paraId="55467B3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2.亮度：≥2000cd；</w:t>
            </w:r>
          </w:p>
        </w:tc>
      </w:tr>
      <w:tr w14:paraId="1BDF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73" w:type="pct"/>
            <w:vMerge w:val="continue"/>
            <w:noWrap/>
            <w:vAlign w:val="center"/>
          </w:tcPr>
          <w:p w14:paraId="629CA2F9">
            <w:pPr>
              <w:widowControl/>
              <w:spacing w:line="360" w:lineRule="auto"/>
              <w:jc w:val="left"/>
              <w:rPr>
                <w:rFonts w:ascii="宋体" w:hAnsi="宋体"/>
                <w:szCs w:val="21"/>
              </w:rPr>
            </w:pPr>
          </w:p>
        </w:tc>
        <w:tc>
          <w:tcPr>
            <w:tcW w:w="1415" w:type="pct"/>
            <w:vMerge w:val="continue"/>
            <w:noWrap w:val="0"/>
            <w:vAlign w:val="center"/>
          </w:tcPr>
          <w:p w14:paraId="4CA51650">
            <w:pPr>
              <w:widowControl/>
              <w:spacing w:line="360" w:lineRule="auto"/>
              <w:jc w:val="left"/>
              <w:rPr>
                <w:rFonts w:ascii="宋体" w:hAnsi="宋体"/>
                <w:szCs w:val="21"/>
              </w:rPr>
            </w:pPr>
          </w:p>
        </w:tc>
        <w:tc>
          <w:tcPr>
            <w:tcW w:w="3210" w:type="pct"/>
            <w:noWrap w:val="0"/>
            <w:vAlign w:val="center"/>
          </w:tcPr>
          <w:p w14:paraId="59FA023B">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3.配置4K高清、纳米级触摸屏，自带人脸识别摄像头；</w:t>
            </w:r>
          </w:p>
        </w:tc>
      </w:tr>
      <w:tr w14:paraId="27E5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73" w:type="pct"/>
            <w:vMerge w:val="continue"/>
            <w:noWrap/>
            <w:vAlign w:val="center"/>
          </w:tcPr>
          <w:p w14:paraId="1439043D">
            <w:pPr>
              <w:widowControl/>
              <w:spacing w:line="360" w:lineRule="auto"/>
              <w:jc w:val="left"/>
              <w:rPr>
                <w:rFonts w:ascii="宋体" w:hAnsi="宋体"/>
                <w:szCs w:val="21"/>
              </w:rPr>
            </w:pPr>
          </w:p>
        </w:tc>
        <w:tc>
          <w:tcPr>
            <w:tcW w:w="1415" w:type="pct"/>
            <w:vMerge w:val="continue"/>
            <w:noWrap w:val="0"/>
            <w:vAlign w:val="center"/>
          </w:tcPr>
          <w:p w14:paraId="385337D7">
            <w:pPr>
              <w:widowControl/>
              <w:spacing w:line="360" w:lineRule="auto"/>
              <w:jc w:val="left"/>
              <w:rPr>
                <w:rFonts w:ascii="宋体" w:hAnsi="宋体"/>
                <w:szCs w:val="21"/>
              </w:rPr>
            </w:pPr>
          </w:p>
        </w:tc>
        <w:tc>
          <w:tcPr>
            <w:tcW w:w="3210" w:type="pct"/>
            <w:noWrap w:val="0"/>
            <w:vAlign w:val="center"/>
          </w:tcPr>
          <w:p w14:paraId="078225E1">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4.6核以上处理器；</w:t>
            </w:r>
          </w:p>
        </w:tc>
      </w:tr>
      <w:tr w14:paraId="493E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continue"/>
            <w:noWrap/>
            <w:vAlign w:val="center"/>
          </w:tcPr>
          <w:p w14:paraId="6E7E6E52">
            <w:pPr>
              <w:widowControl/>
              <w:spacing w:line="360" w:lineRule="auto"/>
              <w:jc w:val="left"/>
              <w:rPr>
                <w:rFonts w:ascii="宋体" w:hAnsi="宋体" w:cs="仿宋"/>
                <w:color w:val="000000"/>
                <w:kern w:val="0"/>
                <w:szCs w:val="21"/>
              </w:rPr>
            </w:pPr>
          </w:p>
        </w:tc>
        <w:tc>
          <w:tcPr>
            <w:tcW w:w="1415" w:type="pct"/>
            <w:vMerge w:val="continue"/>
            <w:noWrap w:val="0"/>
            <w:vAlign w:val="center"/>
          </w:tcPr>
          <w:p w14:paraId="11233875">
            <w:pPr>
              <w:widowControl/>
              <w:spacing w:line="360" w:lineRule="auto"/>
              <w:jc w:val="left"/>
              <w:rPr>
                <w:rFonts w:ascii="宋体" w:hAnsi="宋体" w:cs="仿宋"/>
                <w:color w:val="000000"/>
                <w:kern w:val="0"/>
                <w:szCs w:val="21"/>
              </w:rPr>
            </w:pPr>
          </w:p>
        </w:tc>
        <w:tc>
          <w:tcPr>
            <w:tcW w:w="3210" w:type="pct"/>
            <w:noWrap w:val="0"/>
            <w:vAlign w:val="center"/>
          </w:tcPr>
          <w:p w14:paraId="491920BE">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5.散热方式：风冷+调速;</w:t>
            </w:r>
          </w:p>
        </w:tc>
      </w:tr>
      <w:tr w14:paraId="27CA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continue"/>
            <w:noWrap/>
            <w:vAlign w:val="center"/>
          </w:tcPr>
          <w:p w14:paraId="2A521938">
            <w:pPr>
              <w:widowControl/>
              <w:spacing w:line="360" w:lineRule="auto"/>
              <w:jc w:val="left"/>
              <w:rPr>
                <w:rFonts w:ascii="宋体" w:hAnsi="宋体" w:cs="仿宋"/>
                <w:color w:val="000000"/>
                <w:kern w:val="0"/>
                <w:szCs w:val="21"/>
              </w:rPr>
            </w:pPr>
          </w:p>
        </w:tc>
        <w:tc>
          <w:tcPr>
            <w:tcW w:w="1415" w:type="pct"/>
            <w:vMerge w:val="continue"/>
            <w:noWrap w:val="0"/>
            <w:vAlign w:val="center"/>
          </w:tcPr>
          <w:p w14:paraId="07932920">
            <w:pPr>
              <w:widowControl/>
              <w:spacing w:line="360" w:lineRule="auto"/>
              <w:jc w:val="left"/>
              <w:rPr>
                <w:rFonts w:ascii="宋体" w:hAnsi="宋体" w:cs="仿宋"/>
                <w:color w:val="000000"/>
                <w:kern w:val="0"/>
                <w:szCs w:val="21"/>
              </w:rPr>
            </w:pPr>
          </w:p>
        </w:tc>
        <w:tc>
          <w:tcPr>
            <w:tcW w:w="3210" w:type="pct"/>
            <w:noWrap w:val="0"/>
            <w:vAlign w:val="center"/>
          </w:tcPr>
          <w:p w14:paraId="1FDF06A4">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6.支持防雨、防尘、防过热、防球击；</w:t>
            </w:r>
          </w:p>
        </w:tc>
      </w:tr>
      <w:tr w14:paraId="1967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3" w:type="pct"/>
            <w:vMerge w:val="continue"/>
            <w:noWrap/>
            <w:vAlign w:val="center"/>
          </w:tcPr>
          <w:p w14:paraId="43798EAB">
            <w:pPr>
              <w:widowControl/>
              <w:spacing w:line="360" w:lineRule="auto"/>
              <w:jc w:val="left"/>
              <w:rPr>
                <w:rFonts w:ascii="宋体" w:hAnsi="宋体" w:cs="仿宋"/>
                <w:color w:val="000000"/>
                <w:kern w:val="0"/>
                <w:szCs w:val="21"/>
              </w:rPr>
            </w:pPr>
          </w:p>
        </w:tc>
        <w:tc>
          <w:tcPr>
            <w:tcW w:w="1415" w:type="pct"/>
            <w:vMerge w:val="continue"/>
            <w:noWrap w:val="0"/>
            <w:vAlign w:val="center"/>
          </w:tcPr>
          <w:p w14:paraId="2E6E0639">
            <w:pPr>
              <w:widowControl/>
              <w:spacing w:line="360" w:lineRule="auto"/>
              <w:jc w:val="left"/>
              <w:rPr>
                <w:rFonts w:ascii="宋体" w:hAnsi="宋体" w:cs="仿宋"/>
                <w:color w:val="000000"/>
                <w:kern w:val="0"/>
                <w:szCs w:val="21"/>
              </w:rPr>
            </w:pPr>
          </w:p>
        </w:tc>
        <w:tc>
          <w:tcPr>
            <w:tcW w:w="3210" w:type="pct"/>
            <w:noWrap w:val="0"/>
            <w:vAlign w:val="center"/>
          </w:tcPr>
          <w:p w14:paraId="419D4E2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7.外壳：1.5mm镀锌板，表面喷户外专用粉，防护能力7年以上；</w:t>
            </w:r>
          </w:p>
        </w:tc>
      </w:tr>
      <w:tr w14:paraId="3E9E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continue"/>
            <w:noWrap/>
            <w:vAlign w:val="center"/>
          </w:tcPr>
          <w:p w14:paraId="76C0F268">
            <w:pPr>
              <w:widowControl/>
              <w:spacing w:line="360" w:lineRule="auto"/>
              <w:jc w:val="left"/>
              <w:rPr>
                <w:rFonts w:ascii="宋体" w:hAnsi="宋体" w:cs="仿宋"/>
                <w:color w:val="000000"/>
                <w:kern w:val="0"/>
                <w:szCs w:val="21"/>
              </w:rPr>
            </w:pPr>
          </w:p>
        </w:tc>
        <w:tc>
          <w:tcPr>
            <w:tcW w:w="1415" w:type="pct"/>
            <w:vMerge w:val="continue"/>
            <w:noWrap w:val="0"/>
            <w:vAlign w:val="center"/>
          </w:tcPr>
          <w:p w14:paraId="0608A2F2">
            <w:pPr>
              <w:widowControl/>
              <w:spacing w:line="360" w:lineRule="auto"/>
              <w:jc w:val="left"/>
              <w:rPr>
                <w:rFonts w:ascii="宋体" w:hAnsi="宋体" w:cs="仿宋"/>
                <w:color w:val="000000"/>
                <w:kern w:val="0"/>
                <w:szCs w:val="21"/>
              </w:rPr>
            </w:pPr>
          </w:p>
        </w:tc>
        <w:tc>
          <w:tcPr>
            <w:tcW w:w="3210" w:type="pct"/>
            <w:noWrap w:val="0"/>
            <w:vAlign w:val="center"/>
          </w:tcPr>
          <w:p w14:paraId="1E6700A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8.开门设计防水结构，贴户外橡胶条密封，满足IP55防护等级；</w:t>
            </w:r>
          </w:p>
        </w:tc>
      </w:tr>
      <w:tr w14:paraId="3F1A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73" w:type="pct"/>
            <w:vMerge w:val="continue"/>
            <w:noWrap/>
            <w:vAlign w:val="center"/>
          </w:tcPr>
          <w:p w14:paraId="45401B31">
            <w:pPr>
              <w:widowControl/>
              <w:spacing w:line="360" w:lineRule="auto"/>
              <w:jc w:val="left"/>
              <w:rPr>
                <w:rFonts w:ascii="宋体" w:hAnsi="宋体" w:cs="仿宋"/>
                <w:color w:val="000000"/>
                <w:kern w:val="0"/>
                <w:szCs w:val="21"/>
              </w:rPr>
            </w:pPr>
          </w:p>
        </w:tc>
        <w:tc>
          <w:tcPr>
            <w:tcW w:w="1415" w:type="pct"/>
            <w:vMerge w:val="continue"/>
            <w:noWrap w:val="0"/>
            <w:vAlign w:val="center"/>
          </w:tcPr>
          <w:p w14:paraId="2FD99F48">
            <w:pPr>
              <w:widowControl/>
              <w:spacing w:line="360" w:lineRule="auto"/>
              <w:jc w:val="left"/>
              <w:rPr>
                <w:rFonts w:ascii="宋体" w:hAnsi="宋体" w:cs="仿宋"/>
                <w:color w:val="000000"/>
                <w:kern w:val="0"/>
                <w:szCs w:val="21"/>
              </w:rPr>
            </w:pPr>
          </w:p>
        </w:tc>
        <w:tc>
          <w:tcPr>
            <w:tcW w:w="3210" w:type="pct"/>
            <w:noWrap w:val="0"/>
            <w:vAlign w:val="center"/>
          </w:tcPr>
          <w:p w14:paraId="23FFD14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9.配置校级智慧体育数据分析与查看功能，可查看校级整体数据情况，包含实时运动量、开课次数、开课人数、开课班级数等维度数据；</w:t>
            </w:r>
          </w:p>
        </w:tc>
      </w:tr>
      <w:tr w14:paraId="1B6A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continue"/>
            <w:noWrap/>
            <w:vAlign w:val="center"/>
          </w:tcPr>
          <w:p w14:paraId="0E460D5E">
            <w:pPr>
              <w:widowControl/>
              <w:spacing w:line="360" w:lineRule="auto"/>
              <w:jc w:val="left"/>
              <w:rPr>
                <w:rFonts w:ascii="宋体" w:hAnsi="宋体" w:cs="仿宋"/>
                <w:color w:val="000000"/>
                <w:kern w:val="0"/>
                <w:szCs w:val="21"/>
              </w:rPr>
            </w:pPr>
          </w:p>
        </w:tc>
        <w:tc>
          <w:tcPr>
            <w:tcW w:w="1415" w:type="pct"/>
            <w:vMerge w:val="continue"/>
            <w:noWrap w:val="0"/>
            <w:vAlign w:val="center"/>
          </w:tcPr>
          <w:p w14:paraId="2EBE030C">
            <w:pPr>
              <w:widowControl/>
              <w:spacing w:line="360" w:lineRule="auto"/>
              <w:jc w:val="left"/>
              <w:rPr>
                <w:rFonts w:ascii="宋体" w:hAnsi="宋体" w:cs="仿宋"/>
                <w:color w:val="000000"/>
                <w:kern w:val="0"/>
                <w:szCs w:val="21"/>
              </w:rPr>
            </w:pPr>
          </w:p>
        </w:tc>
        <w:tc>
          <w:tcPr>
            <w:tcW w:w="3210" w:type="pct"/>
            <w:noWrap w:val="0"/>
            <w:vAlign w:val="center"/>
          </w:tcPr>
          <w:p w14:paraId="4375296F">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10.支持校方各级人员查看各项目实时使用情况，可查看各运动项目实时排行榜单，并支持根据年级/性别等类别进行分类查看排行榜单，可在榜单中查看对应学生运动视频回放及动作关键帧；</w:t>
            </w:r>
          </w:p>
        </w:tc>
      </w:tr>
      <w:tr w14:paraId="647B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373" w:type="pct"/>
            <w:vMerge w:val="continue"/>
            <w:noWrap/>
            <w:vAlign w:val="center"/>
          </w:tcPr>
          <w:p w14:paraId="497E03B1">
            <w:pPr>
              <w:widowControl/>
              <w:spacing w:line="360" w:lineRule="auto"/>
              <w:jc w:val="left"/>
              <w:rPr>
                <w:rFonts w:ascii="宋体" w:hAnsi="宋体" w:cs="仿宋"/>
                <w:color w:val="000000"/>
                <w:kern w:val="0"/>
                <w:szCs w:val="21"/>
              </w:rPr>
            </w:pPr>
          </w:p>
        </w:tc>
        <w:tc>
          <w:tcPr>
            <w:tcW w:w="1415" w:type="pct"/>
            <w:vMerge w:val="continue"/>
            <w:noWrap w:val="0"/>
            <w:vAlign w:val="center"/>
          </w:tcPr>
          <w:p w14:paraId="02C65869">
            <w:pPr>
              <w:widowControl/>
              <w:spacing w:line="360" w:lineRule="auto"/>
              <w:jc w:val="left"/>
              <w:rPr>
                <w:rFonts w:ascii="宋体" w:hAnsi="宋体" w:cs="仿宋"/>
                <w:color w:val="000000"/>
                <w:kern w:val="0"/>
                <w:szCs w:val="21"/>
              </w:rPr>
            </w:pPr>
          </w:p>
        </w:tc>
        <w:tc>
          <w:tcPr>
            <w:tcW w:w="3210" w:type="pct"/>
            <w:noWrap w:val="0"/>
            <w:vAlign w:val="center"/>
          </w:tcPr>
          <w:p w14:paraId="757B5871">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11.支持运动风云榜分周榜、月榜、学期榜进行查看；</w:t>
            </w:r>
          </w:p>
        </w:tc>
      </w:tr>
      <w:tr w14:paraId="54EB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continue"/>
            <w:noWrap/>
            <w:vAlign w:val="center"/>
          </w:tcPr>
          <w:p w14:paraId="390DA764">
            <w:pPr>
              <w:widowControl/>
              <w:spacing w:line="360" w:lineRule="auto"/>
              <w:jc w:val="left"/>
              <w:rPr>
                <w:rFonts w:ascii="宋体" w:hAnsi="宋体" w:cs="仿宋"/>
                <w:color w:val="000000"/>
                <w:kern w:val="0"/>
                <w:szCs w:val="21"/>
              </w:rPr>
            </w:pPr>
          </w:p>
        </w:tc>
        <w:tc>
          <w:tcPr>
            <w:tcW w:w="1415" w:type="pct"/>
            <w:vMerge w:val="continue"/>
            <w:noWrap w:val="0"/>
            <w:vAlign w:val="center"/>
          </w:tcPr>
          <w:p w14:paraId="23942DA4">
            <w:pPr>
              <w:widowControl/>
              <w:spacing w:line="360" w:lineRule="auto"/>
              <w:jc w:val="left"/>
              <w:rPr>
                <w:rFonts w:ascii="宋体" w:hAnsi="宋体" w:cs="仿宋"/>
                <w:color w:val="000000"/>
                <w:kern w:val="0"/>
                <w:szCs w:val="21"/>
              </w:rPr>
            </w:pPr>
          </w:p>
        </w:tc>
        <w:tc>
          <w:tcPr>
            <w:tcW w:w="3210" w:type="pct"/>
            <w:noWrap w:val="0"/>
            <w:vAlign w:val="center"/>
          </w:tcPr>
          <w:p w14:paraId="28EDFC8F">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12.支持通知栏展示，并支持后台自定义设置通知栏内容；</w:t>
            </w:r>
          </w:p>
        </w:tc>
      </w:tr>
      <w:tr w14:paraId="2FCF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73" w:type="pct"/>
            <w:vMerge w:val="continue"/>
            <w:noWrap/>
            <w:vAlign w:val="center"/>
          </w:tcPr>
          <w:p w14:paraId="3814BBB7">
            <w:pPr>
              <w:widowControl/>
              <w:spacing w:line="360" w:lineRule="auto"/>
              <w:jc w:val="left"/>
              <w:rPr>
                <w:rFonts w:ascii="宋体" w:hAnsi="宋体" w:cs="仿宋"/>
                <w:color w:val="000000"/>
                <w:kern w:val="0"/>
                <w:szCs w:val="21"/>
              </w:rPr>
            </w:pPr>
          </w:p>
        </w:tc>
        <w:tc>
          <w:tcPr>
            <w:tcW w:w="1415" w:type="pct"/>
            <w:vMerge w:val="continue"/>
            <w:noWrap w:val="0"/>
            <w:vAlign w:val="center"/>
          </w:tcPr>
          <w:p w14:paraId="362EFF72">
            <w:pPr>
              <w:widowControl/>
              <w:spacing w:line="360" w:lineRule="auto"/>
              <w:jc w:val="left"/>
              <w:rPr>
                <w:rFonts w:ascii="宋体" w:hAnsi="宋体" w:cs="仿宋"/>
                <w:color w:val="000000"/>
                <w:kern w:val="0"/>
                <w:szCs w:val="21"/>
              </w:rPr>
            </w:pPr>
          </w:p>
        </w:tc>
        <w:tc>
          <w:tcPr>
            <w:tcW w:w="3210" w:type="pct"/>
            <w:noWrap w:val="0"/>
            <w:vAlign w:val="center"/>
          </w:tcPr>
          <w:p w14:paraId="54A82742">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▲13.支持学生通过大屏自主查询个人成绩档案，包含过往整体运动数据量、综合能力雷达分布图、各运动项目的成绩综合分析体现；</w:t>
            </w:r>
            <w:r>
              <w:rPr>
                <w:rFonts w:hint="eastAsia" w:ascii="宋体" w:hAnsi="宋体" w:cs="仿宋"/>
                <w:b/>
                <w:bCs/>
                <w:color w:val="FF0000"/>
                <w:kern w:val="0"/>
                <w:szCs w:val="21"/>
                <w:lang w:bidi="ar"/>
              </w:rPr>
              <w:t>提供具有检测资质的第三方检验检测机构出具的带有CMA标识的检验检测报告关键页扫描件，检验（检测）报告检测项目里面明确备注说明相关检验检测项不在检验检测机构CMA资质许可(认定)范围内的则视为负偏离，未按要求提供或提供不清晰导致专家无法判断的不得分</w:t>
            </w:r>
          </w:p>
        </w:tc>
      </w:tr>
      <w:tr w14:paraId="4C0C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73" w:type="pct"/>
            <w:vMerge w:val="continue"/>
            <w:noWrap/>
            <w:vAlign w:val="center"/>
          </w:tcPr>
          <w:p w14:paraId="6E05E927">
            <w:pPr>
              <w:widowControl/>
              <w:spacing w:line="360" w:lineRule="auto"/>
              <w:jc w:val="left"/>
              <w:rPr>
                <w:rFonts w:ascii="宋体" w:hAnsi="宋体" w:cs="仿宋"/>
                <w:color w:val="000000"/>
                <w:kern w:val="0"/>
                <w:szCs w:val="21"/>
              </w:rPr>
            </w:pPr>
          </w:p>
        </w:tc>
        <w:tc>
          <w:tcPr>
            <w:tcW w:w="1415" w:type="pct"/>
            <w:vMerge w:val="continue"/>
            <w:noWrap w:val="0"/>
            <w:vAlign w:val="center"/>
          </w:tcPr>
          <w:p w14:paraId="06DDA3D8">
            <w:pPr>
              <w:widowControl/>
              <w:spacing w:line="360" w:lineRule="auto"/>
              <w:jc w:val="left"/>
              <w:rPr>
                <w:rFonts w:ascii="宋体" w:hAnsi="宋体" w:cs="仿宋"/>
                <w:color w:val="000000"/>
                <w:kern w:val="0"/>
                <w:szCs w:val="21"/>
              </w:rPr>
            </w:pPr>
          </w:p>
        </w:tc>
        <w:tc>
          <w:tcPr>
            <w:tcW w:w="3210" w:type="pct"/>
            <w:noWrap w:val="0"/>
            <w:vAlign w:val="center"/>
          </w:tcPr>
          <w:p w14:paraId="4C3DCFA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14.支持学生通过大屏进行人脸识别，课后自主查看个人运动视频、动作关键帧等数据；</w:t>
            </w:r>
          </w:p>
        </w:tc>
      </w:tr>
      <w:tr w14:paraId="7CE6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73" w:type="pct"/>
            <w:vMerge w:val="continue"/>
            <w:noWrap/>
            <w:vAlign w:val="center"/>
          </w:tcPr>
          <w:p w14:paraId="058E7C24">
            <w:pPr>
              <w:widowControl/>
              <w:spacing w:line="360" w:lineRule="auto"/>
              <w:jc w:val="left"/>
              <w:rPr>
                <w:rFonts w:ascii="宋体" w:hAnsi="宋体" w:cs="仿宋"/>
                <w:color w:val="000000"/>
                <w:kern w:val="0"/>
                <w:szCs w:val="21"/>
              </w:rPr>
            </w:pPr>
          </w:p>
        </w:tc>
        <w:tc>
          <w:tcPr>
            <w:tcW w:w="1415" w:type="pct"/>
            <w:vMerge w:val="continue"/>
            <w:noWrap w:val="0"/>
            <w:vAlign w:val="center"/>
          </w:tcPr>
          <w:p w14:paraId="00D72A52">
            <w:pPr>
              <w:widowControl/>
              <w:spacing w:line="360" w:lineRule="auto"/>
              <w:jc w:val="left"/>
              <w:rPr>
                <w:rFonts w:ascii="宋体" w:hAnsi="宋体" w:cs="仿宋"/>
                <w:color w:val="000000"/>
                <w:kern w:val="0"/>
                <w:szCs w:val="21"/>
              </w:rPr>
            </w:pPr>
          </w:p>
        </w:tc>
        <w:tc>
          <w:tcPr>
            <w:tcW w:w="3210" w:type="pct"/>
            <w:noWrap w:val="0"/>
            <w:vAlign w:val="center"/>
          </w:tcPr>
          <w:p w14:paraId="43FD352E">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15.支持通过大屏人脸识别查看学生运动数据，包括累计运动天数、日均运动时长（分钟）、今日运动时长（分钟）、达标天数占比等数据；</w:t>
            </w:r>
          </w:p>
        </w:tc>
      </w:tr>
      <w:tr w14:paraId="0FA5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373" w:type="pct"/>
            <w:vMerge w:val="continue"/>
            <w:noWrap/>
            <w:vAlign w:val="center"/>
          </w:tcPr>
          <w:p w14:paraId="7EF0AF3A">
            <w:pPr>
              <w:widowControl/>
              <w:spacing w:line="360" w:lineRule="auto"/>
              <w:jc w:val="left"/>
              <w:rPr>
                <w:rFonts w:ascii="宋体" w:hAnsi="宋体" w:cs="仿宋"/>
                <w:color w:val="000000"/>
                <w:kern w:val="0"/>
                <w:szCs w:val="21"/>
              </w:rPr>
            </w:pPr>
          </w:p>
        </w:tc>
        <w:tc>
          <w:tcPr>
            <w:tcW w:w="1415" w:type="pct"/>
            <w:vMerge w:val="continue"/>
            <w:noWrap w:val="0"/>
            <w:vAlign w:val="center"/>
          </w:tcPr>
          <w:p w14:paraId="58A34030">
            <w:pPr>
              <w:widowControl/>
              <w:spacing w:line="360" w:lineRule="auto"/>
              <w:jc w:val="left"/>
              <w:rPr>
                <w:rFonts w:ascii="宋体" w:hAnsi="宋体" w:cs="仿宋"/>
                <w:color w:val="000000"/>
                <w:kern w:val="0"/>
                <w:szCs w:val="21"/>
              </w:rPr>
            </w:pPr>
          </w:p>
        </w:tc>
        <w:tc>
          <w:tcPr>
            <w:tcW w:w="3210" w:type="pct"/>
            <w:noWrap w:val="0"/>
            <w:vAlign w:val="center"/>
          </w:tcPr>
          <w:p w14:paraId="6B6AA131">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16.支持学期切换，支持查看上一个学期的运动数据；</w:t>
            </w:r>
          </w:p>
        </w:tc>
      </w:tr>
      <w:tr w14:paraId="37B1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continue"/>
            <w:noWrap/>
            <w:vAlign w:val="center"/>
          </w:tcPr>
          <w:p w14:paraId="2938EF85">
            <w:pPr>
              <w:widowControl/>
              <w:spacing w:line="360" w:lineRule="auto"/>
              <w:jc w:val="left"/>
              <w:rPr>
                <w:rFonts w:ascii="宋体" w:hAnsi="宋体" w:cs="仿宋"/>
                <w:color w:val="000000"/>
                <w:kern w:val="0"/>
                <w:szCs w:val="21"/>
              </w:rPr>
            </w:pPr>
          </w:p>
        </w:tc>
        <w:tc>
          <w:tcPr>
            <w:tcW w:w="1415" w:type="pct"/>
            <w:vMerge w:val="continue"/>
            <w:noWrap w:val="0"/>
            <w:vAlign w:val="center"/>
          </w:tcPr>
          <w:p w14:paraId="3B69222D">
            <w:pPr>
              <w:widowControl/>
              <w:spacing w:line="360" w:lineRule="auto"/>
              <w:jc w:val="left"/>
              <w:rPr>
                <w:rFonts w:ascii="宋体" w:hAnsi="宋体" w:cs="仿宋"/>
                <w:color w:val="000000"/>
                <w:kern w:val="0"/>
                <w:szCs w:val="21"/>
              </w:rPr>
            </w:pPr>
          </w:p>
        </w:tc>
        <w:tc>
          <w:tcPr>
            <w:tcW w:w="3210" w:type="pct"/>
            <w:noWrap w:val="0"/>
            <w:vAlign w:val="center"/>
          </w:tcPr>
          <w:p w14:paraId="75E81DF3">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17.支持学生通过大屏选择时间区间查看运动趋势图及各项目日均运动时长等数据。</w:t>
            </w:r>
          </w:p>
        </w:tc>
      </w:tr>
      <w:tr w14:paraId="045F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3" w:type="pct"/>
            <w:vMerge w:val="restart"/>
            <w:noWrap/>
            <w:vAlign w:val="center"/>
          </w:tcPr>
          <w:p w14:paraId="04F46BD5">
            <w:pPr>
              <w:widowControl/>
              <w:numPr>
                <w:ilvl w:val="0"/>
                <w:numId w:val="3"/>
              </w:numPr>
              <w:jc w:val="center"/>
              <w:textAlignment w:val="center"/>
              <w:rPr>
                <w:rFonts w:ascii="宋体" w:hAnsi="宋体" w:cs="仿宋"/>
                <w:color w:val="000000"/>
                <w:kern w:val="0"/>
                <w:szCs w:val="21"/>
              </w:rPr>
            </w:pPr>
          </w:p>
        </w:tc>
        <w:tc>
          <w:tcPr>
            <w:tcW w:w="1415" w:type="pct"/>
            <w:vMerge w:val="restart"/>
            <w:noWrap w:val="0"/>
            <w:vAlign w:val="center"/>
          </w:tcPr>
          <w:p w14:paraId="4D7964B3">
            <w:pPr>
              <w:widowControl/>
              <w:jc w:val="center"/>
              <w:textAlignment w:val="center"/>
              <w:rPr>
                <w:rFonts w:ascii="宋体" w:hAnsi="宋体" w:cs="仿宋"/>
                <w:color w:val="000000"/>
                <w:kern w:val="0"/>
                <w:szCs w:val="21"/>
              </w:rPr>
            </w:pPr>
            <w:r>
              <w:rPr>
                <w:rFonts w:hint="eastAsia" w:ascii="宋体" w:hAnsi="宋体" w:cs="仿宋"/>
                <w:color w:val="000000"/>
                <w:kern w:val="0"/>
                <w:szCs w:val="21"/>
              </w:rPr>
              <w:t>阳光跑LED适配盒</w:t>
            </w:r>
          </w:p>
        </w:tc>
        <w:tc>
          <w:tcPr>
            <w:tcW w:w="3210" w:type="pct"/>
            <w:noWrap w:val="0"/>
            <w:vAlign w:val="center"/>
          </w:tcPr>
          <w:p w14:paraId="14B7080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1.CPU：高性能、低功耗的四核处理器,搭载 Android11 或以上系统；</w:t>
            </w:r>
          </w:p>
        </w:tc>
      </w:tr>
      <w:tr w14:paraId="6F1F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3" w:type="pct"/>
            <w:vMerge w:val="continue"/>
            <w:noWrap/>
            <w:vAlign w:val="center"/>
          </w:tcPr>
          <w:p w14:paraId="0AFF0B73">
            <w:pPr>
              <w:widowControl/>
              <w:spacing w:line="360" w:lineRule="auto"/>
              <w:jc w:val="left"/>
              <w:rPr>
                <w:rFonts w:ascii="宋体" w:hAnsi="宋体"/>
                <w:szCs w:val="21"/>
              </w:rPr>
            </w:pPr>
          </w:p>
        </w:tc>
        <w:tc>
          <w:tcPr>
            <w:tcW w:w="1415" w:type="pct"/>
            <w:vMerge w:val="continue"/>
            <w:noWrap w:val="0"/>
            <w:vAlign w:val="center"/>
          </w:tcPr>
          <w:p w14:paraId="6F0A344D">
            <w:pPr>
              <w:widowControl/>
              <w:spacing w:line="360" w:lineRule="auto"/>
              <w:jc w:val="left"/>
              <w:rPr>
                <w:rFonts w:ascii="宋体" w:hAnsi="宋体"/>
                <w:szCs w:val="21"/>
              </w:rPr>
            </w:pPr>
          </w:p>
        </w:tc>
        <w:tc>
          <w:tcPr>
            <w:tcW w:w="3210" w:type="pct"/>
            <w:noWrap w:val="0"/>
            <w:vAlign w:val="center"/>
          </w:tcPr>
          <w:p w14:paraId="3FD5F00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2.主频最高达 2.0GHz或以上；</w:t>
            </w:r>
          </w:p>
        </w:tc>
      </w:tr>
      <w:tr w14:paraId="6B33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3" w:type="pct"/>
            <w:vMerge w:val="continue"/>
            <w:noWrap/>
            <w:vAlign w:val="center"/>
          </w:tcPr>
          <w:p w14:paraId="34E1A66C">
            <w:pPr>
              <w:widowControl/>
              <w:spacing w:line="360" w:lineRule="auto"/>
              <w:jc w:val="left"/>
              <w:rPr>
                <w:rFonts w:ascii="宋体" w:hAnsi="宋体" w:cs="仿宋"/>
                <w:color w:val="000000"/>
                <w:kern w:val="0"/>
                <w:szCs w:val="21"/>
              </w:rPr>
            </w:pPr>
          </w:p>
        </w:tc>
        <w:tc>
          <w:tcPr>
            <w:tcW w:w="1415" w:type="pct"/>
            <w:vMerge w:val="continue"/>
            <w:noWrap w:val="0"/>
            <w:vAlign w:val="center"/>
          </w:tcPr>
          <w:p w14:paraId="143E445D">
            <w:pPr>
              <w:widowControl/>
              <w:spacing w:line="360" w:lineRule="auto"/>
              <w:jc w:val="left"/>
              <w:rPr>
                <w:rFonts w:ascii="宋体" w:hAnsi="宋体" w:cs="仿宋"/>
                <w:color w:val="000000"/>
                <w:kern w:val="0"/>
                <w:szCs w:val="21"/>
              </w:rPr>
            </w:pPr>
          </w:p>
        </w:tc>
        <w:tc>
          <w:tcPr>
            <w:tcW w:w="3210" w:type="pct"/>
            <w:noWrap w:val="0"/>
            <w:vAlign w:val="center"/>
          </w:tcPr>
          <w:p w14:paraId="0E5BE545">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3.内存：2G或以上；</w:t>
            </w:r>
          </w:p>
        </w:tc>
      </w:tr>
      <w:tr w14:paraId="6F7C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3" w:type="pct"/>
            <w:vMerge w:val="continue"/>
            <w:noWrap/>
            <w:vAlign w:val="center"/>
          </w:tcPr>
          <w:p w14:paraId="7F6FA6CA">
            <w:pPr>
              <w:widowControl/>
              <w:spacing w:line="360" w:lineRule="auto"/>
              <w:jc w:val="left"/>
              <w:rPr>
                <w:rFonts w:ascii="宋体" w:hAnsi="宋体" w:cs="仿宋"/>
                <w:color w:val="000000"/>
                <w:kern w:val="0"/>
                <w:szCs w:val="21"/>
              </w:rPr>
            </w:pPr>
          </w:p>
        </w:tc>
        <w:tc>
          <w:tcPr>
            <w:tcW w:w="1415" w:type="pct"/>
            <w:vMerge w:val="continue"/>
            <w:noWrap w:val="0"/>
            <w:vAlign w:val="center"/>
          </w:tcPr>
          <w:p w14:paraId="50D19110">
            <w:pPr>
              <w:widowControl/>
              <w:spacing w:line="360" w:lineRule="auto"/>
              <w:jc w:val="left"/>
              <w:rPr>
                <w:rFonts w:ascii="宋体" w:hAnsi="宋体" w:cs="仿宋"/>
                <w:color w:val="000000"/>
                <w:kern w:val="0"/>
                <w:szCs w:val="21"/>
              </w:rPr>
            </w:pPr>
          </w:p>
        </w:tc>
        <w:tc>
          <w:tcPr>
            <w:tcW w:w="3210" w:type="pct"/>
            <w:noWrap w:val="0"/>
            <w:vAlign w:val="center"/>
          </w:tcPr>
          <w:p w14:paraId="0E9FD8B6">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4.高清晰度：最大支持 3840×2160 的解码和各种 LVDS/EDP 接口的 LED 显示屏；</w:t>
            </w:r>
          </w:p>
        </w:tc>
      </w:tr>
      <w:tr w14:paraId="3B06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3" w:type="pct"/>
            <w:vMerge w:val="continue"/>
            <w:noWrap/>
            <w:vAlign w:val="center"/>
          </w:tcPr>
          <w:p w14:paraId="4C20AC78">
            <w:pPr>
              <w:widowControl/>
              <w:spacing w:line="360" w:lineRule="auto"/>
              <w:jc w:val="left"/>
              <w:rPr>
                <w:rFonts w:ascii="宋体" w:hAnsi="宋体" w:cs="仿宋"/>
                <w:color w:val="000000"/>
                <w:kern w:val="0"/>
                <w:szCs w:val="21"/>
              </w:rPr>
            </w:pPr>
          </w:p>
        </w:tc>
        <w:tc>
          <w:tcPr>
            <w:tcW w:w="1415" w:type="pct"/>
            <w:vMerge w:val="continue"/>
            <w:noWrap w:val="0"/>
            <w:vAlign w:val="center"/>
          </w:tcPr>
          <w:p w14:paraId="2AD82562">
            <w:pPr>
              <w:widowControl/>
              <w:spacing w:line="360" w:lineRule="auto"/>
              <w:jc w:val="left"/>
              <w:rPr>
                <w:rFonts w:ascii="宋体" w:hAnsi="宋体" w:cs="仿宋"/>
                <w:color w:val="000000"/>
                <w:kern w:val="0"/>
                <w:szCs w:val="21"/>
              </w:rPr>
            </w:pPr>
          </w:p>
        </w:tc>
        <w:tc>
          <w:tcPr>
            <w:tcW w:w="3210" w:type="pct"/>
            <w:noWrap w:val="0"/>
            <w:vAlign w:val="center"/>
          </w:tcPr>
          <w:p w14:paraId="7B8E58BD">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5.外形尺寸：220mm*125mm*25mm(高*宽*厚)；</w:t>
            </w:r>
          </w:p>
        </w:tc>
      </w:tr>
      <w:tr w14:paraId="1727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3" w:type="pct"/>
            <w:vMerge w:val="continue"/>
            <w:noWrap/>
            <w:vAlign w:val="center"/>
          </w:tcPr>
          <w:p w14:paraId="58C304FB">
            <w:pPr>
              <w:widowControl/>
              <w:spacing w:line="360" w:lineRule="auto"/>
              <w:jc w:val="left"/>
              <w:rPr>
                <w:rFonts w:ascii="宋体" w:hAnsi="宋体" w:cs="仿宋"/>
                <w:color w:val="000000"/>
                <w:kern w:val="0"/>
                <w:szCs w:val="21"/>
              </w:rPr>
            </w:pPr>
          </w:p>
        </w:tc>
        <w:tc>
          <w:tcPr>
            <w:tcW w:w="1415" w:type="pct"/>
            <w:vMerge w:val="continue"/>
            <w:noWrap w:val="0"/>
            <w:vAlign w:val="center"/>
          </w:tcPr>
          <w:p w14:paraId="5A96A831">
            <w:pPr>
              <w:widowControl/>
              <w:spacing w:line="360" w:lineRule="auto"/>
              <w:jc w:val="left"/>
              <w:rPr>
                <w:rFonts w:ascii="宋体" w:hAnsi="宋体" w:cs="仿宋"/>
                <w:color w:val="000000"/>
                <w:kern w:val="0"/>
                <w:szCs w:val="21"/>
              </w:rPr>
            </w:pPr>
          </w:p>
        </w:tc>
        <w:tc>
          <w:tcPr>
            <w:tcW w:w="3210" w:type="pct"/>
            <w:noWrap w:val="0"/>
            <w:vAlign w:val="center"/>
          </w:tcPr>
          <w:p w14:paraId="53555900">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6.工作温度：-20°C-70°C,推荐 5℃～35℃。</w:t>
            </w:r>
          </w:p>
        </w:tc>
      </w:tr>
      <w:tr w14:paraId="7562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 w:type="pct"/>
            <w:noWrap/>
            <w:vAlign w:val="center"/>
          </w:tcPr>
          <w:p w14:paraId="28627AEB">
            <w:pPr>
              <w:widowControl/>
              <w:numPr>
                <w:ilvl w:val="0"/>
                <w:numId w:val="3"/>
              </w:numPr>
              <w:jc w:val="center"/>
              <w:textAlignment w:val="center"/>
              <w:rPr>
                <w:rFonts w:ascii="宋体" w:hAnsi="宋体" w:cs="仿宋"/>
                <w:color w:val="000000"/>
                <w:kern w:val="0"/>
                <w:szCs w:val="21"/>
              </w:rPr>
            </w:pPr>
          </w:p>
        </w:tc>
        <w:tc>
          <w:tcPr>
            <w:tcW w:w="1415" w:type="pct"/>
            <w:noWrap w:val="0"/>
            <w:vAlign w:val="center"/>
          </w:tcPr>
          <w:p w14:paraId="13C2F9BA">
            <w:pPr>
              <w:widowControl/>
              <w:jc w:val="center"/>
              <w:textAlignment w:val="center"/>
              <w:rPr>
                <w:rFonts w:ascii="宋体" w:hAnsi="宋体" w:cs="仿宋"/>
                <w:color w:val="000000"/>
                <w:kern w:val="0"/>
                <w:szCs w:val="21"/>
              </w:rPr>
            </w:pPr>
            <w:r>
              <w:rPr>
                <w:rFonts w:hint="eastAsia" w:ascii="宋体" w:hAnsi="宋体" w:cs="仿宋"/>
                <w:color w:val="000000"/>
                <w:kern w:val="0"/>
                <w:szCs w:val="21"/>
              </w:rPr>
              <w:t>网络设备套装</w:t>
            </w:r>
          </w:p>
        </w:tc>
        <w:tc>
          <w:tcPr>
            <w:tcW w:w="3210" w:type="pct"/>
            <w:noWrap w:val="0"/>
            <w:vAlign w:val="center"/>
          </w:tcPr>
          <w:p w14:paraId="6DA2D1DC">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单校标配硬件设备，含无线AP、路由器、交换机、PDU等。</w:t>
            </w:r>
          </w:p>
        </w:tc>
      </w:tr>
      <w:tr w14:paraId="769B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 w:type="pct"/>
            <w:noWrap/>
            <w:vAlign w:val="center"/>
          </w:tcPr>
          <w:p w14:paraId="45163497">
            <w:pPr>
              <w:widowControl/>
              <w:numPr>
                <w:ilvl w:val="0"/>
                <w:numId w:val="3"/>
              </w:numPr>
              <w:jc w:val="center"/>
              <w:textAlignment w:val="center"/>
              <w:rPr>
                <w:rFonts w:ascii="宋体" w:hAnsi="宋体" w:cs="仿宋"/>
                <w:color w:val="000000"/>
                <w:kern w:val="0"/>
                <w:szCs w:val="21"/>
              </w:rPr>
            </w:pPr>
          </w:p>
        </w:tc>
        <w:tc>
          <w:tcPr>
            <w:tcW w:w="1415" w:type="pct"/>
            <w:noWrap w:val="0"/>
            <w:vAlign w:val="center"/>
          </w:tcPr>
          <w:p w14:paraId="4F72EA90">
            <w:pPr>
              <w:widowControl/>
              <w:jc w:val="center"/>
              <w:textAlignment w:val="center"/>
              <w:rPr>
                <w:rFonts w:ascii="宋体" w:hAnsi="宋体" w:cs="仿宋"/>
                <w:color w:val="000000"/>
                <w:kern w:val="0"/>
                <w:szCs w:val="21"/>
              </w:rPr>
            </w:pPr>
            <w:r>
              <w:rPr>
                <w:rFonts w:hint="eastAsia" w:ascii="宋体" w:hAnsi="宋体" w:cs="仿宋"/>
                <w:color w:val="000000"/>
                <w:kern w:val="0"/>
                <w:szCs w:val="21"/>
              </w:rPr>
              <w:t>项目施工费</w:t>
            </w:r>
          </w:p>
        </w:tc>
        <w:tc>
          <w:tcPr>
            <w:tcW w:w="3210" w:type="pct"/>
            <w:noWrap w:val="0"/>
            <w:vAlign w:val="center"/>
          </w:tcPr>
          <w:p w14:paraId="568AF14A">
            <w:pPr>
              <w:widowControl/>
              <w:spacing w:line="360" w:lineRule="auto"/>
              <w:jc w:val="left"/>
              <w:rPr>
                <w:rFonts w:ascii="宋体" w:hAnsi="宋体" w:cs="仿宋"/>
                <w:color w:val="000000"/>
                <w:kern w:val="0"/>
                <w:szCs w:val="21"/>
              </w:rPr>
            </w:pPr>
            <w:r>
              <w:rPr>
                <w:rFonts w:hint="eastAsia" w:ascii="宋体" w:hAnsi="宋体" w:cs="仿宋"/>
                <w:color w:val="000000"/>
                <w:kern w:val="0"/>
                <w:szCs w:val="21"/>
              </w:rPr>
              <w:t>立杆安装、垃圾清运、安装调试等。</w:t>
            </w:r>
          </w:p>
        </w:tc>
      </w:tr>
    </w:tbl>
    <w:p w14:paraId="3372B263">
      <w:pPr>
        <w:pStyle w:val="5"/>
      </w:pPr>
    </w:p>
    <w:p w14:paraId="526C395B">
      <w:pPr>
        <w:pStyle w:val="3"/>
        <w:spacing w:line="360" w:lineRule="auto"/>
        <w:jc w:val="left"/>
        <w:rPr>
          <w:rFonts w:hint="eastAsia" w:cs="Arial"/>
          <w:sz w:val="28"/>
          <w:szCs w:val="28"/>
        </w:rPr>
      </w:pPr>
      <w:bookmarkStart w:id="6" w:name="_Toc213752372"/>
      <w:r>
        <w:rPr>
          <w:rFonts w:hint="eastAsia" w:cs="Arial"/>
          <w:sz w:val="28"/>
          <w:szCs w:val="28"/>
          <w:lang w:eastAsia="zh-CN"/>
        </w:rPr>
        <w:t>三</w:t>
      </w:r>
      <w:r>
        <w:rPr>
          <w:rFonts w:hint="eastAsia" w:cs="Arial"/>
          <w:sz w:val="28"/>
          <w:szCs w:val="28"/>
        </w:rPr>
        <w:t>、商务要求</w:t>
      </w:r>
      <w:bookmarkEnd w:id="6"/>
    </w:p>
    <w:p w14:paraId="29655966">
      <w:pPr>
        <w:spacing w:line="276" w:lineRule="auto"/>
        <w:rPr>
          <w:rFonts w:ascii="宋体" w:hAnsi="宋体" w:cs="Arial"/>
          <w:b/>
          <w:bCs/>
          <w:kern w:val="0"/>
          <w:sz w:val="28"/>
          <w:szCs w:val="28"/>
        </w:rPr>
      </w:pPr>
      <w:r>
        <w:rPr>
          <w:rFonts w:hint="eastAsia" w:ascii="宋体" w:hAnsi="宋体" w:cs="Arial"/>
          <w:b/>
          <w:bCs/>
          <w:kern w:val="0"/>
          <w:sz w:val="28"/>
          <w:szCs w:val="28"/>
        </w:rPr>
        <w:t>1、带“★”指标项为实质性条款，如出现负偏离，将被视为未实质性满足招标文件要求作投标无效处理。</w:t>
      </w:r>
    </w:p>
    <w:p w14:paraId="0A3DA476">
      <w:pPr>
        <w:spacing w:line="276" w:lineRule="auto"/>
        <w:rPr>
          <w:rFonts w:hint="eastAsia" w:ascii="宋体" w:hAnsi="宋体" w:cs="Arial"/>
          <w:b/>
          <w:bCs/>
          <w:kern w:val="0"/>
          <w:sz w:val="28"/>
          <w:szCs w:val="28"/>
        </w:rPr>
      </w:pPr>
      <w:r>
        <w:rPr>
          <w:rFonts w:ascii="宋体" w:hAnsi="宋体" w:cs="Arial"/>
          <w:b/>
          <w:bCs/>
          <w:kern w:val="0"/>
          <w:sz w:val="28"/>
          <w:szCs w:val="28"/>
        </w:rPr>
        <w:t>2</w:t>
      </w:r>
      <w:r>
        <w:rPr>
          <w:rFonts w:hint="eastAsia" w:ascii="宋体" w:hAnsi="宋体" w:cs="Arial"/>
          <w:b/>
          <w:bCs/>
          <w:kern w:val="0"/>
          <w:sz w:val="28"/>
          <w:szCs w:val="28"/>
        </w:rPr>
        <w:t>、评分时，如对一项招标商务需求（以划分框为准，一个划分框是作为一项招标商务需求）中的内容存在两处（或以上）负偏离的，在评分时只作一项负偏离扣分。</w:t>
      </w:r>
    </w:p>
    <w:tbl>
      <w:tblPr>
        <w:tblStyle w:val="7"/>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677"/>
        <w:gridCol w:w="6585"/>
      </w:tblGrid>
      <w:tr w14:paraId="43AB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7" w:type="dxa"/>
            <w:noWrap w:val="0"/>
            <w:vAlign w:val="center"/>
          </w:tcPr>
          <w:p w14:paraId="54362022">
            <w:pPr>
              <w:jc w:val="center"/>
              <w:rPr>
                <w:rFonts w:ascii="宋体" w:hAnsi="宋体"/>
                <w:b/>
                <w:szCs w:val="21"/>
              </w:rPr>
            </w:pPr>
            <w:r>
              <w:rPr>
                <w:rFonts w:hint="eastAsia" w:ascii="宋体" w:hAnsi="宋体"/>
                <w:b/>
                <w:szCs w:val="21"/>
              </w:rPr>
              <w:t>序号</w:t>
            </w:r>
          </w:p>
        </w:tc>
        <w:tc>
          <w:tcPr>
            <w:tcW w:w="1677" w:type="dxa"/>
            <w:noWrap w:val="0"/>
            <w:vAlign w:val="center"/>
          </w:tcPr>
          <w:p w14:paraId="169BC00E">
            <w:pPr>
              <w:jc w:val="center"/>
              <w:rPr>
                <w:rFonts w:ascii="宋体" w:hAnsi="宋体"/>
                <w:b/>
                <w:szCs w:val="21"/>
              </w:rPr>
            </w:pPr>
            <w:r>
              <w:rPr>
                <w:rFonts w:hint="eastAsia" w:ascii="宋体" w:hAnsi="宋体"/>
                <w:b/>
                <w:szCs w:val="21"/>
              </w:rPr>
              <w:t>商务需求项</w:t>
            </w:r>
          </w:p>
        </w:tc>
        <w:tc>
          <w:tcPr>
            <w:tcW w:w="6585" w:type="dxa"/>
            <w:noWrap w:val="0"/>
            <w:vAlign w:val="center"/>
          </w:tcPr>
          <w:p w14:paraId="1B41B06F">
            <w:pPr>
              <w:jc w:val="center"/>
              <w:rPr>
                <w:rFonts w:ascii="宋体" w:hAnsi="宋体"/>
                <w:b/>
                <w:szCs w:val="21"/>
              </w:rPr>
            </w:pPr>
            <w:r>
              <w:rPr>
                <w:rFonts w:hint="eastAsia" w:ascii="宋体" w:hAnsi="宋体"/>
                <w:b/>
                <w:szCs w:val="21"/>
              </w:rPr>
              <w:t>招标商务需求</w:t>
            </w:r>
          </w:p>
        </w:tc>
      </w:tr>
      <w:tr w14:paraId="3787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49" w:type="dxa"/>
            <w:gridSpan w:val="3"/>
            <w:noWrap w:val="0"/>
            <w:vAlign w:val="top"/>
          </w:tcPr>
          <w:p w14:paraId="2CE14B81">
            <w:pPr>
              <w:spacing w:line="360" w:lineRule="exact"/>
              <w:rPr>
                <w:rFonts w:ascii="宋体" w:hAnsi="宋体"/>
                <w:b/>
                <w:szCs w:val="21"/>
              </w:rPr>
            </w:pPr>
            <w:r>
              <w:rPr>
                <w:rFonts w:hint="eastAsia" w:ascii="宋体" w:hAnsi="宋体"/>
                <w:b/>
                <w:szCs w:val="21"/>
              </w:rPr>
              <w:t>（一）免费保修期内售后服务要求</w:t>
            </w:r>
          </w:p>
        </w:tc>
      </w:tr>
      <w:tr w14:paraId="62DB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87" w:type="dxa"/>
            <w:noWrap w:val="0"/>
            <w:vAlign w:val="center"/>
          </w:tcPr>
          <w:p w14:paraId="5A4519E9">
            <w:pPr>
              <w:jc w:val="center"/>
              <w:rPr>
                <w:rFonts w:ascii="宋体" w:hAnsi="宋体"/>
                <w:bCs/>
                <w:szCs w:val="21"/>
              </w:rPr>
            </w:pPr>
            <w:r>
              <w:rPr>
                <w:rFonts w:hint="eastAsia" w:ascii="宋体" w:hAnsi="宋体"/>
                <w:bCs/>
                <w:szCs w:val="21"/>
              </w:rPr>
              <w:t>1</w:t>
            </w:r>
          </w:p>
        </w:tc>
        <w:tc>
          <w:tcPr>
            <w:tcW w:w="1677" w:type="dxa"/>
            <w:noWrap w:val="0"/>
            <w:vAlign w:val="top"/>
          </w:tcPr>
          <w:p w14:paraId="28470621">
            <w:pPr>
              <w:jc w:val="center"/>
              <w:rPr>
                <w:rFonts w:ascii="宋体" w:hAnsi="宋体"/>
                <w:szCs w:val="21"/>
              </w:rPr>
            </w:pPr>
            <w:r>
              <w:rPr>
                <w:rFonts w:hint="eastAsia" w:ascii="宋体" w:hAnsi="宋体"/>
                <w:szCs w:val="21"/>
              </w:rPr>
              <w:t>维修响应及故障解决时间</w:t>
            </w:r>
          </w:p>
        </w:tc>
        <w:tc>
          <w:tcPr>
            <w:tcW w:w="6585" w:type="dxa"/>
            <w:noWrap w:val="0"/>
            <w:vAlign w:val="top"/>
          </w:tcPr>
          <w:p w14:paraId="26EA1DB4">
            <w:pPr>
              <w:rPr>
                <w:rFonts w:ascii="宋体" w:hAnsi="宋体"/>
                <w:b/>
                <w:szCs w:val="21"/>
              </w:rPr>
            </w:pPr>
            <w:r>
              <w:rPr>
                <w:rFonts w:hint="eastAsia" w:ascii="宋体" w:hAnsi="宋体"/>
                <w:bCs/>
                <w:szCs w:val="21"/>
              </w:rPr>
              <w:t>在免费保修期内，一旦发生质量问题，中标人保证在接到通知24小时内赶到现场进行修理或更换。</w:t>
            </w:r>
          </w:p>
        </w:tc>
      </w:tr>
      <w:tr w14:paraId="2D8F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87" w:type="dxa"/>
            <w:vMerge w:val="restart"/>
            <w:noWrap w:val="0"/>
            <w:vAlign w:val="center"/>
          </w:tcPr>
          <w:p w14:paraId="7D828870">
            <w:pPr>
              <w:jc w:val="center"/>
              <w:rPr>
                <w:rFonts w:ascii="宋体" w:hAnsi="宋体"/>
                <w:szCs w:val="21"/>
              </w:rPr>
            </w:pPr>
            <w:r>
              <w:rPr>
                <w:rFonts w:hint="eastAsia" w:ascii="宋体" w:hAnsi="宋体"/>
                <w:szCs w:val="21"/>
              </w:rPr>
              <w:t>2</w:t>
            </w:r>
          </w:p>
        </w:tc>
        <w:tc>
          <w:tcPr>
            <w:tcW w:w="1677" w:type="dxa"/>
            <w:vMerge w:val="restart"/>
            <w:noWrap w:val="0"/>
            <w:vAlign w:val="center"/>
          </w:tcPr>
          <w:p w14:paraId="347FDE74">
            <w:pPr>
              <w:jc w:val="center"/>
              <w:rPr>
                <w:rFonts w:ascii="宋体" w:hAnsi="宋体"/>
                <w:szCs w:val="21"/>
              </w:rPr>
            </w:pPr>
            <w:r>
              <w:rPr>
                <w:rFonts w:hint="eastAsia" w:ascii="宋体" w:hAnsi="宋体"/>
                <w:szCs w:val="21"/>
              </w:rPr>
              <w:t>免费保修期</w:t>
            </w:r>
          </w:p>
        </w:tc>
        <w:tc>
          <w:tcPr>
            <w:tcW w:w="6585" w:type="dxa"/>
            <w:noWrap w:val="0"/>
            <w:vAlign w:val="top"/>
          </w:tcPr>
          <w:p w14:paraId="3875FDD7">
            <w:pPr>
              <w:rPr>
                <w:rFonts w:ascii="宋体" w:hAnsi="宋体"/>
                <w:b/>
                <w:szCs w:val="21"/>
              </w:rPr>
            </w:pPr>
            <w:r>
              <w:rPr>
                <w:rFonts w:hint="eastAsia" w:ascii="宋体" w:hAnsi="宋体"/>
                <w:bCs/>
                <w:szCs w:val="21"/>
              </w:rPr>
              <w:t>★1</w:t>
            </w:r>
            <w:r>
              <w:rPr>
                <w:rFonts w:ascii="宋体" w:hAnsi="宋体"/>
                <w:bCs/>
                <w:szCs w:val="21"/>
              </w:rPr>
              <w:t>.</w:t>
            </w:r>
            <w:r>
              <w:rPr>
                <w:rFonts w:hint="eastAsia" w:ascii="宋体" w:hAnsi="宋体"/>
                <w:bCs/>
                <w:szCs w:val="21"/>
              </w:rPr>
              <w:t>货物免费保修期</w:t>
            </w:r>
            <w:r>
              <w:rPr>
                <w:rFonts w:hint="eastAsia" w:ascii="宋体" w:hAnsi="宋体"/>
                <w:bCs/>
                <w:szCs w:val="21"/>
                <w:u w:val="single"/>
              </w:rPr>
              <w:t xml:space="preserve">  3  </w:t>
            </w:r>
            <w:r>
              <w:rPr>
                <w:rFonts w:hint="eastAsia" w:ascii="宋体" w:hAnsi="宋体"/>
                <w:bCs/>
                <w:szCs w:val="21"/>
              </w:rPr>
              <w:t>年，时间自最终验收合格并交付使用之日起计算。</w:t>
            </w:r>
          </w:p>
        </w:tc>
      </w:tr>
      <w:tr w14:paraId="5710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7" w:type="dxa"/>
            <w:vMerge w:val="continue"/>
            <w:noWrap w:val="0"/>
            <w:vAlign w:val="center"/>
          </w:tcPr>
          <w:p w14:paraId="5490422D">
            <w:pPr>
              <w:jc w:val="center"/>
              <w:rPr>
                <w:rFonts w:ascii="宋体" w:hAnsi="宋体"/>
                <w:b/>
                <w:szCs w:val="21"/>
              </w:rPr>
            </w:pPr>
          </w:p>
        </w:tc>
        <w:tc>
          <w:tcPr>
            <w:tcW w:w="1677" w:type="dxa"/>
            <w:vMerge w:val="continue"/>
            <w:noWrap w:val="0"/>
            <w:vAlign w:val="center"/>
          </w:tcPr>
          <w:p w14:paraId="0FB6CB79">
            <w:pPr>
              <w:rPr>
                <w:rFonts w:ascii="宋体" w:hAnsi="宋体"/>
                <w:szCs w:val="21"/>
              </w:rPr>
            </w:pPr>
          </w:p>
        </w:tc>
        <w:tc>
          <w:tcPr>
            <w:tcW w:w="6585" w:type="dxa"/>
            <w:noWrap w:val="0"/>
            <w:vAlign w:val="center"/>
          </w:tcPr>
          <w:p w14:paraId="0C935A80">
            <w:pPr>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免费保修期内，</w:t>
            </w:r>
            <w:r>
              <w:rPr>
                <w:rFonts w:hint="eastAsia" w:ascii="宋体" w:hAnsi="宋体"/>
                <w:color w:val="000000"/>
                <w:szCs w:val="21"/>
              </w:rPr>
              <w:t>所有服务及配件全部免费。</w:t>
            </w:r>
          </w:p>
        </w:tc>
      </w:tr>
      <w:tr w14:paraId="0F04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7" w:type="dxa"/>
            <w:noWrap w:val="0"/>
            <w:vAlign w:val="center"/>
          </w:tcPr>
          <w:p w14:paraId="7A6E3468">
            <w:pPr>
              <w:jc w:val="center"/>
              <w:rPr>
                <w:rFonts w:ascii="宋体" w:hAnsi="宋体"/>
                <w:b/>
                <w:szCs w:val="21"/>
              </w:rPr>
            </w:pPr>
            <w:r>
              <w:rPr>
                <w:rFonts w:hint="eastAsia" w:ascii="宋体" w:hAnsi="宋体"/>
                <w:szCs w:val="21"/>
              </w:rPr>
              <w:t>3</w:t>
            </w:r>
          </w:p>
        </w:tc>
        <w:tc>
          <w:tcPr>
            <w:tcW w:w="1677" w:type="dxa"/>
            <w:noWrap w:val="0"/>
            <w:vAlign w:val="center"/>
          </w:tcPr>
          <w:p w14:paraId="031AD532">
            <w:pPr>
              <w:jc w:val="center"/>
              <w:rPr>
                <w:rFonts w:ascii="宋体" w:hAnsi="宋体"/>
                <w:b/>
                <w:szCs w:val="21"/>
              </w:rPr>
            </w:pPr>
            <w:r>
              <w:rPr>
                <w:rFonts w:hint="eastAsia" w:ascii="宋体" w:hAnsi="宋体"/>
                <w:szCs w:val="21"/>
              </w:rPr>
              <w:t>技术文件</w:t>
            </w:r>
          </w:p>
        </w:tc>
        <w:tc>
          <w:tcPr>
            <w:tcW w:w="6585" w:type="dxa"/>
            <w:noWrap w:val="0"/>
            <w:vAlign w:val="center"/>
          </w:tcPr>
          <w:p w14:paraId="75815804">
            <w:pPr>
              <w:rPr>
                <w:rFonts w:ascii="宋体" w:hAnsi="宋体"/>
                <w:bCs/>
                <w:szCs w:val="21"/>
              </w:rPr>
            </w:pPr>
            <w:r>
              <w:rPr>
                <w:rFonts w:hint="eastAsia" w:ascii="宋体" w:hAnsi="宋体"/>
                <w:bCs/>
                <w:szCs w:val="21"/>
              </w:rPr>
              <w:t>供应商应提供全套、完整的书面技术资料，包括仪器说明书、操作手册、简单维修说明、图纸等。</w:t>
            </w:r>
          </w:p>
        </w:tc>
      </w:tr>
      <w:tr w14:paraId="52AF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7" w:type="dxa"/>
            <w:noWrap w:val="0"/>
            <w:vAlign w:val="center"/>
          </w:tcPr>
          <w:p w14:paraId="72AACB0D">
            <w:pPr>
              <w:jc w:val="center"/>
              <w:rPr>
                <w:rFonts w:ascii="宋体" w:hAnsi="宋体"/>
                <w:bCs/>
                <w:szCs w:val="21"/>
              </w:rPr>
            </w:pPr>
            <w:r>
              <w:rPr>
                <w:rFonts w:hint="eastAsia" w:ascii="宋体" w:hAnsi="宋体"/>
                <w:bCs/>
                <w:szCs w:val="21"/>
              </w:rPr>
              <w:t>4</w:t>
            </w:r>
          </w:p>
        </w:tc>
        <w:tc>
          <w:tcPr>
            <w:tcW w:w="1677" w:type="dxa"/>
            <w:noWrap w:val="0"/>
            <w:vAlign w:val="center"/>
          </w:tcPr>
          <w:p w14:paraId="2E50D8A8">
            <w:pPr>
              <w:jc w:val="center"/>
              <w:rPr>
                <w:rFonts w:ascii="宋体" w:hAnsi="宋体"/>
                <w:bCs/>
                <w:szCs w:val="21"/>
              </w:rPr>
            </w:pPr>
            <w:r>
              <w:rPr>
                <w:rFonts w:hint="eastAsia" w:ascii="宋体" w:hAnsi="宋体"/>
                <w:szCs w:val="21"/>
              </w:rPr>
              <w:t>安装调试</w:t>
            </w:r>
          </w:p>
        </w:tc>
        <w:tc>
          <w:tcPr>
            <w:tcW w:w="6585" w:type="dxa"/>
            <w:noWrap w:val="0"/>
            <w:vAlign w:val="center"/>
          </w:tcPr>
          <w:p w14:paraId="0F7DA530">
            <w:pPr>
              <w:rPr>
                <w:rFonts w:ascii="宋体" w:hAnsi="宋体"/>
                <w:bCs/>
                <w:szCs w:val="21"/>
              </w:rPr>
            </w:pPr>
            <w:r>
              <w:rPr>
                <w:rFonts w:hint="eastAsia" w:ascii="宋体" w:hAnsi="宋体"/>
                <w:bCs/>
                <w:szCs w:val="21"/>
              </w:rPr>
              <w:t>按照国标及甲方要求安装调试。</w:t>
            </w:r>
          </w:p>
        </w:tc>
      </w:tr>
      <w:tr w14:paraId="194F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49" w:type="dxa"/>
            <w:gridSpan w:val="3"/>
            <w:noWrap w:val="0"/>
            <w:vAlign w:val="center"/>
          </w:tcPr>
          <w:p w14:paraId="44CF050C">
            <w:pPr>
              <w:spacing w:line="360" w:lineRule="exact"/>
              <w:rPr>
                <w:rFonts w:ascii="宋体" w:hAnsi="宋体"/>
                <w:b/>
                <w:szCs w:val="21"/>
              </w:rPr>
            </w:pPr>
            <w:r>
              <w:rPr>
                <w:rFonts w:hint="eastAsia" w:ascii="宋体" w:hAnsi="宋体"/>
                <w:b/>
                <w:szCs w:val="21"/>
              </w:rPr>
              <w:t>（二）免费保修期外售后服务要求</w:t>
            </w:r>
          </w:p>
        </w:tc>
      </w:tr>
      <w:tr w14:paraId="2387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restart"/>
            <w:noWrap w:val="0"/>
            <w:vAlign w:val="center"/>
          </w:tcPr>
          <w:p w14:paraId="3A511C55">
            <w:pPr>
              <w:spacing w:line="360" w:lineRule="exact"/>
              <w:jc w:val="center"/>
              <w:rPr>
                <w:rFonts w:ascii="宋体" w:hAnsi="宋体"/>
                <w:b/>
                <w:szCs w:val="21"/>
              </w:rPr>
            </w:pPr>
            <w:r>
              <w:rPr>
                <w:rFonts w:hint="eastAsia" w:ascii="宋体" w:hAnsi="宋体"/>
                <w:b/>
                <w:szCs w:val="21"/>
              </w:rPr>
              <w:t>1</w:t>
            </w:r>
          </w:p>
        </w:tc>
        <w:tc>
          <w:tcPr>
            <w:tcW w:w="1677" w:type="dxa"/>
            <w:vMerge w:val="restart"/>
            <w:noWrap w:val="0"/>
            <w:vAlign w:val="center"/>
          </w:tcPr>
          <w:p w14:paraId="5D6FD077">
            <w:pPr>
              <w:spacing w:line="360" w:lineRule="exact"/>
              <w:jc w:val="center"/>
              <w:rPr>
                <w:rFonts w:ascii="宋体" w:hAnsi="宋体"/>
                <w:b/>
                <w:color w:val="000000"/>
                <w:szCs w:val="21"/>
              </w:rPr>
            </w:pPr>
            <w:r>
              <w:rPr>
                <w:rFonts w:hint="eastAsia" w:ascii="宋体" w:hAnsi="宋体" w:cs="宋体"/>
                <w:b/>
                <w:bCs/>
                <w:color w:val="000000"/>
                <w:szCs w:val="21"/>
              </w:rPr>
              <w:t>维修零配件、消耗品和延续保修合同的报价</w:t>
            </w:r>
          </w:p>
        </w:tc>
        <w:tc>
          <w:tcPr>
            <w:tcW w:w="6585" w:type="dxa"/>
            <w:noWrap w:val="0"/>
            <w:vAlign w:val="center"/>
          </w:tcPr>
          <w:p w14:paraId="69A9A9CF">
            <w:pPr>
              <w:spacing w:line="360" w:lineRule="exact"/>
              <w:rPr>
                <w:rFonts w:ascii="宋体" w:hAnsi="宋体"/>
                <w:b/>
                <w:color w:val="000000"/>
                <w:szCs w:val="21"/>
              </w:rPr>
            </w:pPr>
            <w:r>
              <w:rPr>
                <w:rFonts w:hint="eastAsia" w:ascii="宋体" w:hAnsi="宋体" w:cs="宋体"/>
                <w:color w:val="000000"/>
                <w:szCs w:val="21"/>
              </w:rPr>
              <w:t>1.1由设备制造商提供售后服务，</w:t>
            </w:r>
            <w:r>
              <w:rPr>
                <w:rFonts w:hint="eastAsia" w:ascii="宋体" w:hAnsi="宋体" w:cs="宋体"/>
                <w:color w:val="000000"/>
                <w:szCs w:val="21"/>
                <w:u w:val="single"/>
              </w:rPr>
              <w:t xml:space="preserve"> 1 </w:t>
            </w:r>
            <w:r>
              <w:rPr>
                <w:rFonts w:hint="eastAsia" w:ascii="宋体" w:hAnsi="宋体" w:cs="宋体"/>
                <w:color w:val="000000"/>
                <w:szCs w:val="21"/>
              </w:rPr>
              <w:t>小时内响应，</w:t>
            </w:r>
            <w:r>
              <w:rPr>
                <w:rFonts w:hint="eastAsia" w:ascii="宋体" w:hAnsi="宋体" w:cs="宋体"/>
                <w:color w:val="000000"/>
                <w:szCs w:val="21"/>
                <w:u w:val="single"/>
              </w:rPr>
              <w:t xml:space="preserve"> 24 </w:t>
            </w:r>
            <w:r>
              <w:rPr>
                <w:rFonts w:hint="eastAsia" w:ascii="宋体" w:hAnsi="宋体" w:cs="宋体"/>
                <w:color w:val="000000"/>
                <w:szCs w:val="21"/>
              </w:rPr>
              <w:t>小时维修到位，并在48小时内消除故障（不可抗力情况除外）。消耗品和零配件供应及时，特殊情况下可提供备用机。在境内有相对应的零配件保税库，于中标后出具证明文件。</w:t>
            </w:r>
          </w:p>
        </w:tc>
      </w:tr>
      <w:tr w14:paraId="5CC9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continue"/>
            <w:noWrap w:val="0"/>
            <w:vAlign w:val="center"/>
          </w:tcPr>
          <w:p w14:paraId="5378D90A">
            <w:pPr>
              <w:spacing w:line="360" w:lineRule="exact"/>
              <w:jc w:val="center"/>
              <w:rPr>
                <w:rFonts w:ascii="宋体" w:hAnsi="宋体"/>
                <w:b/>
                <w:szCs w:val="21"/>
              </w:rPr>
            </w:pPr>
          </w:p>
        </w:tc>
        <w:tc>
          <w:tcPr>
            <w:tcW w:w="1677" w:type="dxa"/>
            <w:vMerge w:val="continue"/>
            <w:noWrap w:val="0"/>
            <w:vAlign w:val="center"/>
          </w:tcPr>
          <w:p w14:paraId="637E0991">
            <w:pPr>
              <w:spacing w:line="360" w:lineRule="exact"/>
              <w:rPr>
                <w:rFonts w:ascii="宋体" w:hAnsi="宋体" w:cs="宋体"/>
                <w:b/>
                <w:bCs/>
                <w:color w:val="000000"/>
                <w:szCs w:val="21"/>
              </w:rPr>
            </w:pPr>
          </w:p>
        </w:tc>
        <w:tc>
          <w:tcPr>
            <w:tcW w:w="6585" w:type="dxa"/>
            <w:noWrap w:val="0"/>
            <w:vAlign w:val="center"/>
          </w:tcPr>
          <w:p w14:paraId="3A890D02">
            <w:pPr>
              <w:spacing w:line="360" w:lineRule="exact"/>
              <w:rPr>
                <w:rFonts w:ascii="宋体" w:hAnsi="宋体"/>
                <w:b/>
                <w:color w:val="000000"/>
                <w:szCs w:val="21"/>
              </w:rPr>
            </w:pPr>
            <w:r>
              <w:rPr>
                <w:rFonts w:hint="eastAsia" w:ascii="宋体" w:hAnsi="宋体" w:cs="宋体"/>
                <w:color w:val="000000"/>
                <w:szCs w:val="21"/>
              </w:rPr>
              <w:t>1.2免费保修期外，中标供应商提供产品的售后服务工作，</w:t>
            </w:r>
            <w:r>
              <w:rPr>
                <w:rFonts w:hint="eastAsia" w:ascii="宋体" w:hAnsi="宋体" w:cs="宋体"/>
                <w:b/>
                <w:bCs/>
                <w:color w:val="000000"/>
                <w:szCs w:val="21"/>
              </w:rPr>
              <w:t>维修零配件、消耗品和延续保修合同的报价不得高于原合同报价。</w:t>
            </w:r>
            <w:r>
              <w:rPr>
                <w:rFonts w:ascii="宋体" w:hAnsi="宋体"/>
                <w:b/>
                <w:color w:val="000000"/>
                <w:szCs w:val="21"/>
              </w:rPr>
              <w:t xml:space="preserve"> </w:t>
            </w:r>
          </w:p>
        </w:tc>
      </w:tr>
      <w:tr w14:paraId="23C0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49" w:type="dxa"/>
            <w:gridSpan w:val="3"/>
            <w:noWrap w:val="0"/>
            <w:vAlign w:val="center"/>
          </w:tcPr>
          <w:p w14:paraId="61491159">
            <w:pPr>
              <w:spacing w:line="360" w:lineRule="exact"/>
              <w:rPr>
                <w:rFonts w:ascii="宋体" w:hAnsi="宋体"/>
                <w:b/>
                <w:szCs w:val="21"/>
              </w:rPr>
            </w:pPr>
            <w:r>
              <w:rPr>
                <w:rFonts w:hint="eastAsia" w:ascii="宋体" w:hAnsi="宋体"/>
                <w:b/>
                <w:szCs w:val="21"/>
              </w:rPr>
              <w:t>（三）其他商务要求</w:t>
            </w:r>
          </w:p>
        </w:tc>
      </w:tr>
      <w:tr w14:paraId="4811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restart"/>
            <w:noWrap w:val="0"/>
            <w:vAlign w:val="center"/>
          </w:tcPr>
          <w:p w14:paraId="0A2D8ACC">
            <w:pPr>
              <w:spacing w:line="360" w:lineRule="exact"/>
              <w:jc w:val="center"/>
              <w:rPr>
                <w:rFonts w:ascii="宋体" w:hAnsi="宋体"/>
                <w:b/>
                <w:szCs w:val="21"/>
              </w:rPr>
            </w:pPr>
            <w:bookmarkStart w:id="7" w:name="_Hlk72260973"/>
            <w:r>
              <w:rPr>
                <w:rFonts w:hint="eastAsia" w:ascii="宋体" w:hAnsi="宋体"/>
                <w:b/>
                <w:szCs w:val="21"/>
              </w:rPr>
              <w:t>1</w:t>
            </w:r>
          </w:p>
        </w:tc>
        <w:tc>
          <w:tcPr>
            <w:tcW w:w="1677" w:type="dxa"/>
            <w:vMerge w:val="restart"/>
            <w:noWrap w:val="0"/>
            <w:vAlign w:val="center"/>
          </w:tcPr>
          <w:p w14:paraId="3D0C32C8">
            <w:pPr>
              <w:spacing w:line="360" w:lineRule="exact"/>
              <w:jc w:val="center"/>
              <w:rPr>
                <w:rFonts w:ascii="宋体" w:hAnsi="宋体"/>
                <w:b/>
                <w:szCs w:val="21"/>
              </w:rPr>
            </w:pPr>
            <w:r>
              <w:rPr>
                <w:rFonts w:hint="eastAsia" w:ascii="宋体" w:hAnsi="宋体"/>
                <w:b/>
                <w:szCs w:val="21"/>
              </w:rPr>
              <w:t>必备条款</w:t>
            </w:r>
          </w:p>
        </w:tc>
        <w:tc>
          <w:tcPr>
            <w:tcW w:w="6585" w:type="dxa"/>
            <w:noWrap w:val="0"/>
            <w:vAlign w:val="center"/>
          </w:tcPr>
          <w:p w14:paraId="49ACF5A3">
            <w:pPr>
              <w:spacing w:line="360" w:lineRule="exact"/>
              <w:rPr>
                <w:rFonts w:ascii="宋体" w:hAnsi="宋体" w:cs="宋体"/>
                <w:color w:val="000000"/>
                <w:szCs w:val="21"/>
              </w:rPr>
            </w:pPr>
            <w:r>
              <w:rPr>
                <w:rFonts w:hint="eastAsia" w:ascii="宋体" w:hAnsi="宋体" w:cs="宋体"/>
                <w:color w:val="000000"/>
                <w:szCs w:val="21"/>
              </w:rPr>
              <w:t>★1.1履约时间和地点：投标供应商在签订合同之日起</w:t>
            </w:r>
            <w:r>
              <w:rPr>
                <w:rFonts w:hint="eastAsia" w:ascii="宋体" w:hAnsi="宋体" w:cs="宋体"/>
                <w:color w:val="000000"/>
                <w:szCs w:val="21"/>
                <w:lang w:val="en-US" w:eastAsia="zh-CN"/>
              </w:rPr>
              <w:t>40</w:t>
            </w:r>
            <w:r>
              <w:rPr>
                <w:rFonts w:hint="eastAsia" w:ascii="宋体" w:hAnsi="宋体" w:cs="宋体"/>
                <w:color w:val="000000"/>
                <w:szCs w:val="21"/>
              </w:rPr>
              <w:t>天内交货，交货地点为</w:t>
            </w:r>
            <w:r>
              <w:rPr>
                <w:rFonts w:hint="eastAsia" w:ascii="宋体" w:hAnsi="宋体"/>
                <w:szCs w:val="21"/>
                <w:u w:val="single"/>
              </w:rPr>
              <w:t>深圳中学数理高中</w:t>
            </w:r>
            <w:r>
              <w:rPr>
                <w:rFonts w:hint="eastAsia" w:ascii="宋体" w:hAnsi="宋体" w:cs="宋体"/>
                <w:color w:val="000000"/>
                <w:szCs w:val="21"/>
              </w:rPr>
              <w:t>。</w:t>
            </w:r>
          </w:p>
        </w:tc>
      </w:tr>
      <w:tr w14:paraId="7C6F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continue"/>
            <w:noWrap w:val="0"/>
            <w:vAlign w:val="center"/>
          </w:tcPr>
          <w:p w14:paraId="0C220DEF">
            <w:pPr>
              <w:spacing w:line="360" w:lineRule="exact"/>
              <w:jc w:val="center"/>
              <w:rPr>
                <w:rFonts w:ascii="宋体" w:hAnsi="宋体"/>
                <w:b/>
                <w:szCs w:val="21"/>
              </w:rPr>
            </w:pPr>
          </w:p>
        </w:tc>
        <w:tc>
          <w:tcPr>
            <w:tcW w:w="1677" w:type="dxa"/>
            <w:vMerge w:val="continue"/>
            <w:noWrap w:val="0"/>
            <w:vAlign w:val="center"/>
          </w:tcPr>
          <w:p w14:paraId="1918EE94">
            <w:pPr>
              <w:spacing w:line="360" w:lineRule="exact"/>
              <w:jc w:val="center"/>
              <w:rPr>
                <w:rFonts w:ascii="宋体" w:hAnsi="宋体"/>
                <w:b/>
                <w:szCs w:val="21"/>
              </w:rPr>
            </w:pPr>
          </w:p>
        </w:tc>
        <w:tc>
          <w:tcPr>
            <w:tcW w:w="6585" w:type="dxa"/>
            <w:noWrap w:val="0"/>
            <w:vAlign w:val="center"/>
          </w:tcPr>
          <w:p w14:paraId="278085C4">
            <w:pPr>
              <w:spacing w:line="360" w:lineRule="exact"/>
              <w:rPr>
                <w:rFonts w:ascii="宋体" w:hAnsi="宋体" w:cs="宋体"/>
                <w:szCs w:val="21"/>
              </w:rPr>
            </w:pPr>
            <w:r>
              <w:rPr>
                <w:rFonts w:ascii="宋体" w:hAnsi="宋体" w:cs="宋体"/>
                <w:color w:val="FF0000"/>
                <w:szCs w:val="21"/>
              </w:rPr>
              <w:t>1.2</w:t>
            </w:r>
            <w:r>
              <w:rPr>
                <w:rFonts w:hint="eastAsia" w:ascii="宋体" w:hAnsi="宋体" w:cs="宋体"/>
                <w:color w:val="FF0000"/>
                <w:szCs w:val="21"/>
              </w:rPr>
              <w:t>付款期限和方式：验收完成后60个工作日内一次性支付。</w:t>
            </w:r>
          </w:p>
        </w:tc>
      </w:tr>
      <w:tr w14:paraId="6586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continue"/>
            <w:noWrap w:val="0"/>
            <w:vAlign w:val="center"/>
          </w:tcPr>
          <w:p w14:paraId="747A927F">
            <w:pPr>
              <w:spacing w:line="360" w:lineRule="exact"/>
              <w:jc w:val="center"/>
              <w:rPr>
                <w:rFonts w:ascii="宋体" w:hAnsi="宋体"/>
                <w:b/>
                <w:szCs w:val="21"/>
              </w:rPr>
            </w:pPr>
          </w:p>
        </w:tc>
        <w:tc>
          <w:tcPr>
            <w:tcW w:w="1677" w:type="dxa"/>
            <w:vMerge w:val="continue"/>
            <w:noWrap w:val="0"/>
            <w:vAlign w:val="center"/>
          </w:tcPr>
          <w:p w14:paraId="50196BDF">
            <w:pPr>
              <w:spacing w:line="360" w:lineRule="exact"/>
              <w:jc w:val="center"/>
              <w:rPr>
                <w:rFonts w:ascii="宋体" w:hAnsi="宋体"/>
                <w:szCs w:val="21"/>
              </w:rPr>
            </w:pPr>
          </w:p>
        </w:tc>
        <w:tc>
          <w:tcPr>
            <w:tcW w:w="6585" w:type="dxa"/>
            <w:noWrap w:val="0"/>
            <w:vAlign w:val="center"/>
          </w:tcPr>
          <w:p w14:paraId="0F88C320">
            <w:pP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3</w:t>
            </w:r>
            <w:r>
              <w:rPr>
                <w:rFonts w:hint="eastAsia" w:ascii="宋体" w:hAnsi="宋体" w:cs="宋体"/>
                <w:color w:val="000000"/>
                <w:szCs w:val="21"/>
              </w:rPr>
              <w:t>验收条件：</w:t>
            </w:r>
          </w:p>
          <w:p w14:paraId="4D5E207D">
            <w:pPr>
              <w:rPr>
                <w:rFonts w:ascii="宋体" w:hAnsi="宋体" w:cs="宋体"/>
                <w:color w:val="000000"/>
                <w:szCs w:val="21"/>
              </w:rPr>
            </w:pPr>
            <w:r>
              <w:rPr>
                <w:rFonts w:hint="eastAsia" w:ascii="宋体" w:hAnsi="宋体" w:cs="宋体"/>
                <w:color w:val="000000"/>
                <w:szCs w:val="21"/>
              </w:rPr>
              <w:t>1.3.1货物经过双方检验认可后，签署验收报告，产品保修期自验收合格之日起算，由中标人提供产品保修文件。</w:t>
            </w:r>
          </w:p>
          <w:p w14:paraId="54876996">
            <w:pPr>
              <w:rPr>
                <w:rFonts w:ascii="宋体" w:hAnsi="宋体" w:cs="宋体"/>
                <w:color w:val="000000"/>
                <w:szCs w:val="21"/>
              </w:rPr>
            </w:pPr>
            <w:r>
              <w:rPr>
                <w:rFonts w:hint="eastAsia" w:ascii="宋体" w:hAnsi="宋体" w:cs="宋体"/>
                <w:color w:val="000000"/>
                <w:szCs w:val="21"/>
              </w:rPr>
              <w:t>1.3.2当满足以下条件时，采购人向中标人发出货物验收报告：</w:t>
            </w:r>
          </w:p>
          <w:p w14:paraId="1D80178C">
            <w:pPr>
              <w:rPr>
                <w:rFonts w:ascii="宋体" w:hAnsi="宋体" w:cs="宋体"/>
                <w:color w:val="000000"/>
                <w:szCs w:val="21"/>
              </w:rPr>
            </w:pPr>
            <w:r>
              <w:rPr>
                <w:rFonts w:hint="eastAsia" w:ascii="宋体" w:hAnsi="宋体" w:cs="宋体"/>
                <w:color w:val="000000"/>
                <w:szCs w:val="21"/>
              </w:rPr>
              <w:t>(1)中标人已按照合同约定提供了全部产品和完整的技术资料。</w:t>
            </w:r>
          </w:p>
          <w:p w14:paraId="2ABEB981">
            <w:pPr>
              <w:rPr>
                <w:rFonts w:ascii="宋体" w:hAnsi="宋体" w:cs="宋体"/>
                <w:color w:val="000000"/>
                <w:szCs w:val="21"/>
              </w:rPr>
            </w:pPr>
            <w:r>
              <w:rPr>
                <w:rFonts w:hint="eastAsia" w:ascii="宋体" w:hAnsi="宋体" w:cs="宋体"/>
                <w:color w:val="000000"/>
                <w:szCs w:val="21"/>
              </w:rPr>
              <w:t>(2)货物符合招标文件技术规格书的要求，性能满足招标文件要求。</w:t>
            </w:r>
          </w:p>
          <w:p w14:paraId="34D056B5">
            <w:pPr>
              <w:spacing w:line="360" w:lineRule="exact"/>
              <w:rPr>
                <w:rFonts w:ascii="宋体" w:hAnsi="宋体" w:cs="宋体"/>
                <w:color w:val="000000"/>
                <w:szCs w:val="21"/>
              </w:rPr>
            </w:pPr>
            <w:r>
              <w:rPr>
                <w:rFonts w:hint="eastAsia" w:ascii="宋体" w:hAnsi="宋体" w:cs="宋体"/>
                <w:color w:val="000000"/>
                <w:szCs w:val="21"/>
              </w:rPr>
              <w:t>(3)货物具备产品合格证。</w:t>
            </w:r>
          </w:p>
        </w:tc>
      </w:tr>
      <w:tr w14:paraId="75EB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continue"/>
            <w:noWrap w:val="0"/>
            <w:vAlign w:val="center"/>
          </w:tcPr>
          <w:p w14:paraId="1CCDBFBE">
            <w:pPr>
              <w:spacing w:line="360" w:lineRule="exact"/>
              <w:jc w:val="center"/>
              <w:rPr>
                <w:rFonts w:ascii="宋体" w:hAnsi="宋体"/>
                <w:b/>
                <w:szCs w:val="21"/>
              </w:rPr>
            </w:pPr>
          </w:p>
        </w:tc>
        <w:tc>
          <w:tcPr>
            <w:tcW w:w="1677" w:type="dxa"/>
            <w:vMerge w:val="continue"/>
            <w:noWrap w:val="0"/>
            <w:vAlign w:val="center"/>
          </w:tcPr>
          <w:p w14:paraId="6AEB048D">
            <w:pPr>
              <w:spacing w:line="360" w:lineRule="exact"/>
              <w:jc w:val="center"/>
              <w:rPr>
                <w:rFonts w:ascii="宋体" w:hAnsi="宋体"/>
                <w:szCs w:val="21"/>
              </w:rPr>
            </w:pPr>
          </w:p>
        </w:tc>
        <w:tc>
          <w:tcPr>
            <w:tcW w:w="6585" w:type="dxa"/>
            <w:noWrap w:val="0"/>
            <w:vAlign w:val="top"/>
          </w:tcPr>
          <w:p w14:paraId="7733E4A6">
            <w:pP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4</w:t>
            </w:r>
            <w:r>
              <w:rPr>
                <w:rFonts w:hint="eastAsia" w:ascii="宋体" w:hAnsi="宋体" w:cs="宋体"/>
                <w:color w:val="000000"/>
                <w:szCs w:val="21"/>
              </w:rPr>
              <w:t>违约责任：</w:t>
            </w:r>
          </w:p>
          <w:p w14:paraId="6BCACF89">
            <w:pPr>
              <w:rPr>
                <w:rFonts w:ascii="宋体" w:hAnsi="宋体" w:cs="宋体"/>
                <w:color w:val="000000"/>
                <w:szCs w:val="21"/>
              </w:rPr>
            </w:pPr>
            <w:r>
              <w:rPr>
                <w:rFonts w:hint="eastAsia" w:ascii="宋体" w:hAnsi="宋体" w:cs="宋体"/>
                <w:color w:val="000000"/>
                <w:szCs w:val="21"/>
              </w:rPr>
              <w:t>1.4.1甲方无正当理由拒收货物、拒付货物款的，由甲方向乙方偿付合同总价的3%违约金。</w:t>
            </w:r>
          </w:p>
          <w:p w14:paraId="4F7995C9">
            <w:pPr>
              <w:rPr>
                <w:rFonts w:ascii="宋体" w:hAnsi="宋体" w:cs="宋体"/>
                <w:color w:val="000000"/>
                <w:szCs w:val="21"/>
              </w:rPr>
            </w:pPr>
            <w:r>
              <w:rPr>
                <w:rFonts w:hint="eastAsia" w:ascii="宋体" w:hAnsi="宋体" w:cs="宋体"/>
                <w:color w:val="000000"/>
                <w:szCs w:val="21"/>
              </w:rPr>
              <w:t>1.4.2甲方未按合同规定的期限向乙方支付货款的，每逾期1天甲方向乙方偿付欠款总额的1‰滞纳金，但累计滞纳金总额不超过欠款总额的3%。</w:t>
            </w:r>
          </w:p>
          <w:p w14:paraId="4CD61203">
            <w:pPr>
              <w:rPr>
                <w:rFonts w:ascii="宋体" w:hAnsi="宋体" w:cs="宋体"/>
                <w:color w:val="000000"/>
                <w:szCs w:val="21"/>
              </w:rPr>
            </w:pPr>
            <w:r>
              <w:rPr>
                <w:rFonts w:hint="eastAsia" w:ascii="宋体" w:hAnsi="宋体" w:cs="宋体"/>
                <w:color w:val="000000"/>
                <w:szCs w:val="21"/>
              </w:rPr>
              <w:t>1.4.3乙方逾期交付货物的，每逾期1天，乙方向甲方偿付逾期交货部分货款总额的1‰的滞纳金。如乙方逾期交货达15天，甲方有权解除合同，履约保证金不予退回，同时乙方应向甲方支付合同总价10％的违约金。</w:t>
            </w:r>
          </w:p>
          <w:p w14:paraId="552FA924">
            <w:pPr>
              <w:rPr>
                <w:rFonts w:ascii="宋体" w:hAnsi="宋体" w:cs="宋体"/>
                <w:color w:val="000000"/>
                <w:szCs w:val="21"/>
              </w:rPr>
            </w:pPr>
            <w:r>
              <w:rPr>
                <w:rFonts w:hint="eastAsia" w:ascii="宋体" w:hAnsi="宋体" w:cs="宋体"/>
                <w:color w:val="000000"/>
                <w:szCs w:val="21"/>
              </w:rPr>
              <w:t>1.4.4乙方所交付的货物品种、型号、规格不符合合同规定的，甲方有权拒收。甲方拒收的，乙方应向甲方支付货款总额1%的违约金。</w:t>
            </w:r>
          </w:p>
          <w:p w14:paraId="08C152E7">
            <w:pPr>
              <w:rPr>
                <w:rFonts w:ascii="宋体" w:hAnsi="宋体" w:cs="宋体"/>
                <w:color w:val="000000"/>
                <w:szCs w:val="21"/>
              </w:rPr>
            </w:pPr>
            <w:r>
              <w:rPr>
                <w:rFonts w:hint="eastAsia" w:ascii="宋体" w:hAnsi="宋体" w:cs="宋体"/>
                <w:color w:val="000000"/>
                <w:szCs w:val="21"/>
              </w:rPr>
              <w:t>1.4.5在乙方承诺的或国家规定的质量保证期内（取两者中最长的期限），如经乙方两次维修或更换，货物仍不能达到合同约定的质量标准，甲方有权退货，乙方应退回全部货款并赔偿甲方因此遭受的损失。</w:t>
            </w:r>
          </w:p>
          <w:p w14:paraId="746B5407">
            <w:pPr>
              <w:rPr>
                <w:rFonts w:ascii="宋体" w:hAnsi="宋体" w:cs="宋体"/>
                <w:color w:val="000000"/>
                <w:szCs w:val="21"/>
              </w:rPr>
            </w:pPr>
            <w:r>
              <w:rPr>
                <w:rFonts w:hint="eastAsia" w:ascii="宋体" w:hAnsi="宋体" w:cs="宋体"/>
                <w:color w:val="000000"/>
                <w:szCs w:val="21"/>
              </w:rPr>
              <w:t>1.4.6乙方未履行本合同项下的其他义务或违反其在投标文件中的相关承诺的，应按合同总价款的3%向甲方承担违约责任。</w:t>
            </w:r>
          </w:p>
          <w:p w14:paraId="3298D76B">
            <w:pPr>
              <w:spacing w:line="360" w:lineRule="exact"/>
              <w:rPr>
                <w:rFonts w:ascii="宋体" w:hAnsi="宋体" w:cs="宋体"/>
                <w:color w:val="000000"/>
                <w:szCs w:val="21"/>
              </w:rPr>
            </w:pPr>
            <w:r>
              <w:rPr>
                <w:rFonts w:hint="eastAsia" w:ascii="宋体" w:hAnsi="宋体" w:cs="宋体"/>
                <w:color w:val="000000"/>
                <w:szCs w:val="21"/>
              </w:rPr>
              <w:t>1.4.7乙方在承担上述一项或多项违约责任后，仍应继续履行合同规定的义务（甲方解除合同的除外）。甲方未能及时追究乙方的任何一项违约责任并不表明甲方放弃追究乙方该项或其他违约责任。</w:t>
            </w:r>
          </w:p>
        </w:tc>
      </w:tr>
      <w:tr w14:paraId="2D20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continue"/>
            <w:noWrap w:val="0"/>
            <w:vAlign w:val="center"/>
          </w:tcPr>
          <w:p w14:paraId="01D6D9D4">
            <w:pPr>
              <w:spacing w:line="360" w:lineRule="exact"/>
              <w:jc w:val="center"/>
              <w:rPr>
                <w:rFonts w:ascii="宋体" w:hAnsi="宋体"/>
                <w:b/>
                <w:szCs w:val="21"/>
              </w:rPr>
            </w:pPr>
          </w:p>
        </w:tc>
        <w:tc>
          <w:tcPr>
            <w:tcW w:w="1677" w:type="dxa"/>
            <w:vMerge w:val="continue"/>
            <w:noWrap w:val="0"/>
            <w:vAlign w:val="center"/>
          </w:tcPr>
          <w:p w14:paraId="04BDECC8">
            <w:pPr>
              <w:spacing w:line="360" w:lineRule="exact"/>
              <w:jc w:val="center"/>
              <w:rPr>
                <w:rFonts w:ascii="宋体" w:hAnsi="宋体"/>
                <w:szCs w:val="21"/>
              </w:rPr>
            </w:pPr>
          </w:p>
        </w:tc>
        <w:tc>
          <w:tcPr>
            <w:tcW w:w="6585" w:type="dxa"/>
            <w:noWrap w:val="0"/>
            <w:vAlign w:val="center"/>
          </w:tcPr>
          <w:p w14:paraId="23C1ED8D">
            <w:pP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5</w:t>
            </w:r>
            <w:r>
              <w:rPr>
                <w:rFonts w:hint="eastAsia" w:ascii="宋体" w:hAnsi="宋体" w:cs="宋体"/>
                <w:color w:val="000000"/>
                <w:szCs w:val="21"/>
              </w:rPr>
              <w:t>争议解决方法：</w:t>
            </w:r>
          </w:p>
          <w:p w14:paraId="7DB24CE2">
            <w:pPr>
              <w:rPr>
                <w:rFonts w:ascii="宋体" w:hAnsi="宋体" w:cs="宋体"/>
                <w:color w:val="000000"/>
                <w:szCs w:val="21"/>
              </w:rPr>
            </w:pPr>
            <w:r>
              <w:rPr>
                <w:rFonts w:hint="eastAsia" w:ascii="宋体" w:hAnsi="宋体" w:cs="宋体"/>
                <w:color w:val="000000"/>
                <w:szCs w:val="21"/>
              </w:rPr>
              <w:t>1.5.1因货物的质量问题发生争议的，应当邀请国家认可的质量检测机构对货物质量进行鉴定。货物符合标准的，鉴定费由甲方承担；货物不符合质量标准的，鉴定费由乙方承担。</w:t>
            </w:r>
          </w:p>
          <w:p w14:paraId="57B57BFF">
            <w:pPr>
              <w:spacing w:line="360" w:lineRule="exact"/>
              <w:rPr>
                <w:rFonts w:ascii="宋体" w:hAnsi="宋体" w:cs="宋体"/>
                <w:color w:val="000000"/>
                <w:szCs w:val="21"/>
              </w:rPr>
            </w:pPr>
            <w:r>
              <w:rPr>
                <w:rFonts w:hint="eastAsia" w:ascii="宋体" w:hAnsi="宋体" w:cs="宋体"/>
                <w:color w:val="000000"/>
                <w:szCs w:val="21"/>
              </w:rPr>
              <w:t>1.5.2因履行本合同引起的或与本合同有关的争议，甲、乙双方应首先通过友好协商解决，如果协商不能解决争议，则向甲方所在地有管辖权的人民法院提起诉讼。</w:t>
            </w:r>
          </w:p>
        </w:tc>
      </w:tr>
      <w:bookmarkEnd w:id="7"/>
      <w:tr w14:paraId="35A1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restart"/>
            <w:noWrap w:val="0"/>
            <w:vAlign w:val="center"/>
          </w:tcPr>
          <w:p w14:paraId="5E985446">
            <w:pPr>
              <w:spacing w:line="360" w:lineRule="exact"/>
              <w:jc w:val="center"/>
              <w:rPr>
                <w:rFonts w:ascii="宋体" w:hAnsi="宋体"/>
                <w:b/>
                <w:szCs w:val="21"/>
              </w:rPr>
            </w:pPr>
            <w:r>
              <w:rPr>
                <w:rFonts w:hint="eastAsia" w:ascii="宋体" w:hAnsi="宋体"/>
                <w:b/>
                <w:szCs w:val="21"/>
              </w:rPr>
              <w:t>2</w:t>
            </w:r>
          </w:p>
        </w:tc>
        <w:tc>
          <w:tcPr>
            <w:tcW w:w="1677" w:type="dxa"/>
            <w:vMerge w:val="restart"/>
            <w:noWrap w:val="0"/>
            <w:vAlign w:val="center"/>
          </w:tcPr>
          <w:p w14:paraId="400A4184">
            <w:pPr>
              <w:spacing w:line="360" w:lineRule="exact"/>
              <w:jc w:val="center"/>
              <w:rPr>
                <w:rFonts w:ascii="宋体" w:hAnsi="宋体"/>
                <w:color w:val="000000"/>
                <w:szCs w:val="21"/>
              </w:rPr>
            </w:pPr>
            <w:r>
              <w:rPr>
                <w:rFonts w:hint="eastAsia" w:ascii="宋体" w:hAnsi="宋体" w:cs="宋体"/>
                <w:b/>
                <w:bCs/>
                <w:color w:val="000000"/>
                <w:szCs w:val="21"/>
              </w:rPr>
              <w:t>运输、安装条件</w:t>
            </w:r>
          </w:p>
        </w:tc>
        <w:tc>
          <w:tcPr>
            <w:tcW w:w="6585" w:type="dxa"/>
            <w:noWrap w:val="0"/>
            <w:vAlign w:val="top"/>
          </w:tcPr>
          <w:p w14:paraId="1B9B3086">
            <w:pPr>
              <w:spacing w:line="360" w:lineRule="exact"/>
              <w:rPr>
                <w:rFonts w:ascii="宋体" w:hAnsi="宋体"/>
                <w:bCs/>
                <w:color w:val="000000"/>
                <w:szCs w:val="21"/>
              </w:rPr>
            </w:pPr>
            <w:r>
              <w:rPr>
                <w:rFonts w:hint="eastAsia" w:ascii="宋体" w:hAnsi="宋体" w:cs="宋体"/>
                <w:color w:val="000000"/>
                <w:szCs w:val="21"/>
              </w:rPr>
              <w:t>2.1 投标供应商须在签订合同之日起10天内向采购人提供设备的运行、安装、使用环境要求。</w:t>
            </w:r>
          </w:p>
        </w:tc>
      </w:tr>
      <w:tr w14:paraId="181F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continue"/>
            <w:noWrap w:val="0"/>
            <w:vAlign w:val="center"/>
          </w:tcPr>
          <w:p w14:paraId="5AE7E781">
            <w:pPr>
              <w:spacing w:line="360" w:lineRule="exact"/>
              <w:jc w:val="center"/>
              <w:rPr>
                <w:rFonts w:ascii="宋体" w:hAnsi="宋体"/>
                <w:b/>
                <w:szCs w:val="21"/>
              </w:rPr>
            </w:pPr>
          </w:p>
        </w:tc>
        <w:tc>
          <w:tcPr>
            <w:tcW w:w="1677" w:type="dxa"/>
            <w:vMerge w:val="continue"/>
            <w:noWrap w:val="0"/>
            <w:vAlign w:val="center"/>
          </w:tcPr>
          <w:p w14:paraId="3CD6B723">
            <w:pPr>
              <w:spacing w:line="360" w:lineRule="exact"/>
              <w:jc w:val="center"/>
              <w:rPr>
                <w:rFonts w:ascii="宋体" w:hAnsi="宋体"/>
                <w:b/>
                <w:szCs w:val="21"/>
              </w:rPr>
            </w:pPr>
          </w:p>
        </w:tc>
        <w:tc>
          <w:tcPr>
            <w:tcW w:w="6585" w:type="dxa"/>
            <w:noWrap w:val="0"/>
            <w:vAlign w:val="top"/>
          </w:tcPr>
          <w:p w14:paraId="2951FA28">
            <w:pPr>
              <w:tabs>
                <w:tab w:val="left" w:pos="1260"/>
              </w:tabs>
              <w:spacing w:line="360" w:lineRule="exact"/>
              <w:rPr>
                <w:rFonts w:ascii="宋体" w:hAnsi="宋体"/>
                <w:bCs/>
                <w:color w:val="000000"/>
                <w:szCs w:val="21"/>
              </w:rPr>
            </w:pPr>
            <w:r>
              <w:rPr>
                <w:rFonts w:hint="eastAsia" w:ascii="宋体" w:hAnsi="宋体" w:cs="宋体"/>
                <w:color w:val="000000"/>
                <w:szCs w:val="21"/>
              </w:rPr>
              <w:t>2.2货物须正规物流运输到指定地点，运输过程中造成货物损坏由乙方负责。</w:t>
            </w:r>
          </w:p>
        </w:tc>
      </w:tr>
      <w:tr w14:paraId="630C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continue"/>
            <w:noWrap w:val="0"/>
            <w:vAlign w:val="center"/>
          </w:tcPr>
          <w:p w14:paraId="664AB0B3">
            <w:pPr>
              <w:spacing w:line="360" w:lineRule="exact"/>
              <w:jc w:val="center"/>
              <w:rPr>
                <w:rFonts w:ascii="宋体" w:hAnsi="宋体"/>
                <w:b/>
                <w:szCs w:val="21"/>
              </w:rPr>
            </w:pPr>
          </w:p>
        </w:tc>
        <w:tc>
          <w:tcPr>
            <w:tcW w:w="1677" w:type="dxa"/>
            <w:vMerge w:val="continue"/>
            <w:noWrap w:val="0"/>
            <w:vAlign w:val="center"/>
          </w:tcPr>
          <w:p w14:paraId="6A6F6254">
            <w:pPr>
              <w:spacing w:line="360" w:lineRule="exact"/>
              <w:jc w:val="center"/>
              <w:rPr>
                <w:rFonts w:ascii="宋体" w:hAnsi="宋体"/>
                <w:b/>
                <w:szCs w:val="21"/>
              </w:rPr>
            </w:pPr>
          </w:p>
        </w:tc>
        <w:tc>
          <w:tcPr>
            <w:tcW w:w="6585" w:type="dxa"/>
            <w:noWrap w:val="0"/>
            <w:vAlign w:val="top"/>
          </w:tcPr>
          <w:p w14:paraId="44393991">
            <w:pPr>
              <w:widowControl/>
              <w:jc w:val="left"/>
              <w:rPr>
                <w:rFonts w:ascii="宋体" w:hAnsi="宋体" w:cs="宋体"/>
                <w:color w:val="000000"/>
                <w:szCs w:val="21"/>
              </w:rPr>
            </w:pPr>
            <w:r>
              <w:rPr>
                <w:rFonts w:hint="eastAsia" w:ascii="宋体" w:hAnsi="宋体" w:cs="宋体"/>
                <w:color w:val="000000"/>
                <w:szCs w:val="21"/>
              </w:rPr>
              <w:t>2.3货物到达现场后，须原厂包装，甲方人员或监理到场后方能拆开货物外包装，外包装损坏，甲方可拒绝收货。</w:t>
            </w:r>
          </w:p>
        </w:tc>
      </w:tr>
      <w:tr w14:paraId="36AA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restart"/>
            <w:noWrap w:val="0"/>
            <w:vAlign w:val="center"/>
          </w:tcPr>
          <w:p w14:paraId="48A37F72">
            <w:pPr>
              <w:spacing w:line="360" w:lineRule="exact"/>
              <w:jc w:val="center"/>
              <w:rPr>
                <w:rFonts w:ascii="宋体" w:hAnsi="宋体"/>
                <w:b/>
                <w:szCs w:val="21"/>
              </w:rPr>
            </w:pPr>
            <w:r>
              <w:rPr>
                <w:rFonts w:hint="eastAsia" w:ascii="宋体" w:hAnsi="宋体"/>
                <w:b/>
                <w:szCs w:val="21"/>
              </w:rPr>
              <w:t>3</w:t>
            </w:r>
          </w:p>
        </w:tc>
        <w:tc>
          <w:tcPr>
            <w:tcW w:w="1677" w:type="dxa"/>
            <w:vMerge w:val="restart"/>
            <w:noWrap w:val="0"/>
            <w:vAlign w:val="center"/>
          </w:tcPr>
          <w:p w14:paraId="39104AF0">
            <w:pPr>
              <w:spacing w:line="360" w:lineRule="exact"/>
              <w:jc w:val="center"/>
              <w:rPr>
                <w:rFonts w:ascii="宋体" w:hAnsi="宋体"/>
                <w:b/>
                <w:szCs w:val="21"/>
              </w:rPr>
            </w:pPr>
            <w:r>
              <w:rPr>
                <w:rFonts w:ascii="宋体" w:hAnsi="宋体"/>
                <w:b/>
                <w:szCs w:val="21"/>
              </w:rPr>
              <w:t>培训</w:t>
            </w:r>
          </w:p>
        </w:tc>
        <w:tc>
          <w:tcPr>
            <w:tcW w:w="6585" w:type="dxa"/>
            <w:noWrap w:val="0"/>
            <w:vAlign w:val="top"/>
          </w:tcPr>
          <w:p w14:paraId="21B78059">
            <w:pPr>
              <w:widowControl/>
              <w:jc w:val="left"/>
              <w:rPr>
                <w:rFonts w:ascii="宋体" w:hAnsi="宋体" w:cs="宋体"/>
                <w:color w:val="000000"/>
                <w:szCs w:val="21"/>
              </w:rPr>
            </w:pPr>
            <w:r>
              <w:rPr>
                <w:rFonts w:hint="eastAsia" w:ascii="宋体" w:hAnsi="宋体" w:cs="宋体"/>
                <w:color w:val="000000"/>
                <w:szCs w:val="21"/>
              </w:rPr>
              <w:t>3.1投标供应商应派专业技术人员免费对采购单位指定人员进行定期培训及指导，直至其完全掌握设备的基本故障处理技术。</w:t>
            </w:r>
          </w:p>
        </w:tc>
      </w:tr>
      <w:tr w14:paraId="681A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continue"/>
            <w:noWrap w:val="0"/>
            <w:vAlign w:val="center"/>
          </w:tcPr>
          <w:p w14:paraId="1864E23C">
            <w:pPr>
              <w:spacing w:line="360" w:lineRule="exact"/>
              <w:jc w:val="center"/>
              <w:rPr>
                <w:rFonts w:ascii="宋体" w:hAnsi="宋体"/>
                <w:b/>
                <w:szCs w:val="21"/>
              </w:rPr>
            </w:pPr>
          </w:p>
        </w:tc>
        <w:tc>
          <w:tcPr>
            <w:tcW w:w="1677" w:type="dxa"/>
            <w:vMerge w:val="continue"/>
            <w:noWrap w:val="0"/>
            <w:vAlign w:val="center"/>
          </w:tcPr>
          <w:p w14:paraId="6F570040">
            <w:pPr>
              <w:spacing w:line="360" w:lineRule="exact"/>
              <w:rPr>
                <w:rFonts w:ascii="宋体" w:hAnsi="宋体"/>
                <w:b/>
                <w:szCs w:val="21"/>
              </w:rPr>
            </w:pPr>
          </w:p>
        </w:tc>
        <w:tc>
          <w:tcPr>
            <w:tcW w:w="6585" w:type="dxa"/>
            <w:noWrap w:val="0"/>
            <w:vAlign w:val="top"/>
          </w:tcPr>
          <w:p w14:paraId="45B58382">
            <w:pPr>
              <w:widowControl/>
              <w:jc w:val="left"/>
              <w:rPr>
                <w:rFonts w:ascii="宋体" w:hAnsi="宋体" w:cs="宋体"/>
                <w:color w:val="000000"/>
                <w:szCs w:val="21"/>
              </w:rPr>
            </w:pPr>
            <w:r>
              <w:rPr>
                <w:rFonts w:hint="eastAsia" w:ascii="宋体" w:hAnsi="宋体" w:cs="宋体"/>
                <w:color w:val="000000"/>
                <w:szCs w:val="21"/>
              </w:rPr>
              <w:t>3.2 现场培训：投标供应商应提供现场技术培训，保证使用人员正常操作设备的各种功能。</w:t>
            </w:r>
          </w:p>
        </w:tc>
      </w:tr>
      <w:tr w14:paraId="73BC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87" w:type="dxa"/>
            <w:vMerge w:val="restart"/>
            <w:noWrap w:val="0"/>
            <w:vAlign w:val="center"/>
          </w:tcPr>
          <w:p w14:paraId="76D6367D">
            <w:pPr>
              <w:spacing w:line="360" w:lineRule="exact"/>
              <w:jc w:val="center"/>
              <w:rPr>
                <w:rFonts w:hint="eastAsia" w:ascii="宋体" w:hAnsi="宋体"/>
                <w:b/>
                <w:szCs w:val="21"/>
              </w:rPr>
            </w:pPr>
            <w:r>
              <w:rPr>
                <w:rFonts w:hint="eastAsia" w:ascii="宋体" w:hAnsi="宋体"/>
                <w:b/>
                <w:szCs w:val="21"/>
              </w:rPr>
              <w:t>4</w:t>
            </w:r>
          </w:p>
        </w:tc>
        <w:tc>
          <w:tcPr>
            <w:tcW w:w="1677" w:type="dxa"/>
            <w:vMerge w:val="restart"/>
            <w:noWrap w:val="0"/>
            <w:vAlign w:val="center"/>
          </w:tcPr>
          <w:p w14:paraId="60509346">
            <w:pPr>
              <w:spacing w:line="360" w:lineRule="exact"/>
              <w:jc w:val="center"/>
              <w:rPr>
                <w:rFonts w:hint="eastAsia" w:ascii="宋体" w:hAnsi="宋体"/>
                <w:b/>
                <w:szCs w:val="21"/>
              </w:rPr>
            </w:pPr>
            <w:r>
              <w:rPr>
                <w:rFonts w:hint="eastAsia" w:ascii="宋体" w:hAnsi="宋体"/>
                <w:b/>
                <w:szCs w:val="21"/>
              </w:rPr>
              <w:t>验收</w:t>
            </w:r>
          </w:p>
        </w:tc>
        <w:tc>
          <w:tcPr>
            <w:tcW w:w="6585" w:type="dxa"/>
            <w:noWrap w:val="0"/>
            <w:vAlign w:val="top"/>
          </w:tcPr>
          <w:p w14:paraId="189721A3">
            <w:pPr>
              <w:widowControl/>
              <w:jc w:val="left"/>
              <w:rPr>
                <w:rFonts w:hint="eastAsia" w:ascii="宋体" w:hAnsi="宋体" w:cs="宋体"/>
                <w:color w:val="000000"/>
                <w:szCs w:val="21"/>
              </w:rPr>
            </w:pPr>
            <w:r>
              <w:rPr>
                <w:rFonts w:hint="eastAsia" w:ascii="宋体" w:hAnsi="宋体" w:cs="宋体"/>
                <w:color w:val="000000"/>
                <w:szCs w:val="21"/>
              </w:rPr>
              <w:t>投标人应派有经验的技术人员到现场进行安装、调试，直到设备正常使用。</w:t>
            </w:r>
          </w:p>
        </w:tc>
      </w:tr>
      <w:tr w14:paraId="2B4A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87" w:type="dxa"/>
            <w:vMerge w:val="continue"/>
            <w:noWrap w:val="0"/>
            <w:vAlign w:val="center"/>
          </w:tcPr>
          <w:p w14:paraId="5DDC237A">
            <w:pPr>
              <w:spacing w:line="360" w:lineRule="exact"/>
              <w:jc w:val="center"/>
              <w:rPr>
                <w:rFonts w:hint="eastAsia" w:ascii="宋体" w:hAnsi="宋体"/>
                <w:b/>
                <w:szCs w:val="21"/>
              </w:rPr>
            </w:pPr>
          </w:p>
        </w:tc>
        <w:tc>
          <w:tcPr>
            <w:tcW w:w="1677" w:type="dxa"/>
            <w:vMerge w:val="continue"/>
            <w:noWrap w:val="0"/>
            <w:vAlign w:val="center"/>
          </w:tcPr>
          <w:p w14:paraId="41CB46DE">
            <w:pPr>
              <w:spacing w:line="360" w:lineRule="exact"/>
              <w:jc w:val="center"/>
              <w:rPr>
                <w:rFonts w:hint="eastAsia" w:ascii="宋体" w:hAnsi="宋体"/>
                <w:b/>
                <w:szCs w:val="21"/>
              </w:rPr>
            </w:pPr>
          </w:p>
        </w:tc>
        <w:tc>
          <w:tcPr>
            <w:tcW w:w="6585" w:type="dxa"/>
            <w:noWrap w:val="0"/>
            <w:vAlign w:val="top"/>
          </w:tcPr>
          <w:p w14:paraId="3D110408">
            <w:pPr>
              <w:widowControl/>
              <w:jc w:val="left"/>
              <w:rPr>
                <w:rFonts w:hint="eastAsia" w:ascii="宋体" w:hAnsi="宋体" w:cs="宋体"/>
                <w:color w:val="000000"/>
                <w:szCs w:val="21"/>
              </w:rPr>
            </w:pPr>
            <w:r>
              <w:rPr>
                <w:rFonts w:hint="eastAsia" w:ascii="宋体" w:hAnsi="宋体" w:cs="宋体"/>
                <w:color w:val="000000"/>
                <w:szCs w:val="21"/>
              </w:rPr>
              <w:t>由采购人按合同和征集文件、投标文件约定的要求和标准及中华人民共和国现行的验收规范和评定标准进行交货验收。</w:t>
            </w:r>
          </w:p>
        </w:tc>
      </w:tr>
      <w:tr w14:paraId="77F5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87" w:type="dxa"/>
            <w:vMerge w:val="continue"/>
            <w:noWrap w:val="0"/>
            <w:vAlign w:val="center"/>
          </w:tcPr>
          <w:p w14:paraId="11993235">
            <w:pPr>
              <w:spacing w:line="360" w:lineRule="exact"/>
              <w:jc w:val="center"/>
              <w:rPr>
                <w:rFonts w:hint="eastAsia" w:ascii="宋体" w:hAnsi="宋体"/>
                <w:b/>
                <w:szCs w:val="21"/>
              </w:rPr>
            </w:pPr>
          </w:p>
        </w:tc>
        <w:tc>
          <w:tcPr>
            <w:tcW w:w="1677" w:type="dxa"/>
            <w:vMerge w:val="continue"/>
            <w:noWrap w:val="0"/>
            <w:vAlign w:val="center"/>
          </w:tcPr>
          <w:p w14:paraId="008ABBA0">
            <w:pPr>
              <w:spacing w:line="360" w:lineRule="exact"/>
              <w:jc w:val="center"/>
              <w:rPr>
                <w:rFonts w:hint="eastAsia" w:ascii="宋体" w:hAnsi="宋体"/>
                <w:b/>
                <w:szCs w:val="21"/>
              </w:rPr>
            </w:pPr>
          </w:p>
        </w:tc>
        <w:tc>
          <w:tcPr>
            <w:tcW w:w="6585" w:type="dxa"/>
            <w:noWrap w:val="0"/>
            <w:vAlign w:val="top"/>
          </w:tcPr>
          <w:p w14:paraId="33E597D3">
            <w:pPr>
              <w:widowControl/>
              <w:jc w:val="left"/>
              <w:rPr>
                <w:rFonts w:hint="eastAsia" w:ascii="宋体" w:hAnsi="宋体" w:cs="宋体"/>
                <w:color w:val="000000"/>
                <w:szCs w:val="21"/>
              </w:rPr>
            </w:pPr>
            <w:r>
              <w:rPr>
                <w:rFonts w:hint="eastAsia" w:ascii="宋体" w:hAnsi="宋体" w:cs="宋体"/>
                <w:color w:val="000000"/>
                <w:szCs w:val="21"/>
              </w:rPr>
              <w:t>当满足以下条件时，采购人才向中标人签发货物验收报告：</w:t>
            </w:r>
          </w:p>
          <w:p w14:paraId="29333339">
            <w:pPr>
              <w:widowControl/>
              <w:jc w:val="left"/>
              <w:rPr>
                <w:rFonts w:hint="eastAsia" w:ascii="宋体" w:hAnsi="宋体" w:cs="宋体"/>
                <w:color w:val="000000"/>
                <w:szCs w:val="21"/>
              </w:rPr>
            </w:pPr>
            <w:r>
              <w:rPr>
                <w:rFonts w:hint="eastAsia" w:ascii="宋体" w:hAnsi="宋体" w:cs="宋体"/>
                <w:color w:val="000000"/>
                <w:szCs w:val="21"/>
              </w:rPr>
              <w:t>①设备全新,外观无伤痕变形或者明显修饰痕迹。②必须符合有关国标的规定。投标文件提供的技术数据经实测证实是真实的。检验及质量保证期内达到的性能指标与要求一致，达到或者优于相应标准。③技术文件资料、备件等已按规定数量移交完毕。④按照征集文件要求及投标文件提供的技术参数验收必须合格。⑤投标人提供的各种文件载明的内容必须真实，采购人有权要求投标人无偿提供第三方对投标人提供的技术数据的检测报告，检测方法应当经双方认可。检测结果必须证明投标人提供的技术数据是真实的，否则视为不合格。⑥在货物安装调试合格后，所有技术指标达到技术规范书要求，经验收合格后，双方共同签署验收报告。</w:t>
            </w:r>
          </w:p>
        </w:tc>
      </w:tr>
      <w:tr w14:paraId="462E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87" w:type="dxa"/>
            <w:noWrap w:val="0"/>
            <w:vAlign w:val="center"/>
          </w:tcPr>
          <w:p w14:paraId="761C1B08">
            <w:pPr>
              <w:spacing w:line="360" w:lineRule="exact"/>
              <w:jc w:val="center"/>
              <w:rPr>
                <w:rFonts w:hint="eastAsia" w:ascii="宋体" w:hAnsi="宋体"/>
                <w:b/>
                <w:szCs w:val="21"/>
              </w:rPr>
            </w:pPr>
            <w:r>
              <w:rPr>
                <w:rFonts w:hint="eastAsia" w:ascii="宋体" w:hAnsi="宋体"/>
                <w:b/>
                <w:szCs w:val="21"/>
              </w:rPr>
              <w:t>5</w:t>
            </w:r>
          </w:p>
        </w:tc>
        <w:tc>
          <w:tcPr>
            <w:tcW w:w="1677" w:type="dxa"/>
            <w:noWrap w:val="0"/>
            <w:vAlign w:val="center"/>
          </w:tcPr>
          <w:p w14:paraId="27FC5D51">
            <w:pPr>
              <w:spacing w:line="360" w:lineRule="exact"/>
              <w:jc w:val="center"/>
              <w:rPr>
                <w:rFonts w:ascii="宋体" w:hAnsi="宋体"/>
                <w:b/>
                <w:szCs w:val="21"/>
              </w:rPr>
            </w:pPr>
            <w:r>
              <w:rPr>
                <w:rFonts w:ascii="宋体" w:hAnsi="宋体"/>
                <w:b/>
                <w:szCs w:val="21"/>
              </w:rPr>
              <w:t>知识产权</w:t>
            </w:r>
          </w:p>
        </w:tc>
        <w:tc>
          <w:tcPr>
            <w:tcW w:w="6585" w:type="dxa"/>
            <w:noWrap w:val="0"/>
            <w:vAlign w:val="top"/>
          </w:tcPr>
          <w:p w14:paraId="6E3DB13E">
            <w:pPr>
              <w:jc w:val="left"/>
              <w:rPr>
                <w:rFonts w:ascii="宋体" w:hAnsi="宋体"/>
                <w:szCs w:val="21"/>
              </w:rPr>
            </w:pPr>
            <w:r>
              <w:rPr>
                <w:rFonts w:hint="eastAsia" w:ascii="宋体" w:hAnsi="宋体" w:cs="宋体"/>
                <w:color w:val="000000"/>
                <w:szCs w:val="21"/>
              </w:rPr>
              <w:t>采购人购买产品后，有权对该产品与其他设备进行配套、整合或适当改进，而免受侵犯专利权的起诉。</w:t>
            </w:r>
          </w:p>
        </w:tc>
      </w:tr>
      <w:tr w14:paraId="4F9A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87" w:type="dxa"/>
            <w:noWrap w:val="0"/>
            <w:vAlign w:val="center"/>
          </w:tcPr>
          <w:p w14:paraId="63CC217A">
            <w:pPr>
              <w:jc w:val="center"/>
              <w:rPr>
                <w:rFonts w:hint="eastAsia" w:ascii="宋体" w:hAnsi="宋体"/>
                <w:b/>
                <w:szCs w:val="21"/>
              </w:rPr>
            </w:pPr>
            <w:r>
              <w:rPr>
                <w:rFonts w:hint="eastAsia" w:ascii="宋体" w:hAnsi="宋体"/>
                <w:b/>
                <w:szCs w:val="21"/>
              </w:rPr>
              <w:t>6</w:t>
            </w:r>
          </w:p>
        </w:tc>
        <w:tc>
          <w:tcPr>
            <w:tcW w:w="1677" w:type="dxa"/>
            <w:noWrap w:val="0"/>
            <w:vAlign w:val="center"/>
          </w:tcPr>
          <w:p w14:paraId="048179B3">
            <w:pPr>
              <w:jc w:val="center"/>
              <w:rPr>
                <w:rFonts w:ascii="宋体" w:hAnsi="宋体"/>
                <w:b/>
                <w:szCs w:val="21"/>
              </w:rPr>
            </w:pPr>
            <w:r>
              <w:rPr>
                <w:rFonts w:ascii="宋体" w:hAnsi="宋体"/>
                <w:b/>
                <w:color w:val="000000"/>
                <w:szCs w:val="21"/>
              </w:rPr>
              <w:t>其他</w:t>
            </w:r>
          </w:p>
        </w:tc>
        <w:tc>
          <w:tcPr>
            <w:tcW w:w="6585" w:type="dxa"/>
            <w:noWrap w:val="0"/>
            <w:vAlign w:val="center"/>
          </w:tcPr>
          <w:p w14:paraId="725392B2">
            <w:pPr>
              <w:widowControl/>
              <w:jc w:val="left"/>
              <w:rPr>
                <w:rFonts w:ascii="宋体" w:hAnsi="宋体" w:cs="宋体"/>
                <w:color w:val="000000"/>
                <w:szCs w:val="21"/>
              </w:rPr>
            </w:pPr>
            <w:r>
              <w:rPr>
                <w:rFonts w:hint="eastAsia" w:ascii="宋体" w:hAnsi="宋体" w:cs="宋体"/>
                <w:color w:val="000000"/>
                <w:szCs w:val="21"/>
              </w:rPr>
              <w:t>投标供应商应按其投标文件中的承诺，进行其他售后服务工作。若货物侵犯任何第三方知识产权和其他合法权益，由中标人负责处理所有的纠纷，承担一切因此产生的费用。</w:t>
            </w:r>
          </w:p>
        </w:tc>
      </w:tr>
    </w:tbl>
    <w:p w14:paraId="006F73B3">
      <w:pPr>
        <w:rPr>
          <w:rFonts w:hint="eastAsia"/>
        </w:rPr>
      </w:pPr>
    </w:p>
    <w:p w14:paraId="79966179">
      <w:pPr>
        <w:pStyle w:val="5"/>
        <w:rPr>
          <w:rFonts w:hint="eastAsia"/>
        </w:rPr>
      </w:pPr>
    </w:p>
    <w:bookmarkEnd w:id="4"/>
    <w:p w14:paraId="427BC40C">
      <w:pPr>
        <w:pStyle w:val="3"/>
        <w:spacing w:line="360" w:lineRule="auto"/>
        <w:jc w:val="left"/>
        <w:rPr>
          <w:rFonts w:hint="eastAsia" w:cs="Arial"/>
          <w:sz w:val="28"/>
          <w:szCs w:val="28"/>
          <w:lang w:eastAsia="zh-CN"/>
        </w:rPr>
      </w:pPr>
      <w:bookmarkStart w:id="8" w:name="_Toc12900"/>
      <w:r>
        <w:rPr>
          <w:rFonts w:hint="eastAsia" w:cs="Arial"/>
          <w:sz w:val="28"/>
          <w:szCs w:val="28"/>
          <w:lang w:eastAsia="zh-CN"/>
        </w:rPr>
        <w:t>四、其他重要条款</w:t>
      </w:r>
      <w:bookmarkEnd w:id="8"/>
    </w:p>
    <w:p w14:paraId="5A298219">
      <w:pPr>
        <w:ind w:firstLine="480" w:firstLineChars="200"/>
        <w:rPr>
          <w:rFonts w:hint="eastAsia" w:ascii="宋体" w:hAnsi="宋体" w:cs="宋体"/>
          <w:bCs/>
          <w:sz w:val="24"/>
        </w:rPr>
      </w:pPr>
      <w:r>
        <w:rPr>
          <w:rFonts w:hint="eastAsia" w:ascii="宋体" w:hAnsi="宋体" w:cs="宋体"/>
          <w:bCs/>
          <w:sz w:val="24"/>
        </w:rPr>
        <w:t>1、本项目预算金额：</w:t>
      </w:r>
      <w:r>
        <w:rPr>
          <w:rFonts w:hint="eastAsia" w:ascii="宋体" w:hAnsi="宋体" w:cs="宋体"/>
          <w:sz w:val="24"/>
        </w:rPr>
        <w:t>人民币玖拾万元整（¥900000.00元）</w:t>
      </w:r>
      <w:r>
        <w:rPr>
          <w:rFonts w:hint="eastAsia" w:ascii="宋体" w:hAnsi="宋体" w:cs="宋体"/>
          <w:bCs/>
          <w:sz w:val="24"/>
        </w:rPr>
        <w:t>，投标报价超过项目预算金额的视为无效投标。</w:t>
      </w:r>
    </w:p>
    <w:p w14:paraId="45F4A93B">
      <w:pPr>
        <w:ind w:firstLine="480" w:firstLineChars="200"/>
        <w:rPr>
          <w:rFonts w:hint="eastAsia" w:ascii="宋体" w:hAnsi="宋体" w:cs="宋体"/>
          <w:bCs/>
          <w:sz w:val="24"/>
        </w:rPr>
      </w:pPr>
      <w:r>
        <w:rPr>
          <w:rFonts w:hint="eastAsia" w:ascii="宋体" w:hAnsi="宋体" w:cs="宋体"/>
          <w:bCs/>
          <w:sz w:val="24"/>
        </w:rPr>
        <w:t>2、本项目投标报价采用包干制，投标总价必须是完成该项目的一切费用总和，包括设备费、运输费、装卸费、保险费、技术培训费、设备安装费、调试费、售后服务费、国家规定的各项税费等全部费用。由投标人根据招标需求自行测算投标报价；一经中标，投标报价即作为中标单位与采购人签订的合同金额。</w:t>
      </w:r>
    </w:p>
    <w:p w14:paraId="6E87E8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6B610"/>
    <w:multiLevelType w:val="singleLevel"/>
    <w:tmpl w:val="C106B610"/>
    <w:lvl w:ilvl="0" w:tentative="0">
      <w:start w:val="1"/>
      <w:numFmt w:val="decimal"/>
      <w:pStyle w:val="9"/>
      <w:lvlText w:val="%1."/>
      <w:lvlJc w:val="left"/>
      <w:pPr>
        <w:tabs>
          <w:tab w:val="left" w:pos="0"/>
        </w:tabs>
        <w:ind w:left="0" w:firstLine="0"/>
      </w:pPr>
      <w:rPr>
        <w:rFonts w:hint="default"/>
      </w:rPr>
    </w:lvl>
  </w:abstractNum>
  <w:abstractNum w:abstractNumId="1">
    <w:nsid w:val="10ED5A30"/>
    <w:multiLevelType w:val="singleLevel"/>
    <w:tmpl w:val="10ED5A30"/>
    <w:lvl w:ilvl="0" w:tentative="0">
      <w:start w:val="1"/>
      <w:numFmt w:val="decimal"/>
      <w:suff w:val="nothing"/>
      <w:lvlText w:val="%1"/>
      <w:lvlJc w:val="left"/>
      <w:pPr>
        <w:ind w:left="425" w:hanging="425"/>
      </w:pPr>
      <w:rPr>
        <w:rFonts w:hint="default"/>
      </w:rPr>
    </w:lvl>
  </w:abstractNum>
  <w:abstractNum w:abstractNumId="2">
    <w:nsid w:val="43D6190D"/>
    <w:multiLevelType w:val="singleLevel"/>
    <w:tmpl w:val="43D6190D"/>
    <w:lvl w:ilvl="0" w:tentative="0">
      <w:start w:val="1"/>
      <w:numFmt w:val="decimal"/>
      <w:suff w:val="nothing"/>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97118"/>
    <w:rsid w:val="75D97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4"/>
    <w:next w:val="1"/>
    <w:qFormat/>
    <w:uiPriority w:val="0"/>
    <w:pPr>
      <w:adjustRightInd w:val="0"/>
      <w:spacing w:line="240" w:lineRule="auto"/>
      <w:jc w:val="center"/>
      <w:textAlignment w:val="baseline"/>
      <w:outlineLvl w:val="1"/>
    </w:pPr>
    <w:rPr>
      <w:rFonts w:ascii="宋体" w:hAnsi="宋体"/>
      <w:kern w:val="0"/>
      <w:sz w:val="24"/>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Body Text Indent 3"/>
    <w:basedOn w:val="1"/>
    <w:qFormat/>
    <w:uiPriority w:val="0"/>
    <w:pPr>
      <w:spacing w:after="120"/>
      <w:ind w:left="420" w:leftChars="200"/>
    </w:pPr>
    <w:rPr>
      <w:sz w:val="16"/>
      <w:szCs w:val="16"/>
    </w:rPr>
  </w:style>
  <w:style w:type="paragraph" w:customStyle="1" w:styleId="9">
    <w:name w:val="正文编号"/>
    <w:qFormat/>
    <w:uiPriority w:val="0"/>
    <w:pPr>
      <w:numPr>
        <w:ilvl w:val="0"/>
        <w:numId w:val="1"/>
      </w:numPr>
      <w:tabs>
        <w:tab w:val="clear" w:pos="0"/>
      </w:tabs>
      <w:spacing w:line="360" w:lineRule="auto"/>
    </w:pPr>
    <w:rPr>
      <w:rFonts w:ascii="微软雅黑" w:hAnsi="微软雅黑" w:eastAsia="仿宋" w:cs="微软雅黑"/>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2025-11-20T02:01:00Z</dcterms:created>
  <dc:creator>过眼～云烟～</dc:creator>
  <cp:lastModifiedBy>过眼～云烟～</cp:lastModifiedBy>
  <dcterms:modified xsi:type="dcterms:W3CDTF">2025-11-20T02:07:49Z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F33B21D6C00A457AA825AB69CC5861AE_11</vt:lpwstr>
  </property>
  <property fmtid="{D5CDD505-2E9C-101B-9397-08002B2CF9AE}" pid="4" name="KSOTemplateDocerSaveRecord">
    <vt:lpwstr>eyJoZGlkIjoiYjU3ZDE5YWNkMGVkMDJjZTBmOTQ1OGE4M2ZhZjBiNTEiLCJ1c2VySWQiOiIzMjMwNDEyNDYifQ==</vt:lpwstr>
  </property>
</Properties>
</file>