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A8705">
      <w:pPr>
        <w:pStyle w:val="8"/>
        <w:spacing w:before="120" w:after="120" w:line="360" w:lineRule="auto"/>
        <w:rPr>
          <w:rStyle w:val="9"/>
          <w:b w:val="0"/>
          <w:bCs w:val="0"/>
        </w:rPr>
      </w:pPr>
      <w:bookmarkStart w:id="0" w:name="_Toc213852623"/>
      <w:r>
        <w:rPr>
          <w:rStyle w:val="9"/>
          <w:rFonts w:hint="eastAsia"/>
          <w:b w:val="0"/>
          <w:bCs w:val="0"/>
        </w:rPr>
        <w:t>第六章  服务需求书</w:t>
      </w:r>
      <w:bookmarkEnd w:id="0"/>
    </w:p>
    <w:p w14:paraId="0D1A784D">
      <w:pPr>
        <w:spacing w:after="60"/>
        <w:jc w:val="center"/>
        <w:rPr>
          <w:b/>
          <w:color w:val="FF0000"/>
          <w:sz w:val="28"/>
          <w:szCs w:val="28"/>
        </w:rPr>
      </w:pPr>
      <w:r>
        <w:rPr>
          <w:rFonts w:hint="eastAsia"/>
          <w:b/>
          <w:color w:val="FF0000"/>
          <w:sz w:val="28"/>
          <w:szCs w:val="28"/>
        </w:rPr>
        <w:t>（商务要求部分）</w:t>
      </w:r>
    </w:p>
    <w:p w14:paraId="4B85DF43">
      <w:pPr>
        <w:spacing w:after="60" w:line="360" w:lineRule="auto"/>
        <w:ind w:firstLine="422" w:firstLineChars="200"/>
        <w:jc w:val="left"/>
        <w:rPr>
          <w:rFonts w:hint="eastAsia" w:ascii="宋体" w:hAnsi="宋体"/>
        </w:rPr>
      </w:pPr>
      <w:r>
        <w:rPr>
          <w:rFonts w:hint="eastAsia" w:cs="仿宋_GB2312" w:asciiTheme="minorEastAsia" w:hAnsiTheme="minorEastAsia" w:eastAsiaTheme="minorEastAsia"/>
          <w:b/>
          <w:szCs w:val="21"/>
        </w:rPr>
        <w:t>1、项目概述：</w:t>
      </w:r>
      <w:r>
        <w:rPr>
          <w:rFonts w:hint="eastAsia" w:ascii="宋体" w:hAnsi="宋体"/>
        </w:rPr>
        <w:t>为保障公司员工餐饮质量及食品安全，满足日常运营需求，现公开招标2026-2028年度食材配送服务供应商。服务内容涵盖公司基地食堂所需的全品类食材（包括但不限于生鲜、肉类、蔬菜、水果、粮油、干货等），要求供应商提供稳定、高效、安全的配送服务，并具备灵活应对突发需求的能力，为招标人提供优质的服务。</w:t>
      </w:r>
    </w:p>
    <w:p w14:paraId="69D2FD81">
      <w:pPr>
        <w:spacing w:after="60" w:line="360" w:lineRule="auto"/>
        <w:ind w:firstLine="422" w:firstLineChars="200"/>
        <w:jc w:val="left"/>
        <w:rPr>
          <w:rFonts w:hint="eastAsia" w:ascii="宋体" w:hAnsi="宋体"/>
        </w:rPr>
      </w:pPr>
      <w:r>
        <w:rPr>
          <w:rFonts w:hint="eastAsia" w:cs="仿宋_GB2312" w:asciiTheme="minorEastAsia" w:hAnsiTheme="minorEastAsia" w:eastAsiaTheme="minorEastAsia"/>
          <w:b/>
          <w:szCs w:val="21"/>
        </w:rPr>
        <w:t>2、服务期限：</w:t>
      </w:r>
      <w:r>
        <w:rPr>
          <w:rFonts w:hint="eastAsia" w:ascii="宋体" w:hAnsi="宋体"/>
        </w:rPr>
        <w:t>本项目实际采购控制价为450万元/年，服务期三年，合同一年一签，合同期满后，公司根据供应商的履约及考核情况决定是否与其续签，最多续签两次，续签累计最长不超过24个月，续期的实质内容不得改变。实际结算以每月的采购需求为准，实报实销。</w:t>
      </w:r>
    </w:p>
    <w:p w14:paraId="5E543AD8">
      <w:pPr>
        <w:pStyle w:val="2"/>
        <w:ind w:firstLine="422" w:firstLineChars="200"/>
        <w:rPr>
          <w:rFonts w:hint="eastAsia" w:ascii="宋体" w:hAnsi="宋体" w:cs="Times New Roman"/>
          <w:bCs w:val="0"/>
        </w:rPr>
      </w:pPr>
      <w:r>
        <w:rPr>
          <w:rFonts w:hint="eastAsia" w:cs="仿宋_GB2312" w:asciiTheme="minorEastAsia" w:hAnsiTheme="minorEastAsia" w:eastAsiaTheme="minorEastAsia"/>
          <w:b/>
          <w:bCs w:val="0"/>
          <w:szCs w:val="21"/>
        </w:rPr>
        <w:t>3、</w:t>
      </w:r>
      <w:r>
        <w:rPr>
          <w:rFonts w:hint="eastAsia" w:ascii="宋体" w:hAnsi="宋体" w:cs="仿宋_GB2312"/>
          <w:b/>
          <w:bCs w:val="0"/>
          <w:szCs w:val="21"/>
        </w:rPr>
        <w:t>服务地点：</w:t>
      </w:r>
      <w:r>
        <w:rPr>
          <w:rFonts w:hint="eastAsia" w:ascii="宋体" w:hAnsi="宋体" w:cs="Times New Roman"/>
          <w:bCs w:val="0"/>
        </w:rPr>
        <w:t>公司培训基地食堂（地址：深圳市宝安区宝石路培训基地）。</w:t>
      </w:r>
    </w:p>
    <w:p w14:paraId="60624968">
      <w:pPr>
        <w:spacing w:after="60" w:line="360" w:lineRule="auto"/>
        <w:ind w:left="1" w:firstLine="422" w:firstLineChars="200"/>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4、</w:t>
      </w:r>
      <w:bookmarkStart w:id="1" w:name="_Toc456768751"/>
      <w:r>
        <w:rPr>
          <w:rFonts w:hint="eastAsia" w:cs="仿宋_GB2312" w:asciiTheme="minorEastAsia" w:hAnsiTheme="minorEastAsia" w:eastAsiaTheme="minorEastAsia"/>
          <w:b/>
          <w:szCs w:val="21"/>
        </w:rPr>
        <w:t>付款方法和条件</w:t>
      </w:r>
      <w:bookmarkEnd w:id="1"/>
      <w:r>
        <w:rPr>
          <w:rFonts w:hint="eastAsia" w:cs="仿宋_GB2312" w:asciiTheme="minorEastAsia" w:hAnsiTheme="minorEastAsia" w:eastAsiaTheme="minorEastAsia"/>
          <w:b/>
          <w:szCs w:val="21"/>
        </w:rPr>
        <w:t>：</w:t>
      </w:r>
      <w:r>
        <w:rPr>
          <w:rFonts w:hint="eastAsia" w:asciiTheme="minorEastAsia" w:hAnsiTheme="minorEastAsia"/>
          <w:szCs w:val="21"/>
        </w:rPr>
        <w:t>按月支付，每月10日为上月配送费结算日，以中农数据(深圳)上月5日、15 日、25 日三天平均价(粗加工后的价格(即精品价))为基准价乘以中标价(即中标折扣率报价)为当月供货的结算单价，以每月实际配送数量实报实销。采购人付款前，中标人应当提供等额正规发票和经采购人确认的合同履行的相关文件资料向采购人请付款;采购人收齐资料核对无误后，按规定程序向财务部门申请办理核拨，具体到账时间以实际到账时间为准;如未能及时拨付到账，中标人不得以此为由而不履行本合同约定的义务，也不得因此追究采购人迟延付款的违约责任。</w:t>
      </w:r>
    </w:p>
    <w:p w14:paraId="35A70BED">
      <w:pPr>
        <w:spacing w:after="60" w:line="360" w:lineRule="auto"/>
        <w:ind w:left="709" w:leftChars="201" w:hanging="287" w:hangingChars="136"/>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5、报价要求：</w:t>
      </w:r>
    </w:p>
    <w:p w14:paraId="64814136">
      <w:pPr>
        <w:spacing w:after="60" w:line="360" w:lineRule="auto"/>
        <w:ind w:firstLine="420" w:firstLineChars="200"/>
        <w:rPr>
          <w:rFonts w:hint="eastAsia" w:ascii="宋体" w:hAnsi="宋体"/>
          <w:szCs w:val="21"/>
        </w:rPr>
      </w:pPr>
      <w:r>
        <w:rPr>
          <w:rFonts w:hint="eastAsia" w:ascii="宋体" w:hAnsi="宋体"/>
          <w:szCs w:val="21"/>
        </w:rPr>
        <w:t>1.所有货物的报价包括供应产品和产品运输到使用单位的服务费、检测费、人工费、管理费、税金等一切可能发生的费用。以上报价以人民币为报价和结算单位，须开具国家正规发票。</w:t>
      </w:r>
    </w:p>
    <w:p w14:paraId="4DAFA4B6">
      <w:pPr>
        <w:spacing w:afterLines="0" w:line="360" w:lineRule="auto"/>
        <w:ind w:firstLine="420" w:firstLineChars="200"/>
        <w:rPr>
          <w:rFonts w:hint="eastAsia" w:ascii="宋体" w:hAnsi="宋体"/>
          <w:szCs w:val="21"/>
        </w:rPr>
      </w:pPr>
      <w:r>
        <w:rPr>
          <w:rFonts w:hint="eastAsia" w:ascii="宋体" w:hAnsi="宋体"/>
          <w:szCs w:val="21"/>
        </w:rPr>
        <w:t>2.本项目投标报价以折扣率报价。原材料产品投标报价以市场价报出折扣率（0＜折扣率≤1），结算时价格=基准价×折扣率。</w:t>
      </w:r>
    </w:p>
    <w:p w14:paraId="664EA9C4">
      <w:pPr>
        <w:pStyle w:val="2"/>
        <w:ind w:firstLine="422" w:firstLineChars="200"/>
        <w:rPr>
          <w:rFonts w:hint="eastAsia" w:ascii="宋体" w:hAnsi="宋体" w:cs="Times New Roman"/>
          <w:b/>
          <w:szCs w:val="21"/>
        </w:rPr>
      </w:pPr>
      <w:r>
        <w:rPr>
          <w:rFonts w:hint="eastAsia" w:ascii="宋体" w:hAnsi="宋体" w:cs="Times New Roman"/>
          <w:b/>
          <w:szCs w:val="21"/>
        </w:rPr>
        <w:t>3.以中农数据(深圳)普通价上月5日、15日、25日三天平均价（粗加工后的价格（即精品价））为基准价乘以中标价(即中标</w:t>
      </w:r>
      <w:r>
        <w:rPr>
          <w:rFonts w:hint="eastAsia" w:ascii="宋体" w:hAnsi="宋体"/>
          <w:b/>
          <w:szCs w:val="21"/>
        </w:rPr>
        <w:t>折扣率报价</w:t>
      </w:r>
      <w:r>
        <w:rPr>
          <w:rFonts w:hint="eastAsia" w:ascii="宋体" w:hAnsi="宋体" w:cs="Times New Roman"/>
          <w:b/>
          <w:szCs w:val="21"/>
        </w:rPr>
        <w:t>)为当月供货的结算价格，价格确定后当月不做调整。中农数据(深圳)无价格商品，招标人每季度列出具体产品清单及规格，由招标人组织调研小组按每季度进行市场调查以市场批发价价作为定价原则。</w:t>
      </w:r>
    </w:p>
    <w:p w14:paraId="72D3A143">
      <w:pPr>
        <w:spacing w:afterLines="0" w:line="360" w:lineRule="auto"/>
        <w:ind w:firstLine="420" w:firstLineChars="200"/>
        <w:jc w:val="left"/>
        <w:rPr>
          <w:rFonts w:hint="eastAsia" w:ascii="宋体" w:hAnsi="宋体"/>
          <w:szCs w:val="21"/>
        </w:rPr>
      </w:pPr>
      <w:r>
        <w:rPr>
          <w:rFonts w:hint="eastAsia" w:ascii="宋体" w:hAnsi="宋体"/>
          <w:szCs w:val="21"/>
        </w:rPr>
        <w:t>4.价格表每月确认一次，中标人按照市场价报给采购方，采购方按照市场物价情况签字确认。如遇台风、暴雨等不可预见的原因造成的个别品种及价格需临时做调整的，中标人应事先通知采购人，在采购人确认后方可调整。</w:t>
      </w:r>
    </w:p>
    <w:p w14:paraId="3BDE781C">
      <w:pPr>
        <w:pStyle w:val="4"/>
        <w:spacing w:line="360" w:lineRule="auto"/>
        <w:ind w:firstLine="420" w:firstLineChars="200"/>
        <w:rPr>
          <w:rFonts w:hint="eastAsia" w:ascii="宋体" w:hAnsi="宋体"/>
          <w:szCs w:val="21"/>
        </w:rPr>
      </w:pPr>
      <w:r>
        <w:rPr>
          <w:rFonts w:hint="eastAsia" w:ascii="宋体" w:hAnsi="宋体"/>
          <w:szCs w:val="21"/>
        </w:rPr>
        <w:t>5.</w:t>
      </w:r>
      <w:r>
        <w:rPr>
          <w:rFonts w:hint="eastAsia" w:asciiTheme="minorEastAsia" w:hAnsiTheme="minorEastAsia"/>
          <w:szCs w:val="21"/>
        </w:rPr>
        <w:t>中标人必须在合同签订前帮助采购人开</w:t>
      </w:r>
      <w:r>
        <w:rPr>
          <w:rFonts w:hint="eastAsia" w:ascii="宋体" w:hAnsi="宋体"/>
          <w:szCs w:val="21"/>
        </w:rPr>
        <w:t>通中农数据网会员，履约期间会员费用由中标人支付，并交由采购人使用。</w:t>
      </w:r>
    </w:p>
    <w:p w14:paraId="406C16BA">
      <w:pPr>
        <w:spacing w:afterLines="0" w:line="360" w:lineRule="auto"/>
        <w:ind w:firstLine="422" w:firstLineChars="200"/>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6、结算方式：</w:t>
      </w:r>
    </w:p>
    <w:p w14:paraId="0DB0B34B">
      <w:pPr>
        <w:spacing w:afterLines="0" w:line="360" w:lineRule="auto"/>
        <w:ind w:firstLine="420" w:firstLineChars="200"/>
        <w:jc w:val="left"/>
        <w:rPr>
          <w:rFonts w:hint="eastAsia" w:ascii="宋体" w:hAnsi="宋体"/>
          <w:szCs w:val="21"/>
        </w:rPr>
      </w:pPr>
      <w:r>
        <w:rPr>
          <w:rFonts w:hint="eastAsia" w:ascii="宋体" w:hAnsi="宋体"/>
          <w:szCs w:val="21"/>
        </w:rPr>
        <w:t>按月支付，每月10日为上月配送费结算日，以中农数据(深圳)普通价上月5日、15日、25日三天平均价（粗加工后的价格（即精品价））为基准价乘以中标价(即中标折扣率报价)为当月供货的结算单价，以每月实际配送数量实报实销。采购人付款前，中标人应当提供等额正规发票和经采购人确认的合同履行的相关文件资料向采购人申请付款；采购人收齐资料核对无误后，按规定程序向财务部门申请办理核拨，具体到账时间以实际到账时间为准；如未能及时拨付到账，中标人不得以此为由而不履行本合同约定的义务，也不得因此追究采购人迟延付款的违约责任。</w:t>
      </w:r>
    </w:p>
    <w:p w14:paraId="06553721">
      <w:pPr>
        <w:pStyle w:val="4"/>
        <w:ind w:firstLine="420" w:firstLineChars="200"/>
        <w:rPr>
          <w:rFonts w:hint="eastAsia" w:ascii="宋体" w:hAnsi="宋体"/>
          <w:szCs w:val="21"/>
        </w:rPr>
      </w:pPr>
      <w:r>
        <w:rPr>
          <w:rFonts w:ascii="宋体" w:hAnsi="宋体"/>
          <w:szCs w:val="21"/>
        </w:rPr>
        <w:t>中农数据(深圳)无价格商品，招标人每季度列出具体产品清单及规格，由</w:t>
      </w:r>
      <w:r>
        <w:rPr>
          <w:rFonts w:hint="eastAsia" w:asciiTheme="minorEastAsia" w:hAnsiTheme="minorEastAsia"/>
          <w:szCs w:val="21"/>
        </w:rPr>
        <w:t>采购人</w:t>
      </w:r>
      <w:r>
        <w:rPr>
          <w:rFonts w:ascii="宋体" w:hAnsi="宋体"/>
          <w:szCs w:val="21"/>
        </w:rPr>
        <w:t>组织调研小组按每季度进行市场调查以市场批发价价作为定价原则</w:t>
      </w:r>
      <w:r>
        <w:rPr>
          <w:rFonts w:hint="eastAsia" w:ascii="宋体" w:hAnsi="宋体"/>
          <w:szCs w:val="21"/>
        </w:rPr>
        <w:t>。</w:t>
      </w:r>
    </w:p>
    <w:p w14:paraId="60B28BE2">
      <w:pPr>
        <w:spacing w:after="60" w:line="360" w:lineRule="auto"/>
        <w:ind w:left="709" w:leftChars="201" w:hanging="287" w:hangingChars="136"/>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7、责任界定：</w:t>
      </w:r>
    </w:p>
    <w:p w14:paraId="3CAD4268">
      <w:pPr>
        <w:spacing w:afterLines="0" w:line="360" w:lineRule="auto"/>
        <w:ind w:firstLine="420" w:firstLineChars="200"/>
        <w:jc w:val="left"/>
        <w:rPr>
          <w:rFonts w:hint="eastAsia" w:ascii="宋体" w:hAnsi="宋体"/>
          <w:szCs w:val="21"/>
        </w:rPr>
      </w:pPr>
      <w:r>
        <w:rPr>
          <w:rFonts w:hint="eastAsia" w:ascii="宋体" w:hAnsi="宋体"/>
          <w:szCs w:val="21"/>
        </w:rPr>
        <w:t xml:space="preserve">1.中标人配送的食品必须符合国家有关部门规定的食品安全标准，如果中标人所供货的食品造成采购人就餐人员食物中毒的，经卫生防疫部门鉴定，属于中标人责任，中标人必须承担全部法律责任并作出全部的经济赔偿，采购人可申请解除合同。 </w:t>
      </w:r>
    </w:p>
    <w:p w14:paraId="5DD9596F">
      <w:pPr>
        <w:spacing w:afterLines="0" w:line="360" w:lineRule="auto"/>
        <w:ind w:firstLine="420" w:firstLineChars="200"/>
        <w:jc w:val="left"/>
        <w:rPr>
          <w:rFonts w:hint="eastAsia" w:ascii="宋体" w:hAnsi="宋体"/>
          <w:szCs w:val="21"/>
        </w:rPr>
      </w:pPr>
      <w:r>
        <w:rPr>
          <w:rFonts w:hint="eastAsia" w:ascii="宋体" w:hAnsi="宋体"/>
          <w:szCs w:val="21"/>
        </w:rPr>
        <w:t xml:space="preserve">2.要求在卫生监督部门无食品卫生事故记录，一经查实发生过食品卫生事故记录，采购方有权解除合同。 </w:t>
      </w:r>
    </w:p>
    <w:p w14:paraId="7648E65D">
      <w:pPr>
        <w:spacing w:afterLines="0" w:line="360" w:lineRule="auto"/>
        <w:ind w:firstLine="420" w:firstLineChars="200"/>
        <w:jc w:val="left"/>
        <w:rPr>
          <w:rFonts w:hint="eastAsia" w:ascii="宋体" w:hAnsi="宋体"/>
          <w:szCs w:val="21"/>
        </w:rPr>
      </w:pPr>
      <w:r>
        <w:rPr>
          <w:rFonts w:hint="eastAsia" w:ascii="宋体" w:hAnsi="宋体"/>
          <w:szCs w:val="21"/>
        </w:rPr>
        <w:t>3.此招标项目中标后不得转包或分包，一经发现，采购人有权解除合同。</w:t>
      </w:r>
    </w:p>
    <w:p w14:paraId="65BA8554">
      <w:pPr>
        <w:spacing w:afterLines="0" w:line="360" w:lineRule="auto"/>
        <w:ind w:firstLine="420" w:firstLineChars="200"/>
        <w:jc w:val="left"/>
        <w:rPr>
          <w:rFonts w:hint="eastAsia" w:ascii="宋体" w:hAnsi="宋体"/>
          <w:szCs w:val="21"/>
        </w:rPr>
      </w:pPr>
      <w:r>
        <w:rPr>
          <w:rFonts w:hint="eastAsia" w:ascii="宋体" w:hAnsi="宋体"/>
          <w:szCs w:val="21"/>
        </w:rPr>
        <w:t xml:space="preserve">4.要求所送蔬菜类、鲜肉类、水产类等必须保鲜运送。 </w:t>
      </w:r>
    </w:p>
    <w:p w14:paraId="3F99D7FC">
      <w:pPr>
        <w:spacing w:afterLines="0" w:line="360" w:lineRule="auto"/>
        <w:ind w:firstLine="420" w:firstLineChars="200"/>
        <w:jc w:val="left"/>
        <w:rPr>
          <w:rFonts w:hint="eastAsia" w:ascii="宋体" w:hAnsi="宋体"/>
          <w:szCs w:val="21"/>
        </w:rPr>
      </w:pPr>
      <w:r>
        <w:rPr>
          <w:rFonts w:hint="eastAsia" w:ascii="宋体" w:hAnsi="宋体"/>
          <w:szCs w:val="21"/>
        </w:rPr>
        <w:t>5.合同签订的价格按照每项物资的基准价（中农数据网每月5、15、25号公布的粗加工后的价格（即精品价）取平均值）×折扣率来签订。</w:t>
      </w:r>
    </w:p>
    <w:p w14:paraId="0BFFAAAD">
      <w:pPr>
        <w:spacing w:after="60" w:line="360" w:lineRule="auto"/>
        <w:ind w:left="709" w:leftChars="201" w:hanging="287" w:hangingChars="136"/>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8、违约情况：</w:t>
      </w:r>
    </w:p>
    <w:p w14:paraId="6A43774D">
      <w:pPr>
        <w:spacing w:afterLines="0" w:line="360" w:lineRule="auto"/>
        <w:ind w:firstLine="420" w:firstLineChars="200"/>
        <w:jc w:val="left"/>
        <w:rPr>
          <w:rFonts w:hint="eastAsia" w:ascii="宋体" w:hAnsi="宋体"/>
          <w:szCs w:val="21"/>
        </w:rPr>
      </w:pPr>
      <w:r>
        <w:rPr>
          <w:rFonts w:hint="eastAsia" w:ascii="宋体" w:hAnsi="宋体"/>
          <w:szCs w:val="21"/>
        </w:rPr>
        <w:t>1.如中标人未按照投标文件中承诺的时间交货或提供服务，中标人应承担延期交货和延期服务的违约责任，并赔偿采购人因此造成的实际经济损失。</w:t>
      </w:r>
    </w:p>
    <w:p w14:paraId="3944B79D">
      <w:pPr>
        <w:spacing w:afterLines="0" w:line="360" w:lineRule="auto"/>
        <w:ind w:firstLine="420" w:firstLineChars="200"/>
        <w:jc w:val="left"/>
        <w:rPr>
          <w:rFonts w:hint="eastAsia" w:ascii="宋体" w:hAnsi="宋体"/>
          <w:szCs w:val="21"/>
        </w:rPr>
      </w:pPr>
      <w:r>
        <w:rPr>
          <w:rFonts w:hint="eastAsia" w:ascii="宋体" w:hAnsi="宋体"/>
          <w:szCs w:val="21"/>
        </w:rPr>
        <w:t>2.中标人所交产品技术等方面不能实质性满足招标文件要约的，采购人有权拒绝收货，中标人向采购人偿付项目采购金额千分之十的违约金；造成严重后果的，根据采购单位相关规定对中标人进行处罚。</w:t>
      </w:r>
    </w:p>
    <w:p w14:paraId="1C44D86E">
      <w:pPr>
        <w:spacing w:afterLines="0" w:line="360" w:lineRule="auto"/>
        <w:ind w:firstLine="420" w:firstLineChars="200"/>
        <w:jc w:val="left"/>
        <w:rPr>
          <w:rFonts w:hint="eastAsia" w:ascii="宋体" w:hAnsi="宋体"/>
          <w:szCs w:val="21"/>
        </w:rPr>
      </w:pPr>
      <w:r>
        <w:rPr>
          <w:rFonts w:hint="eastAsia" w:ascii="宋体" w:hAnsi="宋体"/>
          <w:szCs w:val="21"/>
        </w:rPr>
        <w:t>3.中标人不能交付产品的，中标人向采购人偿付项目采购金额千分之十的违约金；造成严重后果的，根据采购单位相关规定对中标人进行处罚。</w:t>
      </w:r>
    </w:p>
    <w:p w14:paraId="182FB800">
      <w:pPr>
        <w:spacing w:after="60" w:line="360" w:lineRule="auto"/>
        <w:ind w:left="709" w:leftChars="201" w:hanging="287" w:hangingChars="136"/>
        <w:jc w:val="left"/>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9、其他需说明的事项：</w:t>
      </w:r>
    </w:p>
    <w:p w14:paraId="79B288C6">
      <w:pPr>
        <w:spacing w:afterLines="0" w:line="360" w:lineRule="auto"/>
        <w:ind w:firstLine="420" w:firstLineChars="200"/>
        <w:jc w:val="left"/>
        <w:rPr>
          <w:rFonts w:hint="eastAsia" w:ascii="宋体" w:hAnsi="宋体"/>
          <w:szCs w:val="21"/>
        </w:rPr>
      </w:pPr>
      <w:r>
        <w:rPr>
          <w:rFonts w:hint="eastAsia" w:ascii="宋体" w:hAnsi="宋体"/>
          <w:szCs w:val="21"/>
        </w:rPr>
        <w:t>1.配送运输中出现车辆、人身安全事故，中标人独立承担一切刑事、民事责任，与采购人无关。</w:t>
      </w:r>
    </w:p>
    <w:p w14:paraId="51361DA6">
      <w:pPr>
        <w:spacing w:afterLines="0" w:line="360" w:lineRule="auto"/>
        <w:ind w:firstLine="420" w:firstLineChars="200"/>
        <w:jc w:val="left"/>
        <w:rPr>
          <w:rFonts w:hint="eastAsia" w:ascii="宋体" w:hAnsi="宋体"/>
          <w:szCs w:val="21"/>
        </w:rPr>
      </w:pPr>
      <w:r>
        <w:rPr>
          <w:rFonts w:hint="eastAsia" w:ascii="宋体" w:hAnsi="宋体"/>
          <w:szCs w:val="21"/>
        </w:rPr>
        <w:t>2.合同服务期限内，中标人应根据采购人需要安排指定数量的专职配送员驻点采购人食堂，专职配送员须持有健康证上岗。</w:t>
      </w:r>
    </w:p>
    <w:p w14:paraId="241C3DC0">
      <w:pPr>
        <w:spacing w:afterLines="0" w:line="360" w:lineRule="auto"/>
        <w:ind w:firstLine="420" w:firstLineChars="200"/>
        <w:jc w:val="left"/>
        <w:rPr>
          <w:rFonts w:hint="eastAsia" w:ascii="宋体" w:hAnsi="宋体"/>
          <w:szCs w:val="21"/>
        </w:rPr>
      </w:pPr>
      <w:r>
        <w:rPr>
          <w:rFonts w:hint="eastAsia" w:ascii="宋体" w:hAnsi="宋体"/>
          <w:szCs w:val="21"/>
        </w:rPr>
        <w:t>3.中标人应加强送货人员的管理，提高服务水平，如因中标人送货人员为主要原因，与采购人工作人员或其他供应商工作人员产生争吵、斗殴，中标人负责由此造成对方人员的人身伤害、误工及精神损失等赔偿，涉事人员一并移交执法部门，并消除上述事件给采购人带来的社会负面影响，同时，本合同自动终止。</w:t>
      </w:r>
    </w:p>
    <w:p w14:paraId="6A79BD6C">
      <w:pPr>
        <w:pStyle w:val="2"/>
        <w:ind w:firstLine="420" w:firstLineChars="200"/>
        <w:rPr>
          <w:rFonts w:hint="eastAsia" w:ascii="宋体" w:hAnsi="宋体" w:cs="Times New Roman"/>
          <w:bCs w:val="0"/>
          <w:szCs w:val="21"/>
        </w:rPr>
      </w:pPr>
      <w:r>
        <w:rPr>
          <w:rFonts w:hint="eastAsia" w:ascii="宋体" w:hAnsi="宋体" w:cs="Times New Roman"/>
          <w:bCs w:val="0"/>
          <w:szCs w:val="21"/>
        </w:rPr>
        <w:t>4.中标人须根据采购人要求落实相关扶贫文件精神。</w:t>
      </w:r>
    </w:p>
    <w:p w14:paraId="5B64CDCC">
      <w:pPr>
        <w:pStyle w:val="10"/>
        <w:spacing w:after="60" w:line="360" w:lineRule="auto"/>
        <w:ind w:left="851" w:firstLine="0" w:firstLineChars="0"/>
        <w:rPr>
          <w:rFonts w:hint="eastAsia" w:ascii="宋体" w:hAnsi="宋体"/>
          <w:bCs/>
          <w:szCs w:val="21"/>
        </w:rPr>
      </w:pPr>
    </w:p>
    <w:p w14:paraId="7534953F">
      <w:pPr>
        <w:spacing w:after="60" w:line="360" w:lineRule="auto"/>
        <w:jc w:val="center"/>
        <w:rPr>
          <w:b/>
          <w:color w:val="FF0000"/>
          <w:sz w:val="28"/>
          <w:szCs w:val="28"/>
        </w:rPr>
      </w:pPr>
      <w:r>
        <w:rPr>
          <w:rFonts w:hint="eastAsia"/>
          <w:b/>
          <w:color w:val="FF0000"/>
          <w:sz w:val="28"/>
          <w:szCs w:val="28"/>
        </w:rPr>
        <w:t>（技术要求部分）</w:t>
      </w:r>
    </w:p>
    <w:p w14:paraId="7D4E9396">
      <w:pPr>
        <w:pStyle w:val="2"/>
        <w:ind w:firstLine="422" w:firstLineChars="200"/>
        <w:rPr>
          <w:rFonts w:hint="eastAsia" w:cs="仿宋_GB2312" w:asciiTheme="minorEastAsia" w:hAnsiTheme="minorEastAsia" w:eastAsiaTheme="minorEastAsia"/>
          <w:b/>
          <w:bCs w:val="0"/>
          <w:szCs w:val="21"/>
        </w:rPr>
      </w:pPr>
      <w:r>
        <w:rPr>
          <w:rFonts w:hint="eastAsia" w:cs="仿宋_GB2312" w:asciiTheme="minorEastAsia" w:hAnsiTheme="minorEastAsia" w:eastAsiaTheme="minorEastAsia"/>
          <w:b/>
          <w:bCs w:val="0"/>
          <w:szCs w:val="21"/>
        </w:rPr>
        <w:t>1、服务范围与内容：</w:t>
      </w:r>
    </w:p>
    <w:p w14:paraId="4A80CB84">
      <w:pPr>
        <w:spacing w:afterLines="0" w:line="360" w:lineRule="auto"/>
        <w:ind w:firstLine="420" w:firstLineChars="200"/>
        <w:rPr>
          <w:rFonts w:hint="eastAsia" w:ascii="宋体" w:hAnsi="宋体"/>
          <w:bCs/>
          <w:szCs w:val="21"/>
        </w:rPr>
      </w:pPr>
      <w:r>
        <w:rPr>
          <w:rFonts w:hint="eastAsia" w:ascii="宋体" w:hAnsi="宋体"/>
          <w:bCs/>
          <w:szCs w:val="21"/>
        </w:rPr>
        <w:t>（一）食材品类</w:t>
      </w:r>
    </w:p>
    <w:p w14:paraId="4A0C61B1">
      <w:pPr>
        <w:spacing w:afterLines="0" w:line="360" w:lineRule="auto"/>
        <w:ind w:firstLine="420" w:firstLineChars="200"/>
        <w:rPr>
          <w:rFonts w:hint="eastAsia" w:ascii="宋体" w:hAnsi="宋体"/>
          <w:bCs/>
          <w:szCs w:val="21"/>
        </w:rPr>
      </w:pPr>
      <w:r>
        <w:rPr>
          <w:rFonts w:hint="eastAsia" w:ascii="宋体" w:hAnsi="宋体"/>
          <w:bCs/>
          <w:szCs w:val="21"/>
        </w:rPr>
        <w:t>1.生鲜类：肉类（猪、牛、羊、禽类）、水产（鱼、虾、贝类）、蛋类、乳制品等；</w:t>
      </w:r>
    </w:p>
    <w:p w14:paraId="580C9BDD">
      <w:pPr>
        <w:spacing w:afterLines="0" w:line="360" w:lineRule="auto"/>
        <w:ind w:firstLine="420" w:firstLineChars="200"/>
        <w:rPr>
          <w:rFonts w:hint="eastAsia" w:ascii="宋体" w:hAnsi="宋体"/>
          <w:bCs/>
          <w:szCs w:val="21"/>
        </w:rPr>
      </w:pPr>
      <w:r>
        <w:rPr>
          <w:rFonts w:hint="eastAsia" w:ascii="宋体" w:hAnsi="宋体"/>
          <w:bCs/>
          <w:szCs w:val="21"/>
        </w:rPr>
        <w:t>2.蔬菜类：叶菜、根茎类、菌菇类、豆制品等；</w:t>
      </w:r>
    </w:p>
    <w:p w14:paraId="76C461F2">
      <w:pPr>
        <w:spacing w:afterLines="0" w:line="360" w:lineRule="auto"/>
        <w:ind w:firstLine="420" w:firstLineChars="200"/>
        <w:rPr>
          <w:rFonts w:hint="eastAsia" w:ascii="宋体" w:hAnsi="宋体"/>
          <w:bCs/>
          <w:szCs w:val="21"/>
        </w:rPr>
      </w:pPr>
      <w:r>
        <w:rPr>
          <w:rFonts w:hint="eastAsia" w:ascii="宋体" w:hAnsi="宋体"/>
          <w:bCs/>
          <w:szCs w:val="21"/>
        </w:rPr>
        <w:t>3.水果类：当季时令水果；</w:t>
      </w:r>
    </w:p>
    <w:p w14:paraId="66EE79FF">
      <w:pPr>
        <w:spacing w:afterLines="0" w:line="360" w:lineRule="auto"/>
        <w:ind w:firstLine="420" w:firstLineChars="200"/>
        <w:rPr>
          <w:rFonts w:hint="eastAsia" w:ascii="宋体" w:hAnsi="宋体"/>
          <w:bCs/>
          <w:szCs w:val="21"/>
        </w:rPr>
      </w:pPr>
      <w:r>
        <w:rPr>
          <w:rFonts w:hint="eastAsia" w:ascii="宋体" w:hAnsi="宋体"/>
          <w:bCs/>
          <w:szCs w:val="21"/>
        </w:rPr>
        <w:t>4.粮油干货：大米、面粉、食用油、调味料、干货（木耳、香菇等）；</w:t>
      </w:r>
    </w:p>
    <w:p w14:paraId="65CB19DB">
      <w:pPr>
        <w:spacing w:afterLines="0" w:line="360" w:lineRule="auto"/>
        <w:ind w:firstLine="420" w:firstLineChars="200"/>
        <w:rPr>
          <w:rFonts w:hint="eastAsia" w:ascii="宋体" w:hAnsi="宋体"/>
          <w:bCs/>
          <w:szCs w:val="21"/>
        </w:rPr>
      </w:pPr>
      <w:r>
        <w:rPr>
          <w:rFonts w:hint="eastAsia" w:ascii="宋体" w:hAnsi="宋体"/>
          <w:bCs/>
          <w:szCs w:val="21"/>
        </w:rPr>
        <w:t>5.其他：冷冻食品、半成品食材。</w:t>
      </w:r>
    </w:p>
    <w:p w14:paraId="3BABC7D1">
      <w:pPr>
        <w:spacing w:afterLines="0" w:line="360" w:lineRule="auto"/>
        <w:ind w:firstLine="420" w:firstLineChars="200"/>
        <w:rPr>
          <w:rFonts w:hint="eastAsia" w:ascii="宋体" w:hAnsi="宋体"/>
          <w:bCs/>
          <w:szCs w:val="21"/>
        </w:rPr>
      </w:pPr>
      <w:r>
        <w:rPr>
          <w:rFonts w:hint="eastAsia" w:ascii="宋体" w:hAnsi="宋体"/>
          <w:bCs/>
          <w:szCs w:val="21"/>
        </w:rPr>
        <w:t>（二）配送地点</w:t>
      </w:r>
    </w:p>
    <w:p w14:paraId="481D6DEC">
      <w:pPr>
        <w:spacing w:afterLines="0" w:line="360" w:lineRule="auto"/>
        <w:ind w:firstLine="420" w:firstLineChars="200"/>
        <w:rPr>
          <w:rFonts w:hint="eastAsia" w:ascii="宋体" w:hAnsi="宋体"/>
          <w:bCs/>
          <w:szCs w:val="21"/>
        </w:rPr>
      </w:pPr>
      <w:r>
        <w:rPr>
          <w:rFonts w:hint="eastAsia" w:ascii="宋体" w:hAnsi="宋体"/>
          <w:bCs/>
          <w:szCs w:val="21"/>
        </w:rPr>
        <w:t>公司培训基地食堂（地址：深圳市宝安区宝石路培训基地）。</w:t>
      </w:r>
    </w:p>
    <w:p w14:paraId="2C0EDE23">
      <w:pPr>
        <w:spacing w:afterLines="0" w:line="360" w:lineRule="auto"/>
        <w:ind w:firstLine="420" w:firstLineChars="200"/>
        <w:rPr>
          <w:rFonts w:hint="eastAsia" w:ascii="宋体" w:hAnsi="宋体"/>
          <w:bCs/>
          <w:szCs w:val="21"/>
        </w:rPr>
      </w:pPr>
      <w:r>
        <w:rPr>
          <w:rFonts w:hint="eastAsia" w:ascii="宋体" w:hAnsi="宋体"/>
          <w:bCs/>
          <w:szCs w:val="21"/>
        </w:rPr>
        <w:t>（三）服务内容</w:t>
      </w:r>
    </w:p>
    <w:p w14:paraId="516CB1AA">
      <w:pPr>
        <w:spacing w:afterLines="0" w:line="360" w:lineRule="auto"/>
        <w:ind w:firstLine="420" w:firstLineChars="200"/>
        <w:rPr>
          <w:rFonts w:hint="eastAsia" w:ascii="宋体" w:hAnsi="宋体"/>
          <w:bCs/>
          <w:szCs w:val="21"/>
        </w:rPr>
      </w:pPr>
      <w:r>
        <w:rPr>
          <w:rFonts w:hint="eastAsia" w:ascii="宋体" w:hAnsi="宋体"/>
          <w:bCs/>
          <w:szCs w:val="21"/>
        </w:rPr>
        <w:t>日常配送：每日上午6点配送至指定地点；</w:t>
      </w:r>
    </w:p>
    <w:p w14:paraId="51E8B580">
      <w:pPr>
        <w:spacing w:afterLines="0" w:line="360" w:lineRule="auto"/>
        <w:ind w:firstLine="420" w:firstLineChars="200"/>
        <w:rPr>
          <w:rFonts w:hint="eastAsia" w:ascii="宋体" w:hAnsi="宋体"/>
          <w:bCs/>
          <w:szCs w:val="21"/>
        </w:rPr>
      </w:pPr>
      <w:r>
        <w:rPr>
          <w:rFonts w:hint="eastAsia" w:ascii="宋体" w:hAnsi="宋体"/>
          <w:bCs/>
          <w:szCs w:val="21"/>
        </w:rPr>
        <w:t>临时加单：支持24小时内紧急订单响应；</w:t>
      </w:r>
    </w:p>
    <w:p w14:paraId="6787DB2B">
      <w:pPr>
        <w:spacing w:afterLines="0" w:line="360" w:lineRule="auto"/>
        <w:ind w:firstLine="420" w:firstLineChars="200"/>
        <w:rPr>
          <w:rFonts w:hint="eastAsia" w:ascii="宋体" w:hAnsi="宋体"/>
          <w:bCs/>
          <w:szCs w:val="21"/>
        </w:rPr>
      </w:pPr>
      <w:r>
        <w:rPr>
          <w:rFonts w:hint="eastAsia" w:ascii="宋体" w:hAnsi="宋体"/>
          <w:bCs/>
          <w:szCs w:val="21"/>
        </w:rPr>
        <w:t>退换货服务：对质量问题食材提供无条件退换；</w:t>
      </w:r>
    </w:p>
    <w:p w14:paraId="61F0017F">
      <w:pPr>
        <w:spacing w:afterLines="0" w:line="360" w:lineRule="auto"/>
        <w:ind w:firstLine="420" w:firstLineChars="200"/>
        <w:rPr>
          <w:rFonts w:hint="eastAsia" w:ascii="宋体" w:hAnsi="宋体"/>
          <w:bCs/>
          <w:szCs w:val="21"/>
        </w:rPr>
      </w:pPr>
      <w:r>
        <w:rPr>
          <w:rFonts w:hint="eastAsia" w:ascii="宋体" w:hAnsi="宋体"/>
          <w:bCs/>
          <w:szCs w:val="21"/>
        </w:rPr>
        <w:t>配送地点：宝安区宝石路培训基地食堂；</w:t>
      </w:r>
    </w:p>
    <w:p w14:paraId="4F764F29">
      <w:pPr>
        <w:spacing w:afterLines="0" w:line="360" w:lineRule="auto"/>
        <w:ind w:firstLine="420" w:firstLineChars="200"/>
        <w:jc w:val="left"/>
        <w:rPr>
          <w:rFonts w:hint="eastAsia" w:ascii="宋体" w:hAnsi="宋体"/>
          <w:bCs/>
          <w:szCs w:val="21"/>
        </w:rPr>
      </w:pPr>
      <w:r>
        <w:rPr>
          <w:rFonts w:hint="eastAsia" w:ascii="宋体" w:hAnsi="宋体"/>
          <w:bCs/>
          <w:szCs w:val="21"/>
        </w:rPr>
        <w:t>配送金额：年度配送金额约450万元（年度配送金额仅供投标人参考，本次招标项目的实际配送金额根据采购人实际需求进行调整，最终以每月的采购需求，按照实际发生金额实报实销）。</w:t>
      </w:r>
    </w:p>
    <w:p w14:paraId="08C7B290">
      <w:pPr>
        <w:pStyle w:val="2"/>
        <w:ind w:firstLine="422" w:firstLineChars="200"/>
        <w:rPr>
          <w:rFonts w:hint="eastAsia" w:cs="仿宋_GB2312" w:asciiTheme="minorEastAsia" w:hAnsiTheme="minorEastAsia" w:eastAsiaTheme="minorEastAsia"/>
          <w:b/>
          <w:bCs w:val="0"/>
          <w:szCs w:val="21"/>
        </w:rPr>
      </w:pPr>
      <w:r>
        <w:rPr>
          <w:rFonts w:hint="eastAsia" w:cs="仿宋_GB2312" w:asciiTheme="minorEastAsia" w:hAnsiTheme="minorEastAsia" w:eastAsiaTheme="minorEastAsia"/>
          <w:b/>
          <w:bCs w:val="0"/>
          <w:szCs w:val="21"/>
        </w:rPr>
        <w:t>2、技术标准、工作质量要求</w:t>
      </w:r>
    </w:p>
    <w:p w14:paraId="7019E98B">
      <w:pPr>
        <w:spacing w:afterLines="0" w:line="360" w:lineRule="auto"/>
        <w:ind w:firstLine="422" w:firstLineChars="200"/>
        <w:jc w:val="left"/>
        <w:rPr>
          <w:rFonts w:hint="eastAsia" w:asciiTheme="minorEastAsia" w:hAnsiTheme="minorEastAsia" w:eastAsiaTheme="minorEastAsia"/>
          <w:b/>
          <w:bCs/>
          <w:szCs w:val="21"/>
        </w:rPr>
      </w:pPr>
      <w:r>
        <w:rPr>
          <w:rFonts w:hint="eastAsia" w:asciiTheme="minorEastAsia" w:hAnsiTheme="minorEastAsia" w:eastAsiaTheme="minorEastAsia"/>
          <w:b/>
          <w:bCs/>
          <w:szCs w:val="21"/>
        </w:rPr>
        <w:t>（一）技术标准</w:t>
      </w:r>
    </w:p>
    <w:p w14:paraId="2D217248">
      <w:p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所有送货产品三证齐全：营业执照、卫生许可证、产品检验报告。所提供的肉类、蔬菜瓜果、粮油等食品均符合《中华人民共和国食品安全法》《动物检疫法》《国家食品卫生标准》和ISO9001质量体系认证标准等相关规定。所供蔬菜必须保证较好的色泽及新鲜度；所供鲜肉必须保证经过肉检（检疫）的当日屠宰的新鲜肉，并使用专门的容器盛装，搬运时不得触地不得用脚踩；所供冷冻类和干货类商品应保持较好的外观，达到相应的等级，且在保质期内；所供水产品必须保证其新鲜度。供应粮油米面需满足产品质量安全、产品标准。</w:t>
      </w:r>
    </w:p>
    <w:p w14:paraId="772A0680">
      <w:p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2.中标供应商应该按照采购单位的要求，建立完整的各类物品追踪溯源体系并提供相关证明材料，需建立专门台账，按深圳市食品进货索证和台账登记要求，按格式如实记录配送给采购单位的各类物品，留存相关检验合格证明、资质证明、营业执照等有效资料，并可追踪溯源，采购单位有权不定期检查。 </w:t>
      </w:r>
    </w:p>
    <w:p w14:paraId="22484E3E">
      <w:p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3.投标人须承诺中标后，定期提供由具备CMA 资质的第三方检测机构出具的以下食材的检测报告（检测报告须印有CMA 标志，每份报告的检测项目均应包含但不限于以下的检测内容）：</w:t>
      </w:r>
    </w:p>
    <w:p w14:paraId="4AEE702C">
      <w:p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（1）大米类：</w:t>
      </w:r>
    </w:p>
    <w:p w14:paraId="3852250C">
      <w:p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检测项目包含但不限于：总汞、无机砷、铅、铬、镉、赭曲霉毒素 A 、黄曲霉毒素 B1 、苯并 [a] 芘、稻瘟灵、甲基嘧啶磷；</w:t>
      </w:r>
    </w:p>
    <w:p w14:paraId="426407C3">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肉类：</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 xml:space="preserve">    检测项目包含但不限于：五氯酚酸钠、磺胺二甲嘧啶、恩诺沙星（以恩诺沙星和环丙沙星之和计）、替米考星、氧氟沙星、挥发性盐基氮、克伦特罗、莱克多巴胺、沙丁胺醇、地塞米松、甲硝唑、利巴韦林；</w:t>
      </w:r>
    </w:p>
    <w:p w14:paraId="128AABD8">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禽类：</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 xml:space="preserve">    检测项目包含但不限于：五氯酚酸钠、磺胺二甲嘧啶、恩诺沙星（以恩诺沙星和环丙沙星之和计）、替米考星、氧氟沙星、甲氧苄啶、呋喃唑酮代谢物、呋喃它酮代谢物、克伦特罗、莱克多巴胺、沙丁胺醇；</w:t>
      </w:r>
    </w:p>
    <w:p w14:paraId="6CEF3570">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水产品类：</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 xml:space="preserve">    检测项目包含但不限于：挥发性盐基氮、铅、镉、无机砷、孔雀石绿（以孔雀石绿和隐色孔雀石绿之和计）、氧氟沙星、呋喃唑酮代谢物、呋喃它酮代谢物、呋喃西林代谢物、呋喃妥因代谢物、五氯酚酸钠（以五氯酚计）；</w:t>
      </w:r>
    </w:p>
    <w:p w14:paraId="2FE1FDD4">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蛋类：</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 xml:space="preserve">    检测项目包含但不限于：铅、五氯硝基苯、狄氏剂、六六六、滴滴涕、四环素、土霉素、金霉素、硫丹；</w:t>
      </w:r>
    </w:p>
    <w:p w14:paraId="0BD3767A">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蔬菜类：</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 xml:space="preserve">    检测项目包含但不限于：敌敌畏、倍硫磷、滴滴涕、六六六、铅、镉、总砷、总汞、甲胺磷、氧乐果、克百威、水胺硫磷、阿维菌素。</w:t>
      </w:r>
    </w:p>
    <w:p w14:paraId="4A74CC3C">
      <w:pPr>
        <w:spacing w:afterLines="0" w:line="360" w:lineRule="auto"/>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（二）工作质量</w:t>
      </w:r>
    </w:p>
    <w:p w14:paraId="7DCBF030">
      <w:pPr>
        <w:spacing w:afterLines="0"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1.数量要求：</w:t>
      </w:r>
    </w:p>
    <w:p w14:paraId="13CA4BD7">
      <w:p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中标人和采购人工作人员在食品数量验收方面必须严格要求，不得弄虚作假，必须保证配送食材斤两的准确性，以采购人的验收数量为准，供货方每次随货送上一式两份的送货清单，供双方验货后签字确认，双方各持一份，作为送、收货的凭证。</w:t>
      </w:r>
    </w:p>
    <w:p w14:paraId="52CC27E2">
      <w:pPr>
        <w:spacing w:afterLines="0"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2.送货要求：</w:t>
      </w:r>
    </w:p>
    <w:p w14:paraId="7D22EC74">
      <w:pPr>
        <w:spacing w:afterLines="0"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（1）采购人于每日17:00前提交次日的申购订单。</w:t>
      </w:r>
    </w:p>
    <w:p w14:paraId="3FD618CC">
      <w:pPr>
        <w:spacing w:afterLines="0"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（2）一般为当地上午6:00前将采购所订的货物送至采购人指定地点。如使用方验收不满意，中标人必须于1小时内重新送货上门。中标人如送货迟到超过30分钟以上达到三次的，采购人可申请解除其供货合同。</w:t>
      </w:r>
    </w:p>
    <w:p w14:paraId="1382314A">
      <w:pPr>
        <w:spacing w:afterLines="0"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（3）对于采购人临时有培训任务或临时增加员工用餐时，中标人需在约定时间内将货物送到采购人的指定地点，派专人负责跟踪服务，保证用餐正常。</w:t>
      </w:r>
    </w:p>
    <w:p w14:paraId="04A99BEF">
      <w:pPr>
        <w:spacing w:afterLines="0"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（4）在配送过程中产生的垃圾等废弃物中标人必须及时打扫干净，并保持配送现场的秩序和卫生。</w:t>
      </w:r>
    </w:p>
    <w:p w14:paraId="79CFCE34">
      <w:p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5）中标人所提供的食品原材料，如果存在以次充好，掺假掺杂，冒牌食品，腐败变质，霉变生虫，混有异物，感官性状异常等问题，中标人无条件包退包换。因不合格产品造成采购人原料不足影响到正常运作，每月出现三次上述问题（含三次，采购人提供证据即可），合同自动终止。</w:t>
      </w:r>
    </w:p>
    <w:p w14:paraId="34268B71">
      <w:pPr>
        <w:spacing w:afterLines="0" w:line="360" w:lineRule="auto"/>
        <w:ind w:firstLine="420" w:firstLineChars="2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3.人员要求</w:t>
      </w:r>
    </w:p>
    <w:p w14:paraId="45C02CEA">
      <w:p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中标人需为服务食堂配备至少1名专职配送人员和1名专职装卸工作人员。专职配送人员主要配合饭堂做好配送食材的粗加工工作。</w:t>
      </w:r>
    </w:p>
    <w:p w14:paraId="7887F60E">
      <w:pPr>
        <w:spacing w:afterLines="0" w:line="360" w:lineRule="auto"/>
        <w:ind w:firstLine="420" w:firstLineChars="2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4.设备要求</w:t>
      </w:r>
    </w:p>
    <w:p w14:paraId="12F76A41">
      <w:p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中标人需为服务食堂提供不低于2台的冷藏车辆，满足采购人订货和补货的配送要求。</w:t>
      </w:r>
    </w:p>
    <w:p w14:paraId="38B3FA22">
      <w:pPr>
        <w:spacing w:afterLines="0" w:line="360" w:lineRule="auto"/>
        <w:ind w:firstLine="420" w:firstLineChars="2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5.考核办法/验收方式</w:t>
      </w:r>
    </w:p>
    <w:p w14:paraId="6B8FBEDE">
      <w:pPr>
        <w:spacing w:afterLines="0" w:line="360" w:lineRule="auto"/>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A.考核小组的设置</w:t>
      </w:r>
    </w:p>
    <w:p w14:paraId="049A46A9">
      <w:pPr>
        <w:autoSpaceDE w:val="0"/>
        <w:autoSpaceDN w:val="0"/>
        <w:adjustRightInd w:val="0"/>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采购方设立单位食堂物资配送供应商考核评价小组，具体负责供应商的考核评价工作。</w:t>
      </w:r>
    </w:p>
    <w:p w14:paraId="2D956630">
      <w:pPr>
        <w:autoSpaceDE w:val="0"/>
        <w:autoSpaceDN w:val="0"/>
        <w:adjustRightInd w:val="0"/>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组长：采购方主要负责人（或负责人）</w:t>
      </w:r>
    </w:p>
    <w:p w14:paraId="577DFA08">
      <w:pPr>
        <w:autoSpaceDE w:val="0"/>
        <w:autoSpaceDN w:val="0"/>
        <w:adjustRightInd w:val="0"/>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组员：采购方食堂管理工作人员2名、厨师代表1名、食堂仓库管理人员1名。</w:t>
      </w:r>
    </w:p>
    <w:p w14:paraId="16EDE066">
      <w:pPr>
        <w:autoSpaceDE w:val="0"/>
        <w:autoSpaceDN w:val="0"/>
        <w:adjustRightInd w:val="0"/>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职责：</w:t>
      </w:r>
    </w:p>
    <w:p w14:paraId="3EC65437">
      <w:pPr>
        <w:autoSpaceDE w:val="0"/>
        <w:autoSpaceDN w:val="0"/>
        <w:adjustRightInd w:val="0"/>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（1）监督供应商的物资配送行为；</w:t>
      </w:r>
    </w:p>
    <w:p w14:paraId="59998D6F">
      <w:pPr>
        <w:autoSpaceDE w:val="0"/>
        <w:autoSpaceDN w:val="0"/>
        <w:adjustRightInd w:val="0"/>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（2）建立供应商考评档案台账；</w:t>
      </w:r>
    </w:p>
    <w:p w14:paraId="72D3B1CA">
      <w:pPr>
        <w:autoSpaceDE w:val="0"/>
        <w:autoSpaceDN w:val="0"/>
        <w:adjustRightInd w:val="0"/>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（3）负责审核、商定供应商考核年度（合同期）考核结果。</w:t>
      </w:r>
    </w:p>
    <w:p w14:paraId="3E5883C0">
      <w:pPr>
        <w:autoSpaceDE w:val="0"/>
        <w:autoSpaceDN w:val="0"/>
        <w:adjustRightInd w:val="0"/>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B.考核内容及评分细则</w:t>
      </w:r>
    </w:p>
    <w:p w14:paraId="64C32FD8">
      <w:pPr>
        <w:autoSpaceDE w:val="0"/>
        <w:autoSpaceDN w:val="0"/>
        <w:adjustRightInd w:val="0"/>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考核内容及评分细则按下表执行：</w:t>
      </w:r>
    </w:p>
    <w:p w14:paraId="2F0F5C2B">
      <w:pPr>
        <w:spacing w:after="120" w:afterLines="0"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优：96-100，良：91-95，中：86-90，差：85（含）以下；</w:t>
      </w:r>
    </w:p>
    <w:p w14:paraId="7B4FAA45">
      <w:pPr>
        <w:spacing w:after="78" w:afterLines="0" w:line="360" w:lineRule="auto"/>
        <w:jc w:val="center"/>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考核内容及评分细则</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031"/>
        <w:gridCol w:w="1057"/>
        <w:gridCol w:w="4475"/>
        <w:gridCol w:w="677"/>
        <w:gridCol w:w="673"/>
      </w:tblGrid>
      <w:tr w14:paraId="1663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Align w:val="center"/>
          </w:tcPr>
          <w:p w14:paraId="3A44124D">
            <w:pPr>
              <w:spacing w:after="78" w:afterLines="0" w:line="360" w:lineRule="auto"/>
              <w:jc w:val="center"/>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序号</w:t>
            </w:r>
          </w:p>
        </w:tc>
        <w:tc>
          <w:tcPr>
            <w:tcW w:w="605" w:type="pct"/>
            <w:vAlign w:val="center"/>
          </w:tcPr>
          <w:p w14:paraId="607EE9EA">
            <w:pPr>
              <w:spacing w:after="78" w:afterLines="0" w:line="360" w:lineRule="auto"/>
              <w:jc w:val="center"/>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类别</w:t>
            </w:r>
          </w:p>
        </w:tc>
        <w:tc>
          <w:tcPr>
            <w:tcW w:w="619" w:type="pct"/>
            <w:vAlign w:val="center"/>
          </w:tcPr>
          <w:p w14:paraId="7FE09CF5">
            <w:pPr>
              <w:spacing w:after="78" w:afterLines="0" w:line="360" w:lineRule="auto"/>
              <w:jc w:val="center"/>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内容</w:t>
            </w:r>
          </w:p>
        </w:tc>
        <w:tc>
          <w:tcPr>
            <w:tcW w:w="2625" w:type="pct"/>
            <w:vAlign w:val="center"/>
          </w:tcPr>
          <w:p w14:paraId="66F252DF">
            <w:pPr>
              <w:spacing w:after="78" w:afterLines="0" w:line="360" w:lineRule="auto"/>
              <w:jc w:val="center"/>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评分细则</w:t>
            </w:r>
          </w:p>
        </w:tc>
        <w:tc>
          <w:tcPr>
            <w:tcW w:w="397" w:type="pct"/>
            <w:vAlign w:val="center"/>
          </w:tcPr>
          <w:p w14:paraId="79621631">
            <w:pPr>
              <w:spacing w:after="78" w:afterLines="0" w:line="360" w:lineRule="auto"/>
              <w:jc w:val="center"/>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分值</w:t>
            </w:r>
          </w:p>
        </w:tc>
        <w:tc>
          <w:tcPr>
            <w:tcW w:w="395" w:type="pct"/>
            <w:vAlign w:val="center"/>
          </w:tcPr>
          <w:p w14:paraId="42FA4632">
            <w:pPr>
              <w:spacing w:after="78" w:afterLines="0" w:line="360" w:lineRule="auto"/>
              <w:jc w:val="center"/>
              <w:rPr>
                <w:rFonts w:hint="eastAsia"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得分</w:t>
            </w:r>
          </w:p>
        </w:tc>
      </w:tr>
      <w:tr w14:paraId="36D3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Align w:val="center"/>
          </w:tcPr>
          <w:p w14:paraId="099689BC">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w:t>
            </w:r>
          </w:p>
        </w:tc>
        <w:tc>
          <w:tcPr>
            <w:tcW w:w="605" w:type="pct"/>
            <w:vAlign w:val="center"/>
          </w:tcPr>
          <w:p w14:paraId="6F2E96D5">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价格方面</w:t>
            </w:r>
          </w:p>
        </w:tc>
        <w:tc>
          <w:tcPr>
            <w:tcW w:w="619" w:type="pct"/>
            <w:vAlign w:val="center"/>
          </w:tcPr>
          <w:p w14:paraId="695D69A7">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价格执行情况</w:t>
            </w:r>
          </w:p>
        </w:tc>
        <w:tc>
          <w:tcPr>
            <w:tcW w:w="2625" w:type="pct"/>
            <w:vAlign w:val="center"/>
          </w:tcPr>
          <w:p w14:paraId="3FAB2AAC">
            <w:pPr>
              <w:autoSpaceDE w:val="0"/>
              <w:autoSpaceDN w:val="0"/>
              <w:adjustRightInd w:val="0"/>
              <w:spacing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是否建立完善的报价机制，依以中农数据</w:t>
            </w:r>
            <w:r>
              <w:rPr>
                <w:rFonts w:hint="eastAsia" w:asciiTheme="minorEastAsia" w:hAnsiTheme="minorEastAsia" w:eastAsiaTheme="minorEastAsia"/>
                <w:szCs w:val="21"/>
              </w:rPr>
              <w:t>（深圳）</w:t>
            </w:r>
            <w:r>
              <w:rPr>
                <w:rFonts w:hint="eastAsia" w:asciiTheme="minorEastAsia" w:hAnsiTheme="minorEastAsia" w:eastAsiaTheme="minorEastAsia"/>
                <w:szCs w:val="21"/>
                <w:lang w:val="zh-CN"/>
              </w:rPr>
              <w:t>普通价上月5日、15日、25日三天平均价为基准价乘以投标报价（即上浮系数）为</w:t>
            </w:r>
            <w:r>
              <w:rPr>
                <w:rFonts w:hint="eastAsia" w:asciiTheme="minorEastAsia" w:hAnsiTheme="minorEastAsia" w:eastAsiaTheme="minorEastAsia"/>
                <w:szCs w:val="21"/>
              </w:rPr>
              <w:t>当月</w:t>
            </w:r>
            <w:r>
              <w:rPr>
                <w:rFonts w:hint="eastAsia" w:asciiTheme="minorEastAsia" w:hAnsiTheme="minorEastAsia" w:eastAsiaTheme="minorEastAsia"/>
                <w:szCs w:val="21"/>
                <w:lang w:val="zh-CN"/>
              </w:rPr>
              <w:t>供货的结算价格，价格确定后当月不做调整（若由于不可抗力或自然灾害或其他原因导致的原材料价格上涨情况，视具体原因酌情处理）。是否存在临时补货物品价格虚高的情况；是否存在对账单价格乱报、错报等的情况；是否存在月度结算对账不及时情况。每发现1次，扣1分，累计最高扣分5分。</w:t>
            </w:r>
          </w:p>
        </w:tc>
        <w:tc>
          <w:tcPr>
            <w:tcW w:w="397" w:type="pct"/>
            <w:vAlign w:val="center"/>
          </w:tcPr>
          <w:p w14:paraId="2490DDC1">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w:t>
            </w:r>
          </w:p>
        </w:tc>
        <w:tc>
          <w:tcPr>
            <w:tcW w:w="395" w:type="pct"/>
            <w:vAlign w:val="center"/>
          </w:tcPr>
          <w:p w14:paraId="649803B6">
            <w:pPr>
              <w:spacing w:after="78" w:afterLines="0" w:line="360" w:lineRule="auto"/>
              <w:jc w:val="center"/>
              <w:rPr>
                <w:rFonts w:hint="eastAsia" w:cs="宋体" w:asciiTheme="minorEastAsia" w:hAnsiTheme="minorEastAsia" w:eastAsiaTheme="minorEastAsia"/>
                <w:szCs w:val="21"/>
                <w:lang w:val="zh-CN"/>
              </w:rPr>
            </w:pPr>
          </w:p>
        </w:tc>
      </w:tr>
      <w:tr w14:paraId="79FB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357" w:type="pct"/>
            <w:vMerge w:val="restart"/>
            <w:vAlign w:val="center"/>
          </w:tcPr>
          <w:p w14:paraId="630C62DA">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w:t>
            </w:r>
          </w:p>
        </w:tc>
        <w:tc>
          <w:tcPr>
            <w:tcW w:w="605" w:type="pct"/>
            <w:vMerge w:val="restart"/>
            <w:vAlign w:val="center"/>
          </w:tcPr>
          <w:p w14:paraId="6D3927F3">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质量方面</w:t>
            </w:r>
          </w:p>
        </w:tc>
        <w:tc>
          <w:tcPr>
            <w:tcW w:w="619" w:type="pct"/>
            <w:vAlign w:val="center"/>
          </w:tcPr>
          <w:p w14:paraId="44BE7E8D">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物品质量</w:t>
            </w:r>
          </w:p>
        </w:tc>
        <w:tc>
          <w:tcPr>
            <w:tcW w:w="2625" w:type="pct"/>
            <w:vAlign w:val="center"/>
          </w:tcPr>
          <w:p w14:paraId="5B09C901">
            <w:pPr>
              <w:spacing w:after="78"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配送物品是否存在霉烂、变质、过期、破损等不符合质量要求的情况；是否存在以次充好达不到采购方要求的情况。每发现1次扣3分，累计每月最高扣分15分。</w:t>
            </w:r>
          </w:p>
        </w:tc>
        <w:tc>
          <w:tcPr>
            <w:tcW w:w="397" w:type="pct"/>
            <w:vAlign w:val="center"/>
          </w:tcPr>
          <w:p w14:paraId="217106C7">
            <w:pPr>
              <w:spacing w:after="78" w:afterLines="0" w:line="360"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15</w:t>
            </w:r>
          </w:p>
        </w:tc>
        <w:tc>
          <w:tcPr>
            <w:tcW w:w="395" w:type="pct"/>
            <w:vAlign w:val="center"/>
          </w:tcPr>
          <w:p w14:paraId="081DCADA">
            <w:pPr>
              <w:spacing w:after="78" w:afterLines="0" w:line="360" w:lineRule="auto"/>
              <w:jc w:val="center"/>
              <w:rPr>
                <w:rFonts w:hint="eastAsia" w:cs="宋体" w:asciiTheme="minorEastAsia" w:hAnsiTheme="minorEastAsia" w:eastAsiaTheme="minorEastAsia"/>
                <w:szCs w:val="21"/>
                <w:lang w:val="zh-CN"/>
              </w:rPr>
            </w:pPr>
          </w:p>
        </w:tc>
      </w:tr>
      <w:tr w14:paraId="0CC9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57" w:type="pct"/>
            <w:vMerge w:val="continue"/>
            <w:vAlign w:val="center"/>
          </w:tcPr>
          <w:p w14:paraId="489189E0">
            <w:pPr>
              <w:spacing w:after="78" w:afterLines="0" w:line="360" w:lineRule="auto"/>
              <w:jc w:val="center"/>
              <w:rPr>
                <w:rFonts w:hint="eastAsia" w:cs="宋体" w:asciiTheme="minorEastAsia" w:hAnsiTheme="minorEastAsia" w:eastAsiaTheme="minorEastAsia"/>
                <w:szCs w:val="21"/>
                <w:lang w:val="zh-CN"/>
              </w:rPr>
            </w:pPr>
          </w:p>
        </w:tc>
        <w:tc>
          <w:tcPr>
            <w:tcW w:w="605" w:type="pct"/>
            <w:vMerge w:val="continue"/>
            <w:vAlign w:val="center"/>
          </w:tcPr>
          <w:p w14:paraId="126324FA">
            <w:pPr>
              <w:spacing w:after="78" w:afterLines="0" w:line="360" w:lineRule="auto"/>
              <w:jc w:val="center"/>
              <w:rPr>
                <w:rFonts w:hint="eastAsia" w:cs="宋体" w:asciiTheme="minorEastAsia" w:hAnsiTheme="minorEastAsia" w:eastAsiaTheme="minorEastAsia"/>
                <w:szCs w:val="21"/>
                <w:lang w:val="zh-CN"/>
              </w:rPr>
            </w:pPr>
          </w:p>
        </w:tc>
        <w:tc>
          <w:tcPr>
            <w:tcW w:w="619" w:type="pct"/>
            <w:vAlign w:val="center"/>
          </w:tcPr>
          <w:p w14:paraId="008E530E">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食品检测</w:t>
            </w:r>
          </w:p>
        </w:tc>
        <w:tc>
          <w:tcPr>
            <w:tcW w:w="2625" w:type="pct"/>
            <w:vAlign w:val="center"/>
          </w:tcPr>
          <w:p w14:paraId="6F14F775">
            <w:pPr>
              <w:spacing w:after="78"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采购方对配送物品进行食品安全检测，每发现1项不合格的，直接扣10分。</w:t>
            </w:r>
          </w:p>
        </w:tc>
        <w:tc>
          <w:tcPr>
            <w:tcW w:w="397" w:type="pct"/>
            <w:vAlign w:val="center"/>
          </w:tcPr>
          <w:p w14:paraId="12662644">
            <w:pPr>
              <w:spacing w:after="78" w:afterLines="0" w:line="360"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395" w:type="pct"/>
            <w:vAlign w:val="center"/>
          </w:tcPr>
          <w:p w14:paraId="73D6A6C9">
            <w:pPr>
              <w:spacing w:after="78" w:afterLines="0" w:line="360" w:lineRule="auto"/>
              <w:jc w:val="center"/>
              <w:rPr>
                <w:rFonts w:hint="eastAsia" w:cs="宋体" w:asciiTheme="minorEastAsia" w:hAnsiTheme="minorEastAsia" w:eastAsiaTheme="minorEastAsia"/>
                <w:szCs w:val="21"/>
                <w:lang w:val="zh-CN"/>
              </w:rPr>
            </w:pPr>
          </w:p>
        </w:tc>
      </w:tr>
      <w:tr w14:paraId="7166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7" w:type="pct"/>
            <w:vMerge w:val="continue"/>
            <w:vAlign w:val="center"/>
          </w:tcPr>
          <w:p w14:paraId="277589C3">
            <w:pPr>
              <w:spacing w:after="78" w:afterLines="0" w:line="360" w:lineRule="auto"/>
              <w:jc w:val="center"/>
              <w:rPr>
                <w:rFonts w:hint="eastAsia" w:cs="宋体" w:asciiTheme="minorEastAsia" w:hAnsiTheme="minorEastAsia" w:eastAsiaTheme="minorEastAsia"/>
                <w:szCs w:val="21"/>
                <w:lang w:val="zh-CN"/>
              </w:rPr>
            </w:pPr>
          </w:p>
        </w:tc>
        <w:tc>
          <w:tcPr>
            <w:tcW w:w="605" w:type="pct"/>
            <w:vMerge w:val="continue"/>
            <w:vAlign w:val="center"/>
          </w:tcPr>
          <w:p w14:paraId="6332C76B">
            <w:pPr>
              <w:spacing w:after="78" w:afterLines="0" w:line="360" w:lineRule="auto"/>
              <w:jc w:val="center"/>
              <w:rPr>
                <w:rFonts w:hint="eastAsia" w:cs="宋体" w:asciiTheme="minorEastAsia" w:hAnsiTheme="minorEastAsia" w:eastAsiaTheme="minorEastAsia"/>
                <w:szCs w:val="21"/>
                <w:lang w:val="zh-CN"/>
              </w:rPr>
            </w:pPr>
          </w:p>
        </w:tc>
        <w:tc>
          <w:tcPr>
            <w:tcW w:w="619" w:type="pct"/>
            <w:vAlign w:val="center"/>
          </w:tcPr>
          <w:p w14:paraId="2E193BF3">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索证制度</w:t>
            </w:r>
          </w:p>
        </w:tc>
        <w:tc>
          <w:tcPr>
            <w:tcW w:w="2625" w:type="pct"/>
            <w:vAlign w:val="center"/>
          </w:tcPr>
          <w:p w14:paraId="191D9838">
            <w:pPr>
              <w:spacing w:after="78"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是否建立相应的追踪溯源体系，专门台账档案；是否有清晰的货物来源或产地；是否及时提供相关的票、据、证等材料。每发现1次扣2分，累计每月最高扣分5分。</w:t>
            </w:r>
          </w:p>
        </w:tc>
        <w:tc>
          <w:tcPr>
            <w:tcW w:w="397" w:type="pct"/>
            <w:vAlign w:val="center"/>
          </w:tcPr>
          <w:p w14:paraId="1F656600">
            <w:pPr>
              <w:spacing w:after="78" w:afterLines="0" w:line="360"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395" w:type="pct"/>
            <w:vAlign w:val="center"/>
          </w:tcPr>
          <w:p w14:paraId="1006D6AF">
            <w:pPr>
              <w:spacing w:after="78" w:afterLines="0" w:line="360" w:lineRule="auto"/>
              <w:jc w:val="center"/>
              <w:rPr>
                <w:rFonts w:hint="eastAsia" w:cs="宋体" w:asciiTheme="minorEastAsia" w:hAnsiTheme="minorEastAsia" w:eastAsiaTheme="minorEastAsia"/>
                <w:szCs w:val="21"/>
                <w:lang w:val="zh-CN"/>
              </w:rPr>
            </w:pPr>
          </w:p>
        </w:tc>
      </w:tr>
      <w:tr w14:paraId="2DA5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Align w:val="center"/>
          </w:tcPr>
          <w:p w14:paraId="0BD696B9">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3</w:t>
            </w:r>
          </w:p>
        </w:tc>
        <w:tc>
          <w:tcPr>
            <w:tcW w:w="605" w:type="pct"/>
            <w:vAlign w:val="center"/>
          </w:tcPr>
          <w:p w14:paraId="4260FC5E">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数量方面</w:t>
            </w:r>
          </w:p>
        </w:tc>
        <w:tc>
          <w:tcPr>
            <w:tcW w:w="619" w:type="pct"/>
            <w:vAlign w:val="center"/>
          </w:tcPr>
          <w:p w14:paraId="1DBE6EBA">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物品数量</w:t>
            </w:r>
          </w:p>
        </w:tc>
        <w:tc>
          <w:tcPr>
            <w:tcW w:w="2625" w:type="pct"/>
            <w:vAlign w:val="center"/>
          </w:tcPr>
          <w:p w14:paraId="2DAAA179">
            <w:pPr>
              <w:spacing w:after="78"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是否存在缺斤少两的情况；是否按照采购方订单品种和数量进行配送物品。与订单数量相差10%，扣2分；相差20%，扣5分；相差30%，扣10分；与订单品种每相差1个，扣1分；累计每月最高扣分10分。</w:t>
            </w:r>
          </w:p>
        </w:tc>
        <w:tc>
          <w:tcPr>
            <w:tcW w:w="397" w:type="pct"/>
            <w:vAlign w:val="center"/>
          </w:tcPr>
          <w:p w14:paraId="060178E0">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10</w:t>
            </w:r>
          </w:p>
        </w:tc>
        <w:tc>
          <w:tcPr>
            <w:tcW w:w="395" w:type="pct"/>
            <w:vAlign w:val="center"/>
          </w:tcPr>
          <w:p w14:paraId="0186DBA8">
            <w:pPr>
              <w:spacing w:after="78" w:afterLines="0" w:line="360" w:lineRule="auto"/>
              <w:jc w:val="center"/>
              <w:rPr>
                <w:rFonts w:hint="eastAsia" w:cs="宋体" w:asciiTheme="minorEastAsia" w:hAnsiTheme="minorEastAsia" w:eastAsiaTheme="minorEastAsia"/>
                <w:szCs w:val="21"/>
                <w:lang w:val="zh-CN"/>
              </w:rPr>
            </w:pPr>
          </w:p>
        </w:tc>
      </w:tr>
      <w:tr w14:paraId="3C2F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14:paraId="3E0447CA">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w:t>
            </w:r>
          </w:p>
        </w:tc>
        <w:tc>
          <w:tcPr>
            <w:tcW w:w="605" w:type="pct"/>
            <w:vMerge w:val="restart"/>
            <w:vAlign w:val="center"/>
          </w:tcPr>
          <w:p w14:paraId="4542E41D">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时间方面</w:t>
            </w:r>
          </w:p>
        </w:tc>
        <w:tc>
          <w:tcPr>
            <w:tcW w:w="619" w:type="pct"/>
            <w:vAlign w:val="center"/>
          </w:tcPr>
          <w:p w14:paraId="323618E2">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配送及时性</w:t>
            </w:r>
          </w:p>
        </w:tc>
        <w:tc>
          <w:tcPr>
            <w:tcW w:w="2625" w:type="pct"/>
            <w:vAlign w:val="center"/>
          </w:tcPr>
          <w:p w14:paraId="6065629A">
            <w:pPr>
              <w:spacing w:after="78"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迟于合同规定时间配送的，每迟到10分钟扣2分，累计每月最高扣分10分。</w:t>
            </w:r>
          </w:p>
        </w:tc>
        <w:tc>
          <w:tcPr>
            <w:tcW w:w="397" w:type="pct"/>
            <w:vAlign w:val="center"/>
          </w:tcPr>
          <w:p w14:paraId="2C84993E">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zh-CN"/>
              </w:rPr>
              <w:t>0</w:t>
            </w:r>
          </w:p>
        </w:tc>
        <w:tc>
          <w:tcPr>
            <w:tcW w:w="395" w:type="pct"/>
            <w:vAlign w:val="center"/>
          </w:tcPr>
          <w:p w14:paraId="75F7BD8E">
            <w:pPr>
              <w:spacing w:after="78" w:afterLines="0" w:line="360" w:lineRule="auto"/>
              <w:jc w:val="center"/>
              <w:rPr>
                <w:rFonts w:hint="eastAsia" w:cs="宋体" w:asciiTheme="minorEastAsia" w:hAnsiTheme="minorEastAsia" w:eastAsiaTheme="minorEastAsia"/>
                <w:szCs w:val="21"/>
                <w:lang w:val="zh-CN"/>
              </w:rPr>
            </w:pPr>
          </w:p>
        </w:tc>
      </w:tr>
      <w:tr w14:paraId="2210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15F8E9EC">
            <w:pPr>
              <w:spacing w:after="78" w:afterLines="0" w:line="360" w:lineRule="auto"/>
              <w:jc w:val="center"/>
              <w:rPr>
                <w:rFonts w:hint="eastAsia" w:cs="宋体" w:asciiTheme="minorEastAsia" w:hAnsiTheme="minorEastAsia" w:eastAsiaTheme="minorEastAsia"/>
                <w:szCs w:val="21"/>
                <w:lang w:val="zh-CN"/>
              </w:rPr>
            </w:pPr>
          </w:p>
        </w:tc>
        <w:tc>
          <w:tcPr>
            <w:tcW w:w="605" w:type="pct"/>
            <w:vMerge w:val="continue"/>
            <w:vAlign w:val="center"/>
          </w:tcPr>
          <w:p w14:paraId="0932CD84">
            <w:pPr>
              <w:spacing w:after="78" w:afterLines="0" w:line="360" w:lineRule="auto"/>
              <w:jc w:val="center"/>
              <w:rPr>
                <w:rFonts w:hint="eastAsia" w:cs="宋体" w:asciiTheme="minorEastAsia" w:hAnsiTheme="minorEastAsia" w:eastAsiaTheme="minorEastAsia"/>
                <w:szCs w:val="21"/>
                <w:lang w:val="zh-CN"/>
              </w:rPr>
            </w:pPr>
          </w:p>
        </w:tc>
        <w:tc>
          <w:tcPr>
            <w:tcW w:w="619" w:type="pct"/>
            <w:vAlign w:val="center"/>
          </w:tcPr>
          <w:p w14:paraId="7D02FF11">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应急响应时间</w:t>
            </w:r>
          </w:p>
        </w:tc>
        <w:tc>
          <w:tcPr>
            <w:tcW w:w="2625" w:type="pct"/>
            <w:vAlign w:val="center"/>
          </w:tcPr>
          <w:p w14:paraId="77001F44">
            <w:pPr>
              <w:spacing w:after="78"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是否按照采购方的要求，以最快的速度，按照招标时的承诺进行应急处理。发现1次扣3分，累计每月最高扣分10分。</w:t>
            </w:r>
          </w:p>
        </w:tc>
        <w:tc>
          <w:tcPr>
            <w:tcW w:w="397" w:type="pct"/>
            <w:vAlign w:val="center"/>
          </w:tcPr>
          <w:p w14:paraId="5ABC69B7">
            <w:pPr>
              <w:spacing w:after="78" w:afterLines="0" w:line="360"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395" w:type="pct"/>
            <w:vAlign w:val="center"/>
          </w:tcPr>
          <w:p w14:paraId="09306E9F">
            <w:pPr>
              <w:spacing w:after="78" w:afterLines="0" w:line="360" w:lineRule="auto"/>
              <w:jc w:val="center"/>
              <w:rPr>
                <w:rFonts w:hint="eastAsia" w:cs="宋体" w:asciiTheme="minorEastAsia" w:hAnsiTheme="minorEastAsia" w:eastAsiaTheme="minorEastAsia"/>
                <w:szCs w:val="21"/>
                <w:lang w:val="zh-CN"/>
              </w:rPr>
            </w:pPr>
          </w:p>
        </w:tc>
      </w:tr>
      <w:tr w14:paraId="00F7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14:paraId="6C5C8D72">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w:t>
            </w:r>
          </w:p>
        </w:tc>
        <w:tc>
          <w:tcPr>
            <w:tcW w:w="605" w:type="pct"/>
            <w:vMerge w:val="restart"/>
            <w:vAlign w:val="center"/>
          </w:tcPr>
          <w:p w14:paraId="35AB2D20">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卫生方面</w:t>
            </w:r>
          </w:p>
        </w:tc>
        <w:tc>
          <w:tcPr>
            <w:tcW w:w="619" w:type="pct"/>
            <w:vAlign w:val="center"/>
          </w:tcPr>
          <w:p w14:paraId="02EEEEE2">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配送人员</w:t>
            </w:r>
          </w:p>
        </w:tc>
        <w:tc>
          <w:tcPr>
            <w:tcW w:w="2625" w:type="pct"/>
            <w:vAlign w:val="center"/>
          </w:tcPr>
          <w:p w14:paraId="234F07CE">
            <w:pPr>
              <w:spacing w:after="78"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是否有健康证，是否统一穿工服，是否存在盗取货物等情况，每发现1次扣2分，累计每月最高扣分5分。</w:t>
            </w:r>
          </w:p>
        </w:tc>
        <w:tc>
          <w:tcPr>
            <w:tcW w:w="397" w:type="pct"/>
            <w:vAlign w:val="center"/>
          </w:tcPr>
          <w:p w14:paraId="29EB2A0E">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w:t>
            </w:r>
          </w:p>
        </w:tc>
        <w:tc>
          <w:tcPr>
            <w:tcW w:w="395" w:type="pct"/>
            <w:vAlign w:val="center"/>
          </w:tcPr>
          <w:p w14:paraId="3DB918C1">
            <w:pPr>
              <w:spacing w:after="78" w:afterLines="0" w:line="360" w:lineRule="auto"/>
              <w:jc w:val="center"/>
              <w:rPr>
                <w:rFonts w:hint="eastAsia" w:cs="宋体" w:asciiTheme="minorEastAsia" w:hAnsiTheme="minorEastAsia" w:eastAsiaTheme="minorEastAsia"/>
                <w:szCs w:val="21"/>
                <w:lang w:val="zh-CN"/>
              </w:rPr>
            </w:pPr>
          </w:p>
        </w:tc>
      </w:tr>
      <w:tr w14:paraId="4E93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2EB98D11">
            <w:pPr>
              <w:spacing w:after="78" w:afterLines="0" w:line="360" w:lineRule="auto"/>
              <w:jc w:val="center"/>
              <w:rPr>
                <w:rFonts w:hint="eastAsia" w:cs="宋体" w:asciiTheme="minorEastAsia" w:hAnsiTheme="minorEastAsia" w:eastAsiaTheme="minorEastAsia"/>
                <w:szCs w:val="21"/>
                <w:lang w:val="zh-CN"/>
              </w:rPr>
            </w:pPr>
          </w:p>
        </w:tc>
        <w:tc>
          <w:tcPr>
            <w:tcW w:w="605" w:type="pct"/>
            <w:vMerge w:val="continue"/>
            <w:vAlign w:val="center"/>
          </w:tcPr>
          <w:p w14:paraId="1F659FFE">
            <w:pPr>
              <w:spacing w:after="78" w:afterLines="0" w:line="360" w:lineRule="auto"/>
              <w:jc w:val="center"/>
              <w:rPr>
                <w:rFonts w:hint="eastAsia" w:cs="宋体" w:asciiTheme="minorEastAsia" w:hAnsiTheme="minorEastAsia" w:eastAsiaTheme="minorEastAsia"/>
                <w:szCs w:val="21"/>
                <w:lang w:val="zh-CN"/>
              </w:rPr>
            </w:pPr>
          </w:p>
        </w:tc>
        <w:tc>
          <w:tcPr>
            <w:tcW w:w="619" w:type="pct"/>
            <w:vAlign w:val="center"/>
          </w:tcPr>
          <w:p w14:paraId="18B797F3">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初加工</w:t>
            </w:r>
          </w:p>
        </w:tc>
        <w:tc>
          <w:tcPr>
            <w:tcW w:w="2625" w:type="pct"/>
            <w:vAlign w:val="center"/>
          </w:tcPr>
          <w:p w14:paraId="564CF7BE">
            <w:pPr>
              <w:spacing w:after="78"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是否有健康证，是否严格按照《国家食品卫生标准》和《食品卫生法》等相关规定，对食品进行卫生安全初加工；是否初加工完成后将加工场所垃圾清理干净。每发现1次扣2分，累计每月最高扣分10分。</w:t>
            </w:r>
          </w:p>
        </w:tc>
        <w:tc>
          <w:tcPr>
            <w:tcW w:w="397" w:type="pct"/>
            <w:vAlign w:val="center"/>
          </w:tcPr>
          <w:p w14:paraId="61C90787">
            <w:pPr>
              <w:spacing w:after="78" w:afterLines="0" w:line="360"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395" w:type="pct"/>
            <w:vAlign w:val="center"/>
          </w:tcPr>
          <w:p w14:paraId="7832C3EB">
            <w:pPr>
              <w:spacing w:after="78" w:afterLines="0" w:line="360" w:lineRule="auto"/>
              <w:jc w:val="center"/>
              <w:rPr>
                <w:rFonts w:hint="eastAsia" w:cs="宋体" w:asciiTheme="minorEastAsia" w:hAnsiTheme="minorEastAsia" w:eastAsiaTheme="minorEastAsia"/>
                <w:szCs w:val="21"/>
                <w:lang w:val="zh-CN"/>
              </w:rPr>
            </w:pPr>
          </w:p>
        </w:tc>
      </w:tr>
      <w:tr w14:paraId="7F3C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14:paraId="7B88E4CD">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6</w:t>
            </w:r>
          </w:p>
        </w:tc>
        <w:tc>
          <w:tcPr>
            <w:tcW w:w="605" w:type="pct"/>
            <w:vMerge w:val="restart"/>
            <w:vAlign w:val="center"/>
          </w:tcPr>
          <w:p w14:paraId="4DBE7C6A">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态度方面</w:t>
            </w:r>
          </w:p>
        </w:tc>
        <w:tc>
          <w:tcPr>
            <w:tcW w:w="619" w:type="pct"/>
            <w:vAlign w:val="center"/>
          </w:tcPr>
          <w:p w14:paraId="1FB7D6BC">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服务态度</w:t>
            </w:r>
          </w:p>
        </w:tc>
        <w:tc>
          <w:tcPr>
            <w:tcW w:w="2625" w:type="pct"/>
            <w:vAlign w:val="center"/>
          </w:tcPr>
          <w:p w14:paraId="6AB5B72C">
            <w:pPr>
              <w:spacing w:after="78"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供应商服务态度是否良好。每接到1次有效投诉扣5分，累计每月最高扣分10分。</w:t>
            </w:r>
          </w:p>
        </w:tc>
        <w:tc>
          <w:tcPr>
            <w:tcW w:w="397" w:type="pct"/>
            <w:vAlign w:val="center"/>
          </w:tcPr>
          <w:p w14:paraId="5840FAC2">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zh-CN"/>
              </w:rPr>
              <w:t>0</w:t>
            </w:r>
          </w:p>
        </w:tc>
        <w:tc>
          <w:tcPr>
            <w:tcW w:w="395" w:type="pct"/>
            <w:vAlign w:val="center"/>
          </w:tcPr>
          <w:p w14:paraId="4FE0D445">
            <w:pPr>
              <w:spacing w:after="78" w:afterLines="0" w:line="360" w:lineRule="auto"/>
              <w:jc w:val="center"/>
              <w:rPr>
                <w:rFonts w:hint="eastAsia" w:cs="宋体" w:asciiTheme="minorEastAsia" w:hAnsiTheme="minorEastAsia" w:eastAsiaTheme="minorEastAsia"/>
                <w:szCs w:val="21"/>
                <w:lang w:val="zh-CN"/>
              </w:rPr>
            </w:pPr>
          </w:p>
        </w:tc>
      </w:tr>
      <w:tr w14:paraId="373F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14:paraId="43D1F970">
            <w:pPr>
              <w:spacing w:after="78" w:afterLines="0" w:line="360" w:lineRule="auto"/>
              <w:jc w:val="center"/>
              <w:rPr>
                <w:rFonts w:hint="eastAsia" w:cs="宋体" w:asciiTheme="minorEastAsia" w:hAnsiTheme="minorEastAsia" w:eastAsiaTheme="minorEastAsia"/>
                <w:szCs w:val="21"/>
                <w:lang w:val="zh-CN"/>
              </w:rPr>
            </w:pPr>
          </w:p>
        </w:tc>
        <w:tc>
          <w:tcPr>
            <w:tcW w:w="605" w:type="pct"/>
            <w:vMerge w:val="continue"/>
            <w:vAlign w:val="center"/>
          </w:tcPr>
          <w:p w14:paraId="695B06BE">
            <w:pPr>
              <w:spacing w:after="78" w:afterLines="0" w:line="360" w:lineRule="auto"/>
              <w:jc w:val="center"/>
              <w:rPr>
                <w:rFonts w:hint="eastAsia" w:cs="宋体" w:asciiTheme="minorEastAsia" w:hAnsiTheme="minorEastAsia" w:eastAsiaTheme="minorEastAsia"/>
                <w:szCs w:val="21"/>
                <w:lang w:val="zh-CN"/>
              </w:rPr>
            </w:pPr>
          </w:p>
        </w:tc>
        <w:tc>
          <w:tcPr>
            <w:tcW w:w="619" w:type="pct"/>
            <w:vAlign w:val="center"/>
          </w:tcPr>
          <w:p w14:paraId="641E84AF">
            <w:pPr>
              <w:spacing w:after="78" w:afterLines="0" w:line="360" w:lineRule="auto"/>
              <w:jc w:val="center"/>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反馈整改情况</w:t>
            </w:r>
          </w:p>
        </w:tc>
        <w:tc>
          <w:tcPr>
            <w:tcW w:w="2625" w:type="pct"/>
            <w:vAlign w:val="center"/>
          </w:tcPr>
          <w:p w14:paraId="01D5095E">
            <w:pPr>
              <w:spacing w:after="78" w:afterLines="0" w:line="360" w:lineRule="auto"/>
              <w:jc w:val="left"/>
              <w:rPr>
                <w:rFonts w:hint="eastAsia" w:cs="宋体" w:asciiTheme="minorEastAsia" w:hAnsiTheme="minorEastAsia" w:eastAsiaTheme="minorEastAsia"/>
                <w:szCs w:val="21"/>
                <w:lang w:val="zh-CN"/>
              </w:rPr>
            </w:pPr>
            <w:r>
              <w:rPr>
                <w:rFonts w:hint="eastAsia" w:asciiTheme="minorEastAsia" w:hAnsiTheme="minorEastAsia" w:eastAsiaTheme="minorEastAsia"/>
                <w:szCs w:val="21"/>
                <w:lang w:val="zh-CN"/>
              </w:rPr>
              <w:t>是否对采购方的反馈意见进行认真及时地整改，每发现1次扣5分，累计每月最高扣分10分。</w:t>
            </w:r>
          </w:p>
        </w:tc>
        <w:tc>
          <w:tcPr>
            <w:tcW w:w="397" w:type="pct"/>
            <w:vAlign w:val="center"/>
          </w:tcPr>
          <w:p w14:paraId="64D4FBD1">
            <w:pPr>
              <w:spacing w:after="78" w:afterLines="0" w:line="360"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395" w:type="pct"/>
            <w:vAlign w:val="center"/>
          </w:tcPr>
          <w:p w14:paraId="59CD6242">
            <w:pPr>
              <w:spacing w:after="78" w:afterLines="0" w:line="360" w:lineRule="auto"/>
              <w:jc w:val="center"/>
              <w:rPr>
                <w:rFonts w:hint="eastAsia" w:cs="宋体" w:asciiTheme="minorEastAsia" w:hAnsiTheme="minorEastAsia" w:eastAsiaTheme="minorEastAsia"/>
                <w:szCs w:val="21"/>
                <w:lang w:val="zh-CN"/>
              </w:rPr>
            </w:pPr>
          </w:p>
        </w:tc>
      </w:tr>
      <w:tr w14:paraId="0931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pct"/>
            <w:gridSpan w:val="3"/>
            <w:vAlign w:val="center"/>
          </w:tcPr>
          <w:p w14:paraId="17435A21">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总分</w:t>
            </w:r>
          </w:p>
        </w:tc>
        <w:tc>
          <w:tcPr>
            <w:tcW w:w="2625" w:type="pct"/>
            <w:vAlign w:val="center"/>
          </w:tcPr>
          <w:p w14:paraId="0DE57224">
            <w:pPr>
              <w:spacing w:after="78" w:afterLines="0" w:line="360" w:lineRule="auto"/>
              <w:jc w:val="center"/>
              <w:rPr>
                <w:rFonts w:hint="eastAsia" w:cs="宋体" w:asciiTheme="minorEastAsia" w:hAnsiTheme="minorEastAsia" w:eastAsiaTheme="minorEastAsia"/>
                <w:szCs w:val="21"/>
                <w:lang w:val="zh-CN"/>
              </w:rPr>
            </w:pPr>
          </w:p>
        </w:tc>
        <w:tc>
          <w:tcPr>
            <w:tcW w:w="397" w:type="pct"/>
            <w:vAlign w:val="center"/>
          </w:tcPr>
          <w:p w14:paraId="365893DD">
            <w:pPr>
              <w:spacing w:after="78" w:afterLines="0" w:line="360" w:lineRule="auto"/>
              <w:jc w:val="center"/>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100</w:t>
            </w:r>
          </w:p>
        </w:tc>
        <w:tc>
          <w:tcPr>
            <w:tcW w:w="395" w:type="pct"/>
            <w:vAlign w:val="center"/>
          </w:tcPr>
          <w:p w14:paraId="7F2D5561">
            <w:pPr>
              <w:spacing w:after="78" w:afterLines="0" w:line="360" w:lineRule="auto"/>
              <w:jc w:val="center"/>
              <w:rPr>
                <w:rFonts w:hint="eastAsia" w:cs="宋体" w:asciiTheme="minorEastAsia" w:hAnsiTheme="minorEastAsia" w:eastAsiaTheme="minorEastAsia"/>
                <w:szCs w:val="21"/>
                <w:lang w:val="zh-CN"/>
              </w:rPr>
            </w:pPr>
          </w:p>
        </w:tc>
      </w:tr>
    </w:tbl>
    <w:p w14:paraId="48CD1736">
      <w:pPr>
        <w:spacing w:after="78" w:afterLines="0" w:line="360" w:lineRule="auto"/>
        <w:ind w:firstLine="424" w:firstLineChars="202"/>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备注：</w:t>
      </w:r>
    </w:p>
    <w:p w14:paraId="7F005CDD">
      <w:pPr>
        <w:spacing w:after="78" w:afterLines="0" w:line="360" w:lineRule="auto"/>
        <w:ind w:firstLine="424" w:firstLineChars="202"/>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招标人每月末对中标人配送服务进行考核评分，总分100分；总分低于90分（不含90分）的，</w:t>
      </w:r>
      <w:r>
        <w:rPr>
          <w:rFonts w:hint="eastAsia" w:asciiTheme="minorEastAsia" w:hAnsiTheme="minorEastAsia" w:eastAsiaTheme="minorEastAsia"/>
          <w:szCs w:val="21"/>
        </w:rPr>
        <w:t>进行扣减当月配送费</w:t>
      </w:r>
      <w:r>
        <w:rPr>
          <w:rFonts w:hint="eastAsia" w:asciiTheme="minorEastAsia" w:hAnsiTheme="minorEastAsia" w:eastAsiaTheme="minorEastAsia"/>
          <w:szCs w:val="21"/>
          <w:lang w:val="zh-CN"/>
        </w:rPr>
        <w:t>，即：</w:t>
      </w:r>
    </w:p>
    <w:p w14:paraId="4BF779DA">
      <w:pPr>
        <w:spacing w:after="78" w:afterLines="0" w:line="360" w:lineRule="auto"/>
        <w:ind w:firstLine="424" w:firstLineChars="202"/>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90分（不含90分）-85分（含85分）的2000元/次；</w:t>
      </w:r>
    </w:p>
    <w:p w14:paraId="700A8BDD">
      <w:pPr>
        <w:spacing w:after="78" w:afterLines="0" w:line="360" w:lineRule="auto"/>
        <w:ind w:firstLine="424" w:firstLineChars="202"/>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85分（不含85分）-80分（含80分）的3000元/次；</w:t>
      </w:r>
    </w:p>
    <w:p w14:paraId="5FA49E29">
      <w:pPr>
        <w:spacing w:after="78" w:afterLines="0" w:line="360" w:lineRule="auto"/>
        <w:ind w:firstLine="424" w:firstLineChars="202"/>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80分（不含80分）-75分（含75分）的4000元/次；</w:t>
      </w:r>
    </w:p>
    <w:p w14:paraId="495474EB">
      <w:pPr>
        <w:spacing w:after="78" w:afterLines="0" w:line="360" w:lineRule="auto"/>
        <w:ind w:firstLine="424" w:firstLineChars="202"/>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75分（不含75分）-70分（含70分）的5000元/次；</w:t>
      </w:r>
    </w:p>
    <w:p w14:paraId="48163609">
      <w:pPr>
        <w:spacing w:after="78" w:afterLines="0" w:line="360" w:lineRule="auto"/>
        <w:ind w:firstLine="424" w:firstLineChars="202"/>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70分（不含70分）-65分（含65分）的6000元/次；</w:t>
      </w:r>
    </w:p>
    <w:p w14:paraId="1723C8DF">
      <w:pPr>
        <w:spacing w:after="78" w:afterLines="0" w:line="360" w:lineRule="auto"/>
        <w:ind w:firstLine="424" w:firstLineChars="202"/>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65分（不含65分）-60分（含60分）的7000元/次；</w:t>
      </w:r>
    </w:p>
    <w:p w14:paraId="52DDBF12">
      <w:pPr>
        <w:spacing w:after="78" w:afterLines="0" w:line="360" w:lineRule="auto"/>
        <w:ind w:firstLine="424" w:firstLineChars="202"/>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60分（不含60分）以下</w:t>
      </w:r>
      <w:r>
        <w:rPr>
          <w:rFonts w:hint="eastAsia" w:asciiTheme="minorEastAsia" w:hAnsiTheme="minorEastAsia" w:eastAsiaTheme="minorEastAsia"/>
          <w:szCs w:val="21"/>
        </w:rPr>
        <w:t>的10000</w:t>
      </w:r>
      <w:r>
        <w:rPr>
          <w:rFonts w:hint="eastAsia" w:asciiTheme="minorEastAsia" w:hAnsiTheme="minorEastAsia" w:eastAsiaTheme="minorEastAsia"/>
          <w:szCs w:val="21"/>
          <w:lang w:val="zh-CN"/>
        </w:rPr>
        <w:t>元/次，并下达限期整改通知书，出现2次考评60分（不含60分）以下的甲方有权终止合同。</w:t>
      </w:r>
    </w:p>
    <w:p w14:paraId="1FF7E7E3">
      <w:pPr>
        <w:spacing w:afterLines="0" w:line="360" w:lineRule="auto"/>
        <w:ind w:firstLine="424" w:firstLineChars="202"/>
        <w:rPr>
          <w:rFonts w:hint="eastAsia" w:asciiTheme="minorEastAsia" w:hAnsiTheme="minorEastAsia" w:eastAsiaTheme="minorEastAsia"/>
          <w:szCs w:val="21"/>
        </w:rPr>
      </w:pPr>
      <w:r>
        <w:rPr>
          <w:rFonts w:hint="eastAsia" w:cs="宋体" w:asciiTheme="minorEastAsia" w:hAnsiTheme="minorEastAsia" w:eastAsiaTheme="minorEastAsia"/>
          <w:szCs w:val="21"/>
          <w:lang w:val="zh-CN"/>
        </w:rPr>
        <w:t>因中标人责任导致出现食品安全事故的，中标人承担全部赔偿责任，且招标人有权解除合同。</w:t>
      </w:r>
    </w:p>
    <w:p w14:paraId="0487BAD9">
      <w:pPr>
        <w:spacing w:afterLines="0"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szCs w:val="21"/>
        </w:rPr>
        <w:t>C.验收方式：</w:t>
      </w:r>
    </w:p>
    <w:p w14:paraId="6617BFF7">
      <w:pPr>
        <w:spacing w:afterLines="0"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szCs w:val="21"/>
        </w:rPr>
        <w:t>中标人保证供应的货品均为正规生产的新鲜（冰鲜除外）检验合格、无毒、无辐射、无侵权货品，符合国家有关卫生、质量、包装和保质标准，要提供在保质期限内的货品，且所提供的货物剩余的保质期限不得少于标注有效期的80%。</w:t>
      </w:r>
    </w:p>
    <w:p w14:paraId="382C5C38">
      <w:pPr>
        <w:spacing w:afterLines="0"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szCs w:val="21"/>
        </w:rPr>
        <w:t>符合安全法要求的质量要求及农药残留不超过国家限量标准。采购人或食品安全等相关部门不定期抽检，如含量超标要求中标人无条件退货或换货，出现1次含量超标情况的，扣除中标人人民币2000元货款，款项由供货结算款内扣除。出现3次以上含量超标情况的，采购人有权单方终止合同。</w:t>
      </w:r>
    </w:p>
    <w:p w14:paraId="18DAA2FE">
      <w:pPr>
        <w:spacing w:afterLines="0"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szCs w:val="21"/>
        </w:rPr>
        <w:t>（1）由采购人指定人员与中标人共同对货物进行过秤、验收，在确认品种、数量、质量等无误后将原料入库。采购人收货质量标准如下：</w:t>
      </w:r>
    </w:p>
    <w:p w14:paraId="16ABAB2A">
      <w:pPr>
        <w:spacing w:afterLines="0"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szCs w:val="21"/>
        </w:rPr>
        <w:t>a.叶菜：干净、新鲜、无异味、无烂枝叶、无黄枝叶，表面不能有化肥；</w:t>
      </w:r>
    </w:p>
    <w:p w14:paraId="52D22946">
      <w:pPr>
        <w:spacing w:afterLines="0"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szCs w:val="21"/>
        </w:rPr>
        <w:t>b.瓜菜：无冰水、无泥、无破损；</w:t>
      </w:r>
    </w:p>
    <w:p w14:paraId="6386330D">
      <w:pPr>
        <w:spacing w:afterLines="0"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szCs w:val="21"/>
        </w:rPr>
        <w:t>c.豆腐：无冰水、无异味、无破损；</w:t>
      </w:r>
    </w:p>
    <w:p w14:paraId="2E6164A6">
      <w:pPr>
        <w:spacing w:afterLines="0"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szCs w:val="21"/>
        </w:rPr>
        <w:t>d.蛋类：新鲜、蛋黄完整、非人造；</w:t>
      </w:r>
    </w:p>
    <w:p w14:paraId="695EEF7F">
      <w:pPr>
        <w:spacing w:afterLines="0"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szCs w:val="21"/>
        </w:rPr>
        <w:t>e.新鲜肉类、禽类颜色淡、色泽均匀、观之紧致无注水、触感有弹性、闻之无异味，须为当日宰杀，具有检疫、检验的印章；</w:t>
      </w:r>
    </w:p>
    <w:p w14:paraId="7A16C801">
      <w:pPr>
        <w:spacing w:afterLines="0"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szCs w:val="21"/>
        </w:rPr>
        <w:t>f.米面及包装好的食材，应无破损具备正规的包装、生产厂家、生产日期、所有包装重量要清楚。</w:t>
      </w:r>
    </w:p>
    <w:p w14:paraId="5703CBA4">
      <w:pPr>
        <w:pStyle w:val="2"/>
        <w:ind w:firstLine="424" w:firstLineChars="202"/>
        <w:rPr>
          <w:rFonts w:hint="eastAsia" w:asciiTheme="minorEastAsia" w:hAnsiTheme="minorEastAsia" w:eastAsiaTheme="minorEastAsia"/>
          <w:b/>
          <w:szCs w:val="21"/>
        </w:rPr>
      </w:pPr>
      <w:r>
        <w:rPr>
          <w:rFonts w:hint="eastAsia" w:cs="Times New Roman" w:asciiTheme="minorEastAsia" w:hAnsiTheme="minorEastAsia" w:eastAsiaTheme="minorEastAsia"/>
          <w:bCs w:val="0"/>
          <w:szCs w:val="21"/>
        </w:rPr>
        <w:t>（2）供货数量以双方过秤为准，不符合标准的食材及时回收并以原始采购清单为准在1小时内重新交验。</w:t>
      </w:r>
    </w:p>
    <w:p w14:paraId="47A84764">
      <w:pPr>
        <w:pStyle w:val="2"/>
        <w:rPr>
          <w:b/>
        </w:rPr>
      </w:pPr>
    </w:p>
    <w:p w14:paraId="58EA643E">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323DD7"/>
    <w:multiLevelType w:val="singleLevel"/>
    <w:tmpl w:val="7E323DD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82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9"/>
    <w:qFormat/>
    <w:uiPriority w:val="9"/>
    <w:pPr>
      <w:keepNext/>
      <w:keepLines/>
      <w:spacing w:before="34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文档正文"/>
    <w:basedOn w:val="1"/>
    <w:qFormat/>
    <w:uiPriority w:val="0"/>
    <w:pPr>
      <w:spacing w:afterLines="0" w:line="360" w:lineRule="auto"/>
    </w:pPr>
    <w:rPr>
      <w:rFonts w:cs="Arial"/>
      <w:bCs/>
    </w:rPr>
  </w:style>
  <w:style w:type="paragraph" w:styleId="4">
    <w:name w:val="Body Text"/>
    <w:basedOn w:val="1"/>
    <w:next w:val="5"/>
    <w:qFormat/>
    <w:uiPriority w:val="0"/>
    <w:pPr>
      <w:tabs>
        <w:tab w:val="left" w:pos="4760"/>
      </w:tabs>
      <w:spacing w:afterLines="0"/>
      <w:jc w:val="left"/>
    </w:pPr>
  </w:style>
  <w:style w:type="paragraph" w:styleId="5">
    <w:name w:val="Body Text 2"/>
    <w:basedOn w:val="1"/>
    <w:qFormat/>
    <w:uiPriority w:val="0"/>
    <w:pPr>
      <w:spacing w:afterLines="0" w:line="480" w:lineRule="auto"/>
    </w:pPr>
  </w:style>
  <w:style w:type="paragraph" w:customStyle="1" w:styleId="8">
    <w:name w:val="1册标题1"/>
    <w:basedOn w:val="1"/>
    <w:next w:val="1"/>
    <w:qFormat/>
    <w:uiPriority w:val="0"/>
    <w:pPr>
      <w:spacing w:beforeLines="50" w:afterLines="50"/>
      <w:jc w:val="center"/>
      <w:outlineLvl w:val="0"/>
    </w:pPr>
    <w:rPr>
      <w:rFonts w:eastAsia="黑体"/>
      <w:b/>
      <w:bCs/>
      <w:sz w:val="48"/>
      <w:szCs w:val="20"/>
    </w:rPr>
  </w:style>
  <w:style w:type="character" w:customStyle="1" w:styleId="9">
    <w:name w:val="标题 1 字符"/>
    <w:basedOn w:val="7"/>
    <w:link w:val="3"/>
    <w:qFormat/>
    <w:uiPriority w:val="0"/>
    <w:rPr>
      <w:b/>
      <w:bCs/>
      <w:kern w:val="44"/>
      <w:sz w:val="44"/>
      <w:szCs w:val="44"/>
    </w:rPr>
  </w:style>
  <w:style w:type="paragraph" w:styleId="10">
    <w:name w:val="List Paragraph"/>
    <w:basedOn w:val="1"/>
    <w:qFormat/>
    <w:uiPriority w:val="34"/>
    <w:pPr>
      <w:spacing w:afterLines="0" w:line="240" w:lineRule="auto"/>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2025-12-05T13:10:14Z</dcterms:created>
  <dc:creator>37535</dc:creator>
  <cp:lastModifiedBy>阿忠</cp:lastModifiedBy>
  <dcterms:modified xsi:type="dcterms:W3CDTF">2025-12-05T13:10:18Z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eyJoZGlkIjoiMDkwMzBhMzRiMjU1YTMyMzk5NmM2NDIxMTZhYWUzZDkiLCJ1c2VySWQiOiI0NTA3NTgzNzUifQ==</vt:lpwstr>
  </property>
  <property fmtid="{D5CDD505-2E9C-101B-9397-08002B2CF9AE}" pid="4" name="ICV">
    <vt:lpwstr>A6094C0C3B1F46D387B9959B8907DCBE_12</vt:lpwstr>
  </property>
</Properties>
</file>