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7F3" w:rsidRPr="00FF37F3" w:rsidRDefault="00FF37F3" w:rsidP="00FF37F3">
      <w:pPr>
        <w:spacing w:line="360" w:lineRule="auto"/>
        <w:outlineLvl w:val="1"/>
        <w:rPr>
          <w:rFonts w:ascii="宋体" w:eastAsia="宋体" w:hAnsi="宋体" w:cs="Times New Roman"/>
          <w:b/>
          <w:bCs/>
          <w:kern w:val="0"/>
          <w:sz w:val="28"/>
          <w:szCs w:val="28"/>
        </w:rPr>
      </w:pPr>
      <w:bookmarkStart w:id="0" w:name="_Toc221202841"/>
      <w:bookmarkStart w:id="1" w:name="_Toc266949377"/>
      <w:r w:rsidRPr="00FF37F3">
        <w:rPr>
          <w:rFonts w:ascii="宋体" w:eastAsia="宋体" w:hAnsi="宋体" w:cs="Times New Roman" w:hint="eastAsia"/>
          <w:b/>
          <w:bCs/>
          <w:kern w:val="0"/>
          <w:sz w:val="28"/>
          <w:szCs w:val="28"/>
        </w:rPr>
        <w:t>一、项目概况</w:t>
      </w:r>
      <w:bookmarkEnd w:id="0"/>
    </w:p>
    <w:p w:rsidR="00FF37F3" w:rsidRPr="00FF37F3" w:rsidRDefault="00FF37F3" w:rsidP="00FF37F3">
      <w:pPr>
        <w:spacing w:line="360" w:lineRule="auto"/>
        <w:ind w:firstLineChars="202" w:firstLine="566"/>
        <w:rPr>
          <w:rFonts w:ascii="仿宋" w:eastAsia="仿宋" w:hAnsi="仿宋" w:cs="Times New Roman"/>
          <w:sz w:val="28"/>
          <w:szCs w:val="28"/>
        </w:rPr>
      </w:pPr>
      <w:r w:rsidRPr="00FF37F3">
        <w:rPr>
          <w:rFonts w:ascii="仿宋" w:eastAsia="仿宋" w:hAnsi="仿宋" w:cs="Times New Roman" w:hint="eastAsia"/>
          <w:sz w:val="28"/>
          <w:szCs w:val="28"/>
        </w:rPr>
        <w:t>根据市工业和信息化局关于布吉民爆库区搬迁用地相关产业需求意见建议的函，以及我市基础设施建设对于民爆物品的刚性需求，我局开展民爆库区选址及规划设计条件研究工作。该项目预算金额70万元。</w:t>
      </w:r>
    </w:p>
    <w:p w:rsidR="00FF37F3" w:rsidRPr="00FF37F3" w:rsidRDefault="00FF37F3" w:rsidP="00FF37F3">
      <w:pPr>
        <w:spacing w:line="360" w:lineRule="auto"/>
        <w:outlineLvl w:val="1"/>
        <w:rPr>
          <w:rFonts w:ascii="宋体" w:eastAsia="宋体" w:hAnsi="宋体" w:cs="Times New Roman"/>
          <w:b/>
          <w:bCs/>
          <w:kern w:val="0"/>
          <w:sz w:val="28"/>
          <w:szCs w:val="28"/>
        </w:rPr>
      </w:pPr>
      <w:bookmarkStart w:id="2" w:name="_Toc221202842"/>
      <w:r w:rsidRPr="00FF37F3">
        <w:rPr>
          <w:rFonts w:ascii="宋体" w:eastAsia="宋体" w:hAnsi="宋体" w:cs="Times New Roman" w:hint="eastAsia"/>
          <w:b/>
          <w:bCs/>
          <w:kern w:val="0"/>
          <w:sz w:val="28"/>
          <w:szCs w:val="28"/>
        </w:rPr>
        <w:t>二、服务内容及要求</w:t>
      </w:r>
      <w:bookmarkEnd w:id="2"/>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t>依据《广东省城市控制性详细规划管理条例》，确定</w:t>
      </w:r>
      <w:r w:rsidRPr="00FF37F3">
        <w:rPr>
          <w:rFonts w:ascii="仿宋" w:eastAsia="仿宋" w:hAnsi="仿宋" w:cs="Times New Roman"/>
          <w:sz w:val="28"/>
          <w:szCs w:val="28"/>
        </w:rPr>
        <w:t>本次规划主要内容包括</w:t>
      </w:r>
      <w:r w:rsidRPr="00FF37F3">
        <w:rPr>
          <w:rFonts w:ascii="仿宋" w:eastAsia="仿宋" w:hAnsi="仿宋" w:cs="Times New Roman" w:hint="eastAsia"/>
          <w:sz w:val="28"/>
          <w:szCs w:val="28"/>
        </w:rPr>
        <w:t>民爆库区选址研究、选址地块规划设计条件研究、道路交通、市政工程设施专题研究以及基本生态控制线调整方案。</w:t>
      </w:r>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t>（一）研究范围</w:t>
      </w:r>
    </w:p>
    <w:p w:rsidR="00FF37F3" w:rsidRPr="00FF37F3" w:rsidRDefault="00FF37F3" w:rsidP="00FF37F3">
      <w:pPr>
        <w:spacing w:line="360" w:lineRule="auto"/>
        <w:ind w:firstLineChars="200" w:firstLine="560"/>
        <w:rPr>
          <w:rFonts w:ascii="仿宋" w:eastAsia="仿宋" w:hAnsi="仿宋" w:cs="Times New Roman"/>
          <w:sz w:val="28"/>
          <w:szCs w:val="28"/>
        </w:rPr>
      </w:pPr>
      <w:bookmarkStart w:id="3" w:name="_Toc73891996"/>
      <w:bookmarkStart w:id="4" w:name="_Toc3280271"/>
      <w:bookmarkStart w:id="5" w:name="_Toc73873217"/>
      <w:r w:rsidRPr="00FF37F3">
        <w:rPr>
          <w:rFonts w:ascii="仿宋" w:eastAsia="仿宋" w:hAnsi="仿宋" w:cs="Times New Roman" w:hint="eastAsia"/>
          <w:sz w:val="28"/>
          <w:szCs w:val="28"/>
        </w:rPr>
        <w:t>根据市工业和信息化局关于布吉民爆库区搬迁用地相关产业需求意见建议的函，选址用地规模约为4.25公顷</w:t>
      </w:r>
      <w:bookmarkEnd w:id="3"/>
      <w:bookmarkEnd w:id="4"/>
      <w:bookmarkEnd w:id="5"/>
      <w:r w:rsidRPr="00FF37F3">
        <w:rPr>
          <w:rFonts w:ascii="仿宋" w:eastAsia="仿宋" w:hAnsi="仿宋" w:cs="Times New Roman" w:hint="eastAsia"/>
          <w:sz w:val="28"/>
          <w:szCs w:val="28"/>
        </w:rPr>
        <w:t>，研究范围约为906公顷。</w:t>
      </w:r>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t>（二）工作内容</w:t>
      </w:r>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t>（1）民爆库区选址研究</w:t>
      </w:r>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t>1、选址需求研究：搜集相关法律、规范、条例、政策文件等，解读涉及民爆仓库选址的相关要求，并结合开发建设需求，进一步明确项目选址位置、用地范围、功能组合和主要技术指标。</w:t>
      </w:r>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t>2、选址条件研究：衔接上位规划，遵循各类规划底限管控，通过土地权属核查，梳理土地空间资源及近期可实施建设区域，研究提出多套选址方案，分析各选址方案的有利条件和不利条件，比选出推荐选址方案。</w:t>
      </w:r>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lastRenderedPageBreak/>
        <w:t>（2）选址地块规划设计条件研究</w:t>
      </w:r>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t>1、用地指标体系：根据上层次规划的要求，结合片区内部功能布局、地块划分、道路交通规划、公共服务设施规划及市政公用设施规划等内容，对地块提出合理的规划条件，包括规划控制指标及支撑条件分析。</w:t>
      </w:r>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t>2、空间控制指引：对空间组织、建筑形式、公共开放空间、公共通道和地块出入口等提出控制指引，包括开放空间与绿化环境控制引导、界面控制、建筑控制及公共通道以及出入口设置要求。</w:t>
      </w:r>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t>（3）支撑系统</w:t>
      </w:r>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t>根据《广东省城市控制性详细规划管理条例》和项目实际情况，本项目需开展道路交通、市政工程设施专题研究以及基本生态控制线调整方案。</w:t>
      </w:r>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t>（三）成果构成</w:t>
      </w:r>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t>（1）《民爆库区选址及规划设计条件研究》研究报告；</w:t>
      </w:r>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t>（2）成果形式：PPT或PDF格式；</w:t>
      </w:r>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t>以上成果纸质件4份，电子版2份。</w:t>
      </w:r>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t>（四）人员组织</w:t>
      </w:r>
    </w:p>
    <w:p w:rsidR="00FF37F3" w:rsidRPr="00FF37F3" w:rsidRDefault="00FF37F3" w:rsidP="00FF37F3">
      <w:pPr>
        <w:spacing w:line="360" w:lineRule="auto"/>
        <w:ind w:firstLineChars="200" w:firstLine="560"/>
        <w:rPr>
          <w:rFonts w:ascii="仿宋" w:eastAsia="仿宋" w:hAnsi="仿宋" w:cs="Times New Roman"/>
          <w:sz w:val="28"/>
          <w:szCs w:val="28"/>
        </w:rPr>
      </w:pPr>
      <w:r w:rsidRPr="00FF37F3">
        <w:rPr>
          <w:rFonts w:ascii="仿宋" w:eastAsia="仿宋" w:hAnsi="仿宋" w:cs="Times New Roman" w:hint="eastAsia"/>
          <w:sz w:val="28"/>
          <w:szCs w:val="28"/>
        </w:rPr>
        <w:t>本项目要求城乡（市）规划、建筑设计、人文地理、土地资源管理、交通、市政等相关专业技术人员组成，项目组人数不少于</w:t>
      </w:r>
      <w:r w:rsidRPr="00FF37F3">
        <w:rPr>
          <w:rFonts w:ascii="仿宋" w:eastAsia="仿宋" w:hAnsi="仿宋" w:cs="Times New Roman"/>
          <w:sz w:val="28"/>
          <w:szCs w:val="28"/>
        </w:rPr>
        <w:t>6</w:t>
      </w:r>
      <w:r w:rsidRPr="00FF37F3">
        <w:rPr>
          <w:rFonts w:ascii="仿宋" w:eastAsia="仿宋" w:hAnsi="仿宋" w:cs="Times New Roman" w:hint="eastAsia"/>
          <w:sz w:val="28"/>
          <w:szCs w:val="28"/>
        </w:rPr>
        <w:t>人。</w:t>
      </w:r>
    </w:p>
    <w:p w:rsidR="00FF37F3" w:rsidRPr="00FF37F3" w:rsidRDefault="00FF37F3" w:rsidP="00FF37F3">
      <w:pPr>
        <w:spacing w:line="360" w:lineRule="auto"/>
        <w:outlineLvl w:val="1"/>
        <w:rPr>
          <w:rFonts w:ascii="宋体" w:eastAsia="宋体" w:hAnsi="宋体" w:cs="Times New Roman"/>
          <w:b/>
          <w:bCs/>
          <w:kern w:val="0"/>
          <w:sz w:val="28"/>
          <w:szCs w:val="28"/>
        </w:rPr>
      </w:pPr>
      <w:bookmarkStart w:id="6" w:name="_Toc221202843"/>
      <w:r w:rsidRPr="00FF37F3">
        <w:rPr>
          <w:rFonts w:ascii="宋体" w:eastAsia="宋体" w:hAnsi="宋体" w:cs="Times New Roman" w:hint="eastAsia"/>
          <w:b/>
          <w:bCs/>
          <w:kern w:val="0"/>
          <w:sz w:val="28"/>
          <w:szCs w:val="28"/>
        </w:rPr>
        <w:t>三、商务要求</w:t>
      </w:r>
      <w:bookmarkEnd w:id="6"/>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★（一）服务期：本次项目服务期限为自合同签订之日起12个月内完成，在必要情况下，经双方协商一致，可对上述工作进度要求</w:t>
      </w:r>
      <w:r w:rsidRPr="00FF37F3">
        <w:rPr>
          <w:rFonts w:ascii="仿宋" w:eastAsia="仿宋" w:hAnsi="仿宋" w:cs="Times New Roman" w:hint="eastAsia"/>
          <w:sz w:val="28"/>
          <w:szCs w:val="28"/>
        </w:rPr>
        <w:lastRenderedPageBreak/>
        <w:t>进行调整，并将最终成果提交日期顺延。在该项目完成1年内，中标方须与采购</w:t>
      </w:r>
      <w:proofErr w:type="gramStart"/>
      <w:r w:rsidRPr="00FF37F3">
        <w:rPr>
          <w:rFonts w:ascii="仿宋" w:eastAsia="仿宋" w:hAnsi="仿宋" w:cs="Times New Roman" w:hint="eastAsia"/>
          <w:sz w:val="28"/>
          <w:szCs w:val="28"/>
        </w:rPr>
        <w:t>方保持</w:t>
      </w:r>
      <w:proofErr w:type="gramEnd"/>
      <w:r w:rsidRPr="00FF37F3">
        <w:rPr>
          <w:rFonts w:ascii="仿宋" w:eastAsia="仿宋" w:hAnsi="仿宋" w:cs="Times New Roman" w:hint="eastAsia"/>
          <w:sz w:val="28"/>
          <w:szCs w:val="28"/>
        </w:rPr>
        <w:t>全面沟通，随时跟进。</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（二）服务地点：深圳市龙岗区。</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（三）服务进度安排：具体工作和时间安排结合管理局要求推进，对于过程进度与质量形成审查机制。</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工作内容及</w:t>
      </w:r>
      <w:r w:rsidRPr="00FF37F3">
        <w:rPr>
          <w:rFonts w:ascii="仿宋" w:eastAsia="仿宋" w:hAnsi="仿宋" w:cs="Times New Roman"/>
          <w:sz w:val="28"/>
          <w:szCs w:val="28"/>
        </w:rPr>
        <w:t>进度安排表</w:t>
      </w:r>
    </w:p>
    <w:tbl>
      <w:tblPr>
        <w:tblpPr w:leftFromText="180" w:rightFromText="180" w:vertAnchor="text" w:horzAnchor="page" w:tblpX="1736" w:tblpY="80"/>
        <w:tblOverlap w:val="never"/>
        <w:tblW w:w="8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63"/>
        <w:gridCol w:w="1675"/>
        <w:gridCol w:w="3924"/>
        <w:gridCol w:w="1675"/>
      </w:tblGrid>
      <w:tr w:rsidR="00FF37F3" w:rsidRPr="00FF37F3" w:rsidTr="00ED48CE">
        <w:trPr>
          <w:trHeight w:val="450"/>
        </w:trPr>
        <w:tc>
          <w:tcPr>
            <w:tcW w:w="1163" w:type="dxa"/>
            <w:vAlign w:val="center"/>
          </w:tcPr>
          <w:p w:rsidR="00FF37F3" w:rsidRPr="00FF37F3" w:rsidRDefault="00FF37F3" w:rsidP="00FF37F3">
            <w:pPr>
              <w:rPr>
                <w:rFonts w:ascii="仿宋" w:eastAsia="仿宋" w:hAnsi="仿宋" w:cs="Times New Roman"/>
                <w:b/>
                <w:bCs/>
                <w:sz w:val="24"/>
                <w:szCs w:val="32"/>
              </w:rPr>
            </w:pPr>
            <w:r w:rsidRPr="00FF37F3">
              <w:rPr>
                <w:rFonts w:ascii="仿宋" w:eastAsia="仿宋" w:hAnsi="仿宋" w:cs="Times New Roman" w:hint="eastAsia"/>
                <w:b/>
                <w:bCs/>
                <w:sz w:val="24"/>
                <w:szCs w:val="32"/>
              </w:rPr>
              <w:t>工作阶段</w:t>
            </w:r>
          </w:p>
        </w:tc>
        <w:tc>
          <w:tcPr>
            <w:tcW w:w="1675" w:type="dxa"/>
            <w:vAlign w:val="center"/>
          </w:tcPr>
          <w:p w:rsidR="00FF37F3" w:rsidRPr="00FF37F3" w:rsidRDefault="00FF37F3" w:rsidP="00FF37F3">
            <w:pPr>
              <w:jc w:val="center"/>
              <w:rPr>
                <w:rFonts w:ascii="仿宋" w:eastAsia="仿宋" w:hAnsi="仿宋" w:cs="Times New Roman"/>
                <w:b/>
                <w:bCs/>
                <w:sz w:val="24"/>
                <w:szCs w:val="32"/>
              </w:rPr>
            </w:pPr>
            <w:r w:rsidRPr="00FF37F3">
              <w:rPr>
                <w:rFonts w:ascii="仿宋" w:eastAsia="仿宋" w:hAnsi="仿宋" w:cs="Times New Roman" w:hint="eastAsia"/>
                <w:b/>
                <w:bCs/>
                <w:sz w:val="24"/>
                <w:szCs w:val="32"/>
              </w:rPr>
              <w:t>项目进度</w:t>
            </w:r>
          </w:p>
        </w:tc>
        <w:tc>
          <w:tcPr>
            <w:tcW w:w="3924" w:type="dxa"/>
            <w:vAlign w:val="center"/>
          </w:tcPr>
          <w:p w:rsidR="00FF37F3" w:rsidRPr="00FF37F3" w:rsidRDefault="00FF37F3" w:rsidP="00FF37F3">
            <w:pPr>
              <w:jc w:val="center"/>
              <w:rPr>
                <w:rFonts w:ascii="仿宋" w:eastAsia="仿宋" w:hAnsi="仿宋" w:cs="Times New Roman"/>
                <w:b/>
                <w:bCs/>
                <w:sz w:val="24"/>
                <w:szCs w:val="32"/>
              </w:rPr>
            </w:pPr>
            <w:r w:rsidRPr="00FF37F3">
              <w:rPr>
                <w:rFonts w:ascii="仿宋" w:eastAsia="仿宋" w:hAnsi="仿宋" w:cs="Times New Roman" w:hint="eastAsia"/>
                <w:b/>
                <w:bCs/>
                <w:sz w:val="24"/>
                <w:szCs w:val="32"/>
              </w:rPr>
              <w:t>主要工作内容</w:t>
            </w:r>
          </w:p>
        </w:tc>
        <w:tc>
          <w:tcPr>
            <w:tcW w:w="1675" w:type="dxa"/>
            <w:vAlign w:val="center"/>
          </w:tcPr>
          <w:p w:rsidR="00FF37F3" w:rsidRPr="00FF37F3" w:rsidRDefault="00FF37F3" w:rsidP="00FF37F3">
            <w:pPr>
              <w:jc w:val="center"/>
              <w:rPr>
                <w:rFonts w:ascii="仿宋" w:eastAsia="仿宋" w:hAnsi="仿宋" w:cs="Times New Roman"/>
                <w:b/>
                <w:bCs/>
                <w:sz w:val="24"/>
                <w:szCs w:val="32"/>
              </w:rPr>
            </w:pPr>
            <w:r w:rsidRPr="00FF37F3">
              <w:rPr>
                <w:rFonts w:ascii="仿宋" w:eastAsia="仿宋" w:hAnsi="仿宋" w:cs="Times New Roman" w:hint="eastAsia"/>
                <w:b/>
                <w:bCs/>
                <w:sz w:val="24"/>
                <w:szCs w:val="32"/>
              </w:rPr>
              <w:t>周期</w:t>
            </w:r>
          </w:p>
        </w:tc>
      </w:tr>
      <w:tr w:rsidR="00FF37F3" w:rsidRPr="00FF37F3" w:rsidTr="00ED48CE">
        <w:trPr>
          <w:trHeight w:val="1569"/>
        </w:trPr>
        <w:tc>
          <w:tcPr>
            <w:tcW w:w="1163" w:type="dxa"/>
            <w:vAlign w:val="center"/>
          </w:tcPr>
          <w:p w:rsidR="00FF37F3" w:rsidRPr="00FF37F3" w:rsidRDefault="00FF37F3" w:rsidP="00FF37F3">
            <w:pPr>
              <w:jc w:val="center"/>
              <w:rPr>
                <w:rFonts w:ascii="仿宋" w:eastAsia="仿宋" w:hAnsi="仿宋" w:cs="Times New Roman"/>
                <w:sz w:val="24"/>
                <w:szCs w:val="32"/>
              </w:rPr>
            </w:pPr>
            <w:r w:rsidRPr="00FF37F3">
              <w:rPr>
                <w:rFonts w:ascii="仿宋" w:eastAsia="仿宋" w:hAnsi="仿宋" w:cs="Times New Roman" w:hint="eastAsia"/>
                <w:sz w:val="24"/>
                <w:szCs w:val="32"/>
              </w:rPr>
              <w:t>1</w:t>
            </w:r>
          </w:p>
        </w:tc>
        <w:tc>
          <w:tcPr>
            <w:tcW w:w="1675" w:type="dxa"/>
            <w:vAlign w:val="center"/>
          </w:tcPr>
          <w:p w:rsidR="00FF37F3" w:rsidRPr="00FF37F3" w:rsidRDefault="00FF37F3" w:rsidP="00FF37F3">
            <w:pPr>
              <w:jc w:val="center"/>
              <w:rPr>
                <w:rFonts w:ascii="仿宋" w:eastAsia="仿宋" w:hAnsi="仿宋" w:cs="Times New Roman"/>
                <w:sz w:val="24"/>
                <w:szCs w:val="32"/>
              </w:rPr>
            </w:pPr>
            <w:r w:rsidRPr="00FF37F3">
              <w:rPr>
                <w:rFonts w:ascii="仿宋" w:eastAsia="仿宋" w:hAnsi="仿宋" w:cs="Times New Roman" w:hint="eastAsia"/>
                <w:sz w:val="24"/>
                <w:szCs w:val="32"/>
              </w:rPr>
              <w:t>初步方案阶段</w:t>
            </w:r>
          </w:p>
        </w:tc>
        <w:tc>
          <w:tcPr>
            <w:tcW w:w="3924" w:type="dxa"/>
            <w:vAlign w:val="center"/>
          </w:tcPr>
          <w:p w:rsidR="00FF37F3" w:rsidRPr="00FF37F3" w:rsidRDefault="00FF37F3" w:rsidP="00FF37F3">
            <w:pPr>
              <w:rPr>
                <w:rFonts w:ascii="仿宋" w:eastAsia="仿宋" w:hAnsi="仿宋" w:cs="Times New Roman"/>
                <w:sz w:val="24"/>
                <w:szCs w:val="32"/>
              </w:rPr>
            </w:pPr>
            <w:r w:rsidRPr="00FF37F3">
              <w:rPr>
                <w:rFonts w:ascii="仿宋" w:eastAsia="仿宋" w:hAnsi="仿宋" w:cs="Times New Roman" w:hint="eastAsia"/>
                <w:sz w:val="24"/>
                <w:szCs w:val="32"/>
              </w:rPr>
              <w:t>实地调研、资料搜集整理，编制初步成果报采购方审查</w:t>
            </w:r>
          </w:p>
        </w:tc>
        <w:tc>
          <w:tcPr>
            <w:tcW w:w="1675" w:type="dxa"/>
            <w:vAlign w:val="center"/>
          </w:tcPr>
          <w:p w:rsidR="00FF37F3" w:rsidRPr="00FF37F3" w:rsidRDefault="00FF37F3" w:rsidP="00FF37F3">
            <w:pPr>
              <w:jc w:val="center"/>
              <w:rPr>
                <w:rFonts w:ascii="仿宋" w:eastAsia="仿宋" w:hAnsi="仿宋" w:cs="Times New Roman"/>
                <w:sz w:val="24"/>
                <w:szCs w:val="32"/>
              </w:rPr>
            </w:pPr>
          </w:p>
          <w:p w:rsidR="00FF37F3" w:rsidRPr="00FF37F3" w:rsidRDefault="00FF37F3" w:rsidP="00FF37F3">
            <w:pPr>
              <w:jc w:val="center"/>
              <w:rPr>
                <w:rFonts w:ascii="仿宋" w:eastAsia="仿宋" w:hAnsi="仿宋" w:cs="Times New Roman"/>
                <w:sz w:val="24"/>
                <w:szCs w:val="32"/>
              </w:rPr>
            </w:pPr>
            <w:r w:rsidRPr="00FF37F3">
              <w:rPr>
                <w:rFonts w:ascii="仿宋" w:eastAsia="仿宋" w:hAnsi="仿宋" w:cs="Times New Roman" w:hint="eastAsia"/>
                <w:sz w:val="24"/>
                <w:szCs w:val="32"/>
              </w:rPr>
              <w:t>3个月内</w:t>
            </w:r>
          </w:p>
        </w:tc>
      </w:tr>
      <w:tr w:rsidR="00FF37F3" w:rsidRPr="00FF37F3" w:rsidTr="00ED48CE">
        <w:trPr>
          <w:trHeight w:val="1859"/>
        </w:trPr>
        <w:tc>
          <w:tcPr>
            <w:tcW w:w="1163" w:type="dxa"/>
            <w:vAlign w:val="center"/>
          </w:tcPr>
          <w:p w:rsidR="00FF37F3" w:rsidRPr="00FF37F3" w:rsidRDefault="00FF37F3" w:rsidP="00FF37F3">
            <w:pPr>
              <w:jc w:val="center"/>
              <w:rPr>
                <w:rFonts w:ascii="仿宋" w:eastAsia="仿宋" w:hAnsi="仿宋" w:cs="Times New Roman"/>
                <w:sz w:val="24"/>
                <w:szCs w:val="32"/>
              </w:rPr>
            </w:pPr>
            <w:r w:rsidRPr="00FF37F3">
              <w:rPr>
                <w:rFonts w:ascii="仿宋" w:eastAsia="仿宋" w:hAnsi="仿宋" w:cs="Times New Roman" w:hint="eastAsia"/>
                <w:sz w:val="24"/>
                <w:szCs w:val="32"/>
              </w:rPr>
              <w:t>2</w:t>
            </w:r>
          </w:p>
        </w:tc>
        <w:tc>
          <w:tcPr>
            <w:tcW w:w="1675" w:type="dxa"/>
            <w:vAlign w:val="center"/>
          </w:tcPr>
          <w:p w:rsidR="00FF37F3" w:rsidRPr="00FF37F3" w:rsidRDefault="00FF37F3" w:rsidP="00FF37F3">
            <w:pPr>
              <w:jc w:val="center"/>
              <w:rPr>
                <w:rFonts w:ascii="仿宋" w:eastAsia="仿宋" w:hAnsi="仿宋" w:cs="Times New Roman"/>
                <w:sz w:val="24"/>
                <w:szCs w:val="32"/>
              </w:rPr>
            </w:pPr>
            <w:r w:rsidRPr="00FF37F3">
              <w:rPr>
                <w:rFonts w:ascii="仿宋" w:eastAsia="仿宋" w:hAnsi="仿宋" w:cs="Times New Roman" w:hint="eastAsia"/>
                <w:sz w:val="24"/>
                <w:szCs w:val="32"/>
              </w:rPr>
              <w:t>中期成果阶段</w:t>
            </w:r>
          </w:p>
        </w:tc>
        <w:tc>
          <w:tcPr>
            <w:tcW w:w="3924" w:type="dxa"/>
            <w:vAlign w:val="center"/>
          </w:tcPr>
          <w:p w:rsidR="00FF37F3" w:rsidRPr="00FF37F3" w:rsidRDefault="00FF37F3" w:rsidP="00FF37F3">
            <w:pPr>
              <w:rPr>
                <w:rFonts w:ascii="Calibri" w:eastAsia="宋体" w:hAnsi="Calibri" w:cs="Times New Roman"/>
                <w:szCs w:val="24"/>
              </w:rPr>
            </w:pPr>
            <w:r w:rsidRPr="00FF37F3">
              <w:rPr>
                <w:rFonts w:ascii="仿宋" w:eastAsia="仿宋" w:hAnsi="仿宋" w:cs="Times New Roman" w:hint="eastAsia"/>
                <w:sz w:val="24"/>
                <w:szCs w:val="32"/>
              </w:rPr>
              <w:t>根据初步成果意见，修改完善形成中期成果采购方审查</w:t>
            </w:r>
          </w:p>
        </w:tc>
        <w:tc>
          <w:tcPr>
            <w:tcW w:w="1675" w:type="dxa"/>
            <w:vAlign w:val="center"/>
          </w:tcPr>
          <w:p w:rsidR="00FF37F3" w:rsidRPr="00FF37F3" w:rsidRDefault="00FF37F3" w:rsidP="00FF37F3">
            <w:pPr>
              <w:jc w:val="center"/>
              <w:rPr>
                <w:rFonts w:ascii="仿宋" w:eastAsia="仿宋" w:hAnsi="仿宋" w:cs="Times New Roman"/>
                <w:sz w:val="24"/>
                <w:szCs w:val="32"/>
              </w:rPr>
            </w:pPr>
            <w:r w:rsidRPr="00FF37F3">
              <w:rPr>
                <w:rFonts w:ascii="仿宋" w:eastAsia="仿宋" w:hAnsi="仿宋" w:cs="Times New Roman" w:hint="eastAsia"/>
                <w:sz w:val="24"/>
                <w:szCs w:val="32"/>
              </w:rPr>
              <w:t>5个月内</w:t>
            </w:r>
          </w:p>
        </w:tc>
      </w:tr>
      <w:tr w:rsidR="00FF37F3" w:rsidRPr="00FF37F3" w:rsidTr="00ED48CE">
        <w:trPr>
          <w:trHeight w:val="1859"/>
        </w:trPr>
        <w:tc>
          <w:tcPr>
            <w:tcW w:w="1163" w:type="dxa"/>
            <w:vAlign w:val="center"/>
          </w:tcPr>
          <w:p w:rsidR="00FF37F3" w:rsidRPr="00FF37F3" w:rsidRDefault="00FF37F3" w:rsidP="00FF37F3">
            <w:pPr>
              <w:jc w:val="center"/>
              <w:rPr>
                <w:rFonts w:ascii="仿宋" w:eastAsia="仿宋" w:hAnsi="仿宋" w:cs="Times New Roman"/>
                <w:sz w:val="24"/>
                <w:szCs w:val="32"/>
              </w:rPr>
            </w:pPr>
            <w:r w:rsidRPr="00FF37F3">
              <w:rPr>
                <w:rFonts w:ascii="仿宋" w:eastAsia="仿宋" w:hAnsi="仿宋" w:cs="Times New Roman" w:hint="eastAsia"/>
                <w:sz w:val="24"/>
                <w:szCs w:val="32"/>
              </w:rPr>
              <w:t>3</w:t>
            </w:r>
          </w:p>
        </w:tc>
        <w:tc>
          <w:tcPr>
            <w:tcW w:w="1675" w:type="dxa"/>
            <w:vAlign w:val="center"/>
          </w:tcPr>
          <w:p w:rsidR="00FF37F3" w:rsidRPr="00FF37F3" w:rsidRDefault="00FF37F3" w:rsidP="00FF37F3">
            <w:pPr>
              <w:jc w:val="center"/>
              <w:rPr>
                <w:rFonts w:ascii="仿宋" w:eastAsia="仿宋" w:hAnsi="仿宋" w:cs="Times New Roman"/>
                <w:sz w:val="24"/>
                <w:szCs w:val="32"/>
              </w:rPr>
            </w:pPr>
            <w:r w:rsidRPr="00FF37F3">
              <w:rPr>
                <w:rFonts w:ascii="仿宋" w:eastAsia="仿宋" w:hAnsi="仿宋" w:cs="Times New Roman" w:hint="eastAsia"/>
                <w:sz w:val="24"/>
                <w:szCs w:val="32"/>
              </w:rPr>
              <w:t>最终成果阶段</w:t>
            </w:r>
          </w:p>
        </w:tc>
        <w:tc>
          <w:tcPr>
            <w:tcW w:w="3924" w:type="dxa"/>
            <w:vAlign w:val="center"/>
          </w:tcPr>
          <w:p w:rsidR="00FF37F3" w:rsidRPr="00FF37F3" w:rsidRDefault="00FF37F3" w:rsidP="00FF37F3">
            <w:pPr>
              <w:rPr>
                <w:rFonts w:ascii="仿宋" w:eastAsia="仿宋" w:hAnsi="仿宋" w:cs="Times New Roman"/>
                <w:sz w:val="24"/>
                <w:szCs w:val="32"/>
              </w:rPr>
            </w:pPr>
            <w:r w:rsidRPr="00FF37F3">
              <w:rPr>
                <w:rFonts w:ascii="仿宋" w:eastAsia="仿宋" w:hAnsi="仿宋" w:cs="Times New Roman" w:hint="eastAsia"/>
                <w:sz w:val="24"/>
                <w:szCs w:val="32"/>
              </w:rPr>
              <w:t>根据中期成果意见，修改完善形成最终成果后报采购方审查，采购方完成成果归档</w:t>
            </w:r>
          </w:p>
        </w:tc>
        <w:tc>
          <w:tcPr>
            <w:tcW w:w="1675" w:type="dxa"/>
            <w:vAlign w:val="center"/>
          </w:tcPr>
          <w:p w:rsidR="00FF37F3" w:rsidRPr="00FF37F3" w:rsidRDefault="00FF37F3" w:rsidP="00FF37F3">
            <w:pPr>
              <w:jc w:val="center"/>
              <w:rPr>
                <w:rFonts w:ascii="仿宋" w:eastAsia="仿宋" w:hAnsi="仿宋" w:cs="Times New Roman"/>
                <w:sz w:val="24"/>
                <w:szCs w:val="32"/>
              </w:rPr>
            </w:pPr>
            <w:r w:rsidRPr="00FF37F3">
              <w:rPr>
                <w:rFonts w:ascii="仿宋" w:eastAsia="仿宋" w:hAnsi="仿宋" w:cs="Times New Roman" w:hint="eastAsia"/>
                <w:sz w:val="24"/>
                <w:szCs w:val="32"/>
              </w:rPr>
              <w:t>4个月内</w:t>
            </w:r>
          </w:p>
        </w:tc>
      </w:tr>
    </w:tbl>
    <w:p w:rsidR="00FF37F3" w:rsidRPr="00FF37F3" w:rsidRDefault="00FF37F3" w:rsidP="00FF37F3">
      <w:pPr>
        <w:ind w:firstLineChars="200" w:firstLine="420"/>
        <w:rPr>
          <w:rFonts w:ascii="宋体" w:eastAsia="宋体" w:hAnsi="宋体" w:cs="Times New Roman"/>
          <w:color w:val="000000"/>
          <w:szCs w:val="24"/>
        </w:rPr>
      </w:pPr>
      <w:r w:rsidRPr="00FF37F3">
        <w:rPr>
          <w:rFonts w:ascii="宋体" w:eastAsia="宋体" w:hAnsi="宋体" w:cs="Times New Roman" w:hint="eastAsia"/>
          <w:color w:val="000000"/>
          <w:szCs w:val="24"/>
        </w:rPr>
        <w:t>备注：实际工作进度结合项目具体推进情况可进行弹性调整。</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（四）报价要求</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1.本项目服务费采用包干制，应包括服务成本、法定税费和企业的利润。由投标供应商根据采购文件所提供的资料自行测算投标报价；一经中标，报价总价作为中标供应商与采购人</w:t>
      </w:r>
      <w:proofErr w:type="gramStart"/>
      <w:r w:rsidRPr="00FF37F3">
        <w:rPr>
          <w:rFonts w:ascii="仿宋" w:eastAsia="仿宋" w:hAnsi="仿宋" w:cs="Times New Roman" w:hint="eastAsia"/>
          <w:sz w:val="28"/>
          <w:szCs w:val="28"/>
        </w:rPr>
        <w:t>签定</w:t>
      </w:r>
      <w:proofErr w:type="gramEnd"/>
      <w:r w:rsidRPr="00FF37F3">
        <w:rPr>
          <w:rFonts w:ascii="仿宋" w:eastAsia="仿宋" w:hAnsi="仿宋" w:cs="Times New Roman" w:hint="eastAsia"/>
          <w:sz w:val="28"/>
          <w:szCs w:val="28"/>
        </w:rPr>
        <w:t>的合同金额，合同期限内不做调整。</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2.投标供应商应当根据本企业的成本自行决定报价，但不得以低</w:t>
      </w:r>
      <w:r w:rsidRPr="00FF37F3">
        <w:rPr>
          <w:rFonts w:ascii="仿宋" w:eastAsia="仿宋" w:hAnsi="仿宋" w:cs="Times New Roman" w:hint="eastAsia"/>
          <w:sz w:val="28"/>
          <w:szCs w:val="28"/>
        </w:rPr>
        <w:lastRenderedPageBreak/>
        <w:t>于其企业成本的报价投标。</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3.投标供应商的报价不得超过项目预算金额。</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4.投标供应商的报价，应当是本项目采购范围和采购文件及合同条款上所列的各项内容中所述的全部，不得以任何理由予以重复。</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5.除非采购人通过修改采购文件予以更正，否则，投标供应商应毫无例外地按响应文件所列的清单</w:t>
      </w:r>
      <w:proofErr w:type="gramStart"/>
      <w:r w:rsidRPr="00FF37F3">
        <w:rPr>
          <w:rFonts w:ascii="仿宋" w:eastAsia="仿宋" w:hAnsi="仿宋" w:cs="Times New Roman" w:hint="eastAsia"/>
          <w:sz w:val="28"/>
          <w:szCs w:val="28"/>
        </w:rPr>
        <w:t>中项目</w:t>
      </w:r>
      <w:proofErr w:type="gramEnd"/>
      <w:r w:rsidRPr="00FF37F3">
        <w:rPr>
          <w:rFonts w:ascii="仿宋" w:eastAsia="仿宋" w:hAnsi="仿宋" w:cs="Times New Roman" w:hint="eastAsia"/>
          <w:sz w:val="28"/>
          <w:szCs w:val="28"/>
        </w:rPr>
        <w:t>和数量填报综合单价和合价。投标供应商未</w:t>
      </w:r>
      <w:proofErr w:type="gramStart"/>
      <w:r w:rsidRPr="00FF37F3">
        <w:rPr>
          <w:rFonts w:ascii="仿宋" w:eastAsia="仿宋" w:hAnsi="仿宋" w:cs="Times New Roman" w:hint="eastAsia"/>
          <w:sz w:val="28"/>
          <w:szCs w:val="28"/>
        </w:rPr>
        <w:t>填综合</w:t>
      </w:r>
      <w:proofErr w:type="gramEnd"/>
      <w:r w:rsidRPr="00FF37F3">
        <w:rPr>
          <w:rFonts w:ascii="仿宋" w:eastAsia="仿宋" w:hAnsi="仿宋" w:cs="Times New Roman" w:hint="eastAsia"/>
          <w:sz w:val="28"/>
          <w:szCs w:val="28"/>
        </w:rPr>
        <w:t>单价或合价的项目，在实施后，将不得以支付，并视作该项费用已包括在其它有价款的综合单价或合价内。</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6.投标供应商应先到项目地点踏勘以充分了解项目的位置、情况、道路及任何其它足以影响投标报价的情况，任何因忽视或误解项目情况而导致的索赔或服务期限延长申请将不获批准。</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7.投标供应商不得期望通过索赔等方式获取补偿，否则，除可能遭到拒绝外，还可能将被作为不良行为记录在案，并可能影响其以后参加政府采购的项目投标。各投标供应商在报价时，应充分考虑报价的风险。</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（五）付款方式：本项目服务费用分三期支付。</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首期款:自双方签订合同后 10个工作日内，中标方提出付款申请，采购方根据财政部门安排该项目的年度资金开展支付工作，支付合同总费用的</w:t>
      </w:r>
      <w:r w:rsidRPr="00FF37F3">
        <w:rPr>
          <w:rFonts w:ascii="仿宋" w:eastAsia="仿宋" w:hAnsi="仿宋" w:cs="Times New Roman"/>
          <w:sz w:val="28"/>
          <w:szCs w:val="28"/>
        </w:rPr>
        <w:t>3</w:t>
      </w:r>
      <w:r w:rsidRPr="00FF37F3">
        <w:rPr>
          <w:rFonts w:ascii="仿宋" w:eastAsia="仿宋" w:hAnsi="仿宋" w:cs="Times New Roman" w:hint="eastAsia"/>
          <w:sz w:val="28"/>
          <w:szCs w:val="28"/>
        </w:rPr>
        <w:t>0%作为首期款; 二期款：根据合同约定中标方提交《民爆库区选址及规划设计条件研究》中期成果并经采购</w:t>
      </w:r>
      <w:proofErr w:type="gramStart"/>
      <w:r w:rsidRPr="00FF37F3">
        <w:rPr>
          <w:rFonts w:ascii="仿宋" w:eastAsia="仿宋" w:hAnsi="仿宋" w:cs="Times New Roman" w:hint="eastAsia"/>
          <w:sz w:val="28"/>
          <w:szCs w:val="28"/>
        </w:rPr>
        <w:t>方审议</w:t>
      </w:r>
      <w:proofErr w:type="gramEnd"/>
      <w:r w:rsidRPr="00FF37F3">
        <w:rPr>
          <w:rFonts w:ascii="仿宋" w:eastAsia="仿宋" w:hAnsi="仿宋" w:cs="Times New Roman" w:hint="eastAsia"/>
          <w:sz w:val="28"/>
          <w:szCs w:val="28"/>
        </w:rPr>
        <w:t>通过，中标方提出付款申请，采购方根据财政部门安排该项目的年度资金开展支付工作，支付合同总费用的</w:t>
      </w:r>
      <w:r w:rsidRPr="00FF37F3">
        <w:rPr>
          <w:rFonts w:ascii="仿宋" w:eastAsia="仿宋" w:hAnsi="仿宋" w:cs="Times New Roman"/>
          <w:sz w:val="28"/>
          <w:szCs w:val="28"/>
        </w:rPr>
        <w:t>4</w:t>
      </w:r>
      <w:r w:rsidRPr="00FF37F3">
        <w:rPr>
          <w:rFonts w:ascii="仿宋" w:eastAsia="仿宋" w:hAnsi="仿宋" w:cs="Times New Roman" w:hint="eastAsia"/>
          <w:sz w:val="28"/>
          <w:szCs w:val="28"/>
        </w:rPr>
        <w:t>0%；尾款:根据合同约定中标方提交</w:t>
      </w:r>
      <w:r w:rsidRPr="00FF37F3">
        <w:rPr>
          <w:rFonts w:ascii="仿宋" w:eastAsia="仿宋" w:hAnsi="仿宋" w:cs="Times New Roman" w:hint="eastAsia"/>
          <w:sz w:val="28"/>
          <w:szCs w:val="28"/>
        </w:rPr>
        <w:lastRenderedPageBreak/>
        <w:t>《民爆库区选址及规划设计条件研究》最终成果并经采购</w:t>
      </w:r>
      <w:proofErr w:type="gramStart"/>
      <w:r w:rsidRPr="00FF37F3">
        <w:rPr>
          <w:rFonts w:ascii="仿宋" w:eastAsia="仿宋" w:hAnsi="仿宋" w:cs="Times New Roman" w:hint="eastAsia"/>
          <w:sz w:val="28"/>
          <w:szCs w:val="28"/>
        </w:rPr>
        <w:t>方审议</w:t>
      </w:r>
      <w:proofErr w:type="gramEnd"/>
      <w:r w:rsidRPr="00FF37F3">
        <w:rPr>
          <w:rFonts w:ascii="仿宋" w:eastAsia="仿宋" w:hAnsi="仿宋" w:cs="Times New Roman" w:hint="eastAsia"/>
          <w:sz w:val="28"/>
          <w:szCs w:val="28"/>
        </w:rPr>
        <w:t>通过，完成成果归档后10个工作日内，中标方提出付款申请，采购方根据财政部门安排该项目的年度资金开展支付工作，支付合同总费用的</w:t>
      </w:r>
      <w:r w:rsidRPr="00FF37F3">
        <w:rPr>
          <w:rFonts w:ascii="仿宋" w:eastAsia="仿宋" w:hAnsi="仿宋" w:cs="Times New Roman"/>
          <w:sz w:val="28"/>
          <w:szCs w:val="28"/>
        </w:rPr>
        <w:t>3</w:t>
      </w:r>
      <w:r w:rsidRPr="00FF37F3">
        <w:rPr>
          <w:rFonts w:ascii="仿宋" w:eastAsia="仿宋" w:hAnsi="仿宋" w:cs="Times New Roman" w:hint="eastAsia"/>
          <w:sz w:val="28"/>
          <w:szCs w:val="28"/>
        </w:rPr>
        <w:t>0%。</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（六）违约责任：以合同约定为准。</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（七）其他：</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★1.投标供应商需签署《政府采购违法行为风险知悉确认书》、《政府采购投标及履约承诺函》，并加盖单位公章作为投标文件组成部分，未提供的投标文件作无效处理；</w:t>
      </w:r>
    </w:p>
    <w:p w:rsidR="00FF37F3" w:rsidRPr="00FF37F3" w:rsidRDefault="00FF37F3" w:rsidP="00FF37F3">
      <w:pPr>
        <w:adjustRightInd w:val="0"/>
        <w:spacing w:line="360" w:lineRule="auto"/>
        <w:ind w:firstLineChars="200" w:firstLine="560"/>
        <w:textAlignment w:val="baseline"/>
        <w:rPr>
          <w:rFonts w:ascii="仿宋" w:eastAsia="仿宋" w:hAnsi="仿宋" w:cs="Times New Roman"/>
          <w:sz w:val="28"/>
          <w:szCs w:val="28"/>
        </w:rPr>
      </w:pPr>
      <w:r w:rsidRPr="00FF37F3">
        <w:rPr>
          <w:rFonts w:ascii="仿宋" w:eastAsia="仿宋" w:hAnsi="仿宋" w:cs="Times New Roman" w:hint="eastAsia"/>
          <w:sz w:val="28"/>
          <w:szCs w:val="28"/>
        </w:rPr>
        <w:t>2.未被列入失信被执行人、重大税收违法案件当事人名单、政府采购严重违法失信行为记录名单。通过“信用中国”、“中国政府采购网”以及“深圳市政府采购监管网”为供应商信用信息的查询渠道，以开标当日查询结果为准，相关查询截图证据与采购文件一并保存（投标人无需提供证明材料，由工作人员查询）。</w:t>
      </w:r>
      <w:bookmarkEnd w:id="1"/>
    </w:p>
    <w:sectPr w:rsidR="00FF37F3" w:rsidRPr="00FF37F3"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lvl w:ilvl="0">
      <w:start w:val="1"/>
      <w:numFmt w:val="chineseCountingThousand"/>
      <w:lvlText w:val="第%1部分"/>
      <w:lvlJc w:val="center"/>
      <w:pPr>
        <w:ind w:left="4878" w:hanging="10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1"/>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37F3"/>
    <w:rsid w:val="002D0F0E"/>
    <w:rsid w:val="0038276D"/>
    <w:rsid w:val="0094277F"/>
    <w:rsid w:val="00CC65B1"/>
    <w:rsid w:val="00F11507"/>
    <w:rsid w:val="00FF37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7F"/>
    <w:pPr>
      <w:widowControl w:val="0"/>
      <w:jc w:val="both"/>
    </w:p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FF37F3"/>
    <w:rPr>
      <w:rFonts w:ascii="宋体" w:eastAsia="宋体"/>
      <w:sz w:val="18"/>
      <w:szCs w:val="18"/>
    </w:rPr>
  </w:style>
  <w:style w:type="character" w:customStyle="1" w:styleId="Char">
    <w:name w:val="文档结构图 Char"/>
    <w:basedOn w:val="a0"/>
    <w:link w:val="a3"/>
    <w:uiPriority w:val="99"/>
    <w:semiHidden/>
    <w:rsid w:val="00FF37F3"/>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344</Words>
  <Characters>1961</Characters>
  <Application>Microsoft Office Word</Application>
  <DocSecurity>0</DocSecurity>
  <Lines>16</Lines>
  <Paragraphs>4</Paragraphs>
  <ScaleCrop>false</ScaleCrop>
  <Company>Microsoft</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2026-03-18T10:18:00Z</dcterms:created>
  <dcterms:modified xsi:type="dcterms:W3CDTF">2026-03-18T10:18:00Z</dcterms:modified>
</cp:coreProperties>
</file>