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F34CB">
      <w:pPr>
        <w:pStyle w:val="8"/>
        <w:spacing w:before="120" w:after="120"/>
        <w:rPr>
          <w:rStyle w:val="9"/>
          <w:b w:val="0"/>
          <w:bCs w:val="0"/>
        </w:rPr>
      </w:pPr>
      <w:bookmarkStart w:id="0" w:name="_Toc216168212"/>
      <w:r>
        <w:rPr>
          <w:rStyle w:val="9"/>
          <w:rFonts w:hint="eastAsia"/>
          <w:b w:val="0"/>
          <w:bCs w:val="0"/>
        </w:rPr>
        <w:t>第六章  服务需求书</w:t>
      </w:r>
      <w:bookmarkEnd w:id="0"/>
    </w:p>
    <w:p w14:paraId="28DD8639">
      <w:pPr>
        <w:spacing w:after="60" w:line="360" w:lineRule="auto"/>
        <w:ind w:right="-63" w:rightChars="-30" w:firstLine="426"/>
        <w:rPr>
          <w:rFonts w:hint="eastAsia" w:ascii="宋体" w:hAnsi="宋体"/>
          <w:b/>
          <w:color w:val="FF0000"/>
        </w:rPr>
      </w:pPr>
      <w:r>
        <w:rPr>
          <w:rFonts w:hint="eastAsia" w:ascii="宋体" w:hAnsi="宋体"/>
          <w:b/>
          <w:color w:val="FF0000"/>
        </w:rPr>
        <w:t>1. 带“★”项为不可负偏离项，有一项负偏离即导致投标无效。是否响应第六章服务需求书，以《服务条款偏离表》“投标文件响应”栏填写为准。</w:t>
      </w:r>
    </w:p>
    <w:p w14:paraId="59C2035C">
      <w:pPr>
        <w:spacing w:after="60" w:line="360" w:lineRule="auto"/>
        <w:ind w:right="-63" w:rightChars="-30" w:firstLine="426"/>
        <w:rPr>
          <w:rFonts w:hint="eastAsia" w:ascii="宋体" w:hAnsi="宋体"/>
          <w:b/>
          <w:color w:val="FF0000"/>
        </w:rPr>
      </w:pPr>
      <w:r>
        <w:rPr>
          <w:rFonts w:hint="eastAsia" w:ascii="宋体" w:hAnsi="宋体"/>
          <w:b/>
          <w:color w:val="FF0000"/>
        </w:rPr>
        <w:t>2.如投标人中标后被发现不能满足本章带★号条款要求的，采购单位有权拒绝签订合同，一切后果由投标人承担。</w:t>
      </w:r>
    </w:p>
    <w:p w14:paraId="182FA9FD">
      <w:pPr>
        <w:pStyle w:val="2"/>
      </w:pPr>
    </w:p>
    <w:p w14:paraId="5F6D7965">
      <w:pPr>
        <w:spacing w:after="60" w:line="360" w:lineRule="auto"/>
        <w:jc w:val="left"/>
        <w:rPr>
          <w:rFonts w:hint="eastAsia" w:ascii="宋体" w:hAnsi="宋体" w:eastAsia="宋体"/>
          <w:szCs w:val="21"/>
        </w:rPr>
      </w:pPr>
      <w:r>
        <w:rPr>
          <w:rFonts w:hint="eastAsia" w:ascii="宋体" w:hAnsi="宋体" w:eastAsia="宋体"/>
          <w:b/>
          <w:szCs w:val="21"/>
        </w:rPr>
        <w:t>（一）</w:t>
      </w:r>
      <w:r>
        <w:rPr>
          <w:rFonts w:hint="eastAsia" w:ascii="宋体" w:hAnsi="宋体" w:eastAsia="宋体"/>
          <w:b/>
          <w:bCs/>
          <w:szCs w:val="21"/>
        </w:rPr>
        <w:t>采购项目概况</w:t>
      </w:r>
      <w:r>
        <w:rPr>
          <w:rFonts w:hint="eastAsia" w:ascii="宋体" w:hAnsi="宋体" w:eastAsia="宋体"/>
          <w:szCs w:val="21"/>
        </w:rPr>
        <w:t>：</w:t>
      </w:r>
    </w:p>
    <w:p w14:paraId="1D750EAB">
      <w:pPr>
        <w:numPr>
          <w:ilvl w:val="0"/>
          <w:numId w:val="1"/>
        </w:numPr>
        <w:spacing w:afterLines="0" w:line="360" w:lineRule="auto"/>
        <w:ind w:firstLine="420" w:firstLineChars="200"/>
        <w:jc w:val="left"/>
        <w:rPr>
          <w:rFonts w:hint="eastAsia" w:ascii="宋体" w:hAnsi="宋体" w:eastAsia="宋体"/>
          <w:szCs w:val="21"/>
        </w:rPr>
      </w:pPr>
      <w:r>
        <w:rPr>
          <w:rFonts w:hint="eastAsia" w:ascii="宋体" w:hAnsi="宋体" w:eastAsia="宋体"/>
          <w:szCs w:val="21"/>
        </w:rPr>
        <w:t>项目名称；</w:t>
      </w:r>
      <w:bookmarkStart w:id="1" w:name="_GoBack"/>
      <w:r>
        <w:rPr>
          <w:rFonts w:hint="eastAsia" w:ascii="宋体" w:hAnsi="宋体" w:eastAsia="宋体"/>
          <w:szCs w:val="21"/>
          <w:lang w:eastAsia="zh-CN"/>
        </w:rPr>
        <w:t>福永街道空港片区人民调解法律服务项目</w:t>
      </w:r>
      <w:bookmarkEnd w:id="1"/>
    </w:p>
    <w:p w14:paraId="4934E08B">
      <w:pPr>
        <w:numPr>
          <w:ilvl w:val="0"/>
          <w:numId w:val="1"/>
        </w:numPr>
        <w:spacing w:afterLines="0" w:line="360" w:lineRule="auto"/>
        <w:ind w:firstLine="420" w:firstLineChars="200"/>
        <w:jc w:val="left"/>
        <w:rPr>
          <w:rFonts w:hint="eastAsia" w:ascii="宋体" w:hAnsi="宋体" w:eastAsia="宋体"/>
          <w:szCs w:val="21"/>
        </w:rPr>
      </w:pPr>
      <w:r>
        <w:rPr>
          <w:rFonts w:hint="eastAsia" w:ascii="宋体" w:hAnsi="宋体" w:eastAsia="宋体"/>
          <w:szCs w:val="21"/>
        </w:rPr>
        <w:t>项目预算金额或预算金额之下的最高限额；</w:t>
      </w:r>
      <w:r>
        <w:rPr>
          <w:rFonts w:hint="eastAsia" w:ascii="宋体" w:hAnsi="宋体" w:cs="宋体"/>
          <w:kern w:val="0"/>
          <w:szCs w:val="21"/>
        </w:rPr>
        <w:t>343</w:t>
      </w:r>
      <w:r>
        <w:rPr>
          <w:rFonts w:hint="eastAsia" w:ascii="宋体" w:hAnsi="宋体" w:cs="宋体"/>
          <w:kern w:val="0"/>
          <w:szCs w:val="21"/>
          <w:lang w:val="en-US" w:eastAsia="zh-CN"/>
        </w:rPr>
        <w:t>,</w:t>
      </w:r>
      <w:r>
        <w:rPr>
          <w:rFonts w:hint="eastAsia" w:ascii="宋体" w:hAnsi="宋体" w:cs="宋体"/>
          <w:kern w:val="0"/>
          <w:szCs w:val="21"/>
        </w:rPr>
        <w:t>500.00元</w:t>
      </w:r>
    </w:p>
    <w:p w14:paraId="1F777E88">
      <w:pPr>
        <w:spacing w:after="60" w:line="360" w:lineRule="auto"/>
        <w:jc w:val="left"/>
        <w:rPr>
          <w:rFonts w:hint="eastAsia" w:ascii="宋体" w:hAnsi="宋体"/>
          <w:szCs w:val="21"/>
        </w:rPr>
      </w:pPr>
      <w:r>
        <w:rPr>
          <w:rFonts w:hint="eastAsia" w:ascii="宋体" w:hAnsi="宋体"/>
          <w:b/>
          <w:bCs/>
          <w:szCs w:val="21"/>
        </w:rPr>
        <w:t>（二）项目管理和服务要求</w:t>
      </w:r>
      <w:r>
        <w:rPr>
          <w:rFonts w:hint="eastAsia" w:ascii="宋体" w:hAnsi="宋体"/>
          <w:szCs w:val="21"/>
        </w:rPr>
        <w:t>：</w:t>
      </w:r>
    </w:p>
    <w:p w14:paraId="47423B8A">
      <w:pPr>
        <w:numPr>
          <w:ilvl w:val="0"/>
          <w:numId w:val="2"/>
        </w:numPr>
        <w:spacing w:after="25" w:afterLines="0" w:line="360" w:lineRule="auto"/>
        <w:ind w:firstLine="420" w:firstLineChars="200"/>
        <w:jc w:val="left"/>
        <w:rPr>
          <w:rFonts w:hint="eastAsia" w:ascii="宋体" w:hAnsi="宋体" w:cs="仿宋_GB2312"/>
          <w:b w:val="0"/>
          <w:bCs/>
          <w:sz w:val="21"/>
          <w:szCs w:val="21"/>
        </w:rPr>
      </w:pPr>
      <w:r>
        <w:rPr>
          <w:rFonts w:hint="eastAsia" w:ascii="宋体" w:hAnsi="宋体" w:eastAsia="宋体" w:cs="宋体"/>
          <w:color w:val="FF0000"/>
          <w:sz w:val="21"/>
          <w:szCs w:val="21"/>
        </w:rPr>
        <w:t>★</w:t>
      </w:r>
      <w:r>
        <w:rPr>
          <w:rFonts w:hint="eastAsia" w:ascii="宋体" w:hAnsi="宋体" w:eastAsia="宋体" w:cs="宋体"/>
          <w:b/>
          <w:sz w:val="21"/>
          <w:szCs w:val="21"/>
        </w:rPr>
        <w:t>服务期限：</w:t>
      </w:r>
      <w:r>
        <w:rPr>
          <w:rFonts w:hint="eastAsia" w:ascii="宋体" w:hAnsi="宋体" w:eastAsia="宋体" w:cs="宋体"/>
          <w:b w:val="0"/>
          <w:bCs/>
          <w:sz w:val="21"/>
          <w:szCs w:val="21"/>
          <w:lang w:eastAsia="zh-CN"/>
        </w:rPr>
        <w:t>本项目</w:t>
      </w:r>
      <w:r>
        <w:rPr>
          <w:rFonts w:hint="eastAsia" w:ascii="宋体" w:hAnsi="宋体" w:eastAsia="宋体" w:cs="宋体"/>
          <w:b w:val="0"/>
          <w:bCs/>
          <w:sz w:val="21"/>
          <w:szCs w:val="21"/>
          <w:lang w:val="en-US" w:eastAsia="zh-CN"/>
        </w:rPr>
        <w:t>一招三年，合同一年一签。</w:t>
      </w:r>
      <w:r>
        <w:rPr>
          <w:rFonts w:hint="eastAsia" w:ascii="宋体" w:hAnsi="宋体" w:eastAsia="宋体" w:cs="宋体"/>
          <w:b w:val="0"/>
          <w:bCs/>
          <w:sz w:val="21"/>
          <w:szCs w:val="21"/>
          <w:lang w:eastAsia="zh-CN"/>
        </w:rPr>
        <w:t>第一年</w:t>
      </w:r>
      <w:r>
        <w:rPr>
          <w:rFonts w:hint="eastAsia" w:ascii="宋体" w:hAnsi="宋体" w:eastAsia="宋体" w:cs="宋体"/>
          <w:b w:val="0"/>
          <w:bCs/>
          <w:sz w:val="21"/>
          <w:szCs w:val="21"/>
          <w:lang w:val="en-US" w:eastAsia="zh-CN"/>
        </w:rPr>
        <w:t>服务时间为20</w:t>
      </w:r>
      <w:r>
        <w:rPr>
          <w:rFonts w:hint="eastAsia" w:ascii="宋体" w:hAnsi="宋体" w:eastAsia="宋体" w:cs="宋体"/>
          <w:b w:val="0"/>
          <w:bCs/>
          <w:sz w:val="21"/>
          <w:szCs w:val="21"/>
        </w:rPr>
        <w:t>2</w:t>
      </w:r>
      <w:r>
        <w:rPr>
          <w:rFonts w:hint="eastAsia" w:ascii="宋体" w:hAnsi="宋体" w:eastAsia="宋体" w:cs="宋体"/>
          <w:b w:val="0"/>
          <w:bCs/>
          <w:sz w:val="21"/>
          <w:szCs w:val="21"/>
          <w:lang w:val="en-US" w:eastAsia="zh-CN"/>
        </w:rPr>
        <w:t>6</w:t>
      </w:r>
      <w:r>
        <w:rPr>
          <w:rFonts w:hint="eastAsia" w:ascii="宋体" w:hAnsi="宋体" w:eastAsia="宋体" w:cs="宋体"/>
          <w:b w:val="0"/>
          <w:bCs/>
          <w:sz w:val="21"/>
          <w:szCs w:val="21"/>
        </w:rPr>
        <w:t>年</w:t>
      </w:r>
      <w:r>
        <w:rPr>
          <w:rFonts w:hint="eastAsia" w:ascii="宋体" w:hAnsi="宋体" w:eastAsia="宋体" w:cs="宋体"/>
          <w:b w:val="0"/>
          <w:bCs/>
          <w:sz w:val="21"/>
          <w:szCs w:val="21"/>
          <w:lang w:val="en-US" w:eastAsia="zh-CN"/>
        </w:rPr>
        <w:t>10</w:t>
      </w:r>
      <w:r>
        <w:rPr>
          <w:rFonts w:hint="eastAsia" w:ascii="宋体" w:hAnsi="宋体" w:eastAsia="宋体" w:cs="宋体"/>
          <w:b w:val="0"/>
          <w:bCs/>
          <w:sz w:val="21"/>
          <w:szCs w:val="21"/>
        </w:rPr>
        <w:t>月1日到</w:t>
      </w:r>
      <w:r>
        <w:rPr>
          <w:rFonts w:hint="eastAsia" w:ascii="宋体" w:hAnsi="宋体" w:eastAsia="宋体" w:cs="宋体"/>
          <w:b w:val="0"/>
          <w:bCs/>
          <w:sz w:val="21"/>
          <w:szCs w:val="21"/>
          <w:lang w:val="en-US" w:eastAsia="zh-CN"/>
        </w:rPr>
        <w:t>20</w:t>
      </w:r>
      <w:r>
        <w:rPr>
          <w:rFonts w:hint="eastAsia" w:ascii="宋体" w:hAnsi="宋体" w:eastAsia="宋体" w:cs="宋体"/>
          <w:b w:val="0"/>
          <w:bCs/>
          <w:sz w:val="21"/>
          <w:szCs w:val="21"/>
        </w:rPr>
        <w:t>2</w:t>
      </w:r>
      <w:r>
        <w:rPr>
          <w:rFonts w:hint="eastAsia" w:ascii="宋体" w:hAnsi="宋体" w:eastAsia="宋体" w:cs="宋体"/>
          <w:b w:val="0"/>
          <w:bCs/>
          <w:sz w:val="21"/>
          <w:szCs w:val="21"/>
          <w:lang w:val="en-US" w:eastAsia="zh-CN"/>
        </w:rPr>
        <w:t>7</w:t>
      </w:r>
      <w:r>
        <w:rPr>
          <w:rFonts w:hint="eastAsia" w:ascii="宋体" w:hAnsi="宋体" w:eastAsia="宋体" w:cs="宋体"/>
          <w:b w:val="0"/>
          <w:bCs/>
          <w:sz w:val="21"/>
          <w:szCs w:val="21"/>
        </w:rPr>
        <w:t>年</w:t>
      </w:r>
      <w:r>
        <w:rPr>
          <w:rFonts w:hint="eastAsia" w:ascii="宋体" w:hAnsi="宋体" w:eastAsia="宋体" w:cs="宋体"/>
          <w:b w:val="0"/>
          <w:bCs/>
          <w:sz w:val="21"/>
          <w:szCs w:val="21"/>
          <w:lang w:val="en-US" w:eastAsia="zh-CN"/>
        </w:rPr>
        <w:t>9</w:t>
      </w:r>
      <w:r>
        <w:rPr>
          <w:rFonts w:hint="eastAsia" w:ascii="宋体" w:hAnsi="宋体" w:eastAsia="宋体" w:cs="宋体"/>
          <w:b w:val="0"/>
          <w:bCs/>
          <w:sz w:val="21"/>
          <w:szCs w:val="21"/>
        </w:rPr>
        <w:t>月30日</w:t>
      </w:r>
      <w:r>
        <w:rPr>
          <w:rFonts w:hint="eastAsia" w:ascii="宋体" w:hAnsi="宋体" w:eastAsia="宋体" w:cs="宋体"/>
          <w:b w:val="0"/>
          <w:bCs/>
          <w:sz w:val="21"/>
          <w:szCs w:val="21"/>
          <w:lang w:eastAsia="zh-CN"/>
        </w:rPr>
        <w:t>。</w:t>
      </w:r>
    </w:p>
    <w:p w14:paraId="0978B03C">
      <w:pPr>
        <w:numPr>
          <w:ilvl w:val="0"/>
          <w:numId w:val="2"/>
        </w:numPr>
        <w:spacing w:after="25" w:afterLines="0" w:line="360" w:lineRule="auto"/>
        <w:ind w:firstLine="422" w:firstLineChars="200"/>
        <w:jc w:val="left"/>
        <w:rPr>
          <w:rFonts w:hint="eastAsia" w:ascii="宋体" w:hAnsi="宋体" w:cs="仿宋_GB2312"/>
          <w:b/>
          <w:bCs/>
          <w:szCs w:val="21"/>
        </w:rPr>
      </w:pPr>
      <w:r>
        <w:rPr>
          <w:rFonts w:hint="eastAsia" w:ascii="宋体" w:hAnsi="宋体" w:cs="仿宋_GB2312"/>
          <w:b/>
          <w:bCs/>
          <w:szCs w:val="21"/>
        </w:rPr>
        <w:t>服务内容、技术标准、工作质量要求</w:t>
      </w:r>
      <w:r>
        <w:rPr>
          <w:rFonts w:hint="eastAsia" w:ascii="宋体" w:hAnsi="宋体" w:cs="仿宋_GB2312"/>
          <w:b/>
          <w:bCs/>
          <w:szCs w:val="21"/>
          <w:lang w:eastAsia="zh-CN"/>
        </w:rPr>
        <w:t>：</w:t>
      </w:r>
    </w:p>
    <w:p w14:paraId="5C0A14E2">
      <w:pPr>
        <w:keepNext w:val="0"/>
        <w:keepLines w:val="0"/>
        <w:pageBreakBefore w:val="0"/>
        <w:widowControl/>
        <w:kinsoku/>
        <w:wordWrap/>
        <w:overflowPunct/>
        <w:topLinePunct/>
        <w:autoSpaceDE/>
        <w:autoSpaceDN/>
        <w:bidi w:val="0"/>
        <w:adjustRightInd w:val="0"/>
        <w:snapToGrid w:val="0"/>
        <w:spacing w:line="360" w:lineRule="auto"/>
        <w:ind w:firstLine="422" w:firstLineChars="200"/>
        <w:textAlignment w:val="auto"/>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（一）项目服务要求</w:t>
      </w:r>
    </w:p>
    <w:p w14:paraId="10DEF8D6">
      <w:pPr>
        <w:keepNext w:val="0"/>
        <w:keepLines w:val="0"/>
        <w:pageBreakBefore w:val="0"/>
        <w:widowControl/>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服务内容</w:t>
      </w:r>
      <w:r>
        <w:rPr>
          <w:rFonts w:hint="eastAsia" w:ascii="宋体" w:hAnsi="宋体" w:eastAsia="宋体" w:cs="宋体"/>
          <w:color w:val="auto"/>
          <w:sz w:val="21"/>
          <w:szCs w:val="21"/>
          <w:lang w:eastAsia="zh-CN"/>
        </w:rPr>
        <w:t>：协助本街道涉</w:t>
      </w:r>
      <w:r>
        <w:rPr>
          <w:rFonts w:hint="eastAsia" w:ascii="宋体" w:hAnsi="宋体" w:eastAsia="宋体" w:cs="宋体"/>
          <w:color w:val="auto"/>
          <w:sz w:val="21"/>
          <w:szCs w:val="21"/>
          <w:lang w:val="en-US" w:eastAsia="zh-CN"/>
        </w:rPr>
        <w:t>空港片区</w:t>
      </w:r>
      <w:r>
        <w:rPr>
          <w:rFonts w:hint="eastAsia" w:ascii="宋体" w:hAnsi="宋体" w:eastAsia="宋体" w:cs="宋体"/>
          <w:color w:val="auto"/>
          <w:sz w:val="21"/>
          <w:szCs w:val="21"/>
          <w:lang w:eastAsia="zh-CN"/>
        </w:rPr>
        <w:t>纠纷案件化解，依法调解公民与公民之间、公民与法人和其他社会组织之间涉及民事权利义务争议的民间纠纷；完成采购人安排的有关人民调解的其他工作</w:t>
      </w:r>
      <w:r>
        <w:rPr>
          <w:rFonts w:hint="eastAsia" w:ascii="宋体" w:hAnsi="宋体" w:eastAsia="宋体" w:cs="宋体"/>
          <w:color w:val="auto"/>
          <w:sz w:val="21"/>
          <w:szCs w:val="21"/>
          <w:lang w:val="en-US" w:eastAsia="zh-CN"/>
        </w:rPr>
        <w:t>及</w:t>
      </w:r>
      <w:r>
        <w:rPr>
          <w:rFonts w:hint="eastAsia" w:ascii="宋体" w:hAnsi="宋体" w:eastAsia="宋体" w:cs="宋体"/>
          <w:color w:val="auto"/>
          <w:sz w:val="21"/>
          <w:szCs w:val="21"/>
          <w:lang w:eastAsia="zh-CN"/>
        </w:rPr>
        <w:t>开展法律、调解相关</w:t>
      </w:r>
      <w:r>
        <w:rPr>
          <w:rFonts w:hint="eastAsia" w:ascii="宋体" w:hAnsi="宋体" w:eastAsia="宋体" w:cs="宋体"/>
          <w:color w:val="auto"/>
          <w:sz w:val="21"/>
          <w:szCs w:val="21"/>
          <w:lang w:val="en-US" w:eastAsia="zh-CN"/>
        </w:rPr>
        <w:t>培训</w:t>
      </w:r>
      <w:r>
        <w:rPr>
          <w:rFonts w:hint="eastAsia" w:ascii="宋体" w:hAnsi="宋体" w:eastAsia="宋体" w:cs="宋体"/>
          <w:color w:val="auto"/>
          <w:sz w:val="21"/>
          <w:szCs w:val="21"/>
          <w:lang w:eastAsia="zh-CN"/>
        </w:rPr>
        <w:t>；服务团队共</w:t>
      </w:r>
      <w:r>
        <w:rPr>
          <w:rFonts w:hint="eastAsia" w:ascii="宋体" w:hAnsi="宋体" w:eastAsia="宋体" w:cs="宋体"/>
          <w:color w:val="auto"/>
          <w:sz w:val="21"/>
          <w:szCs w:val="21"/>
          <w:lang w:val="en-US" w:eastAsia="zh-CN"/>
        </w:rPr>
        <w:t>4人，其中3名工作人员在福永街道辖区现场办公</w:t>
      </w:r>
      <w:r>
        <w:rPr>
          <w:rFonts w:hint="eastAsia" w:ascii="宋体" w:hAnsi="宋体" w:eastAsia="宋体" w:cs="宋体"/>
          <w:color w:val="auto"/>
          <w:sz w:val="21"/>
          <w:szCs w:val="21"/>
          <w:lang w:eastAsia="zh-CN"/>
        </w:rPr>
        <w:t>。</w:t>
      </w:r>
    </w:p>
    <w:p w14:paraId="54F7D94A">
      <w:pPr>
        <w:keepNext w:val="0"/>
        <w:keepLines w:val="0"/>
        <w:pageBreakBefore w:val="0"/>
        <w:widowControl/>
        <w:kinsoku/>
        <w:wordWrap/>
        <w:overflowPunct/>
        <w:topLinePunct/>
        <w:autoSpaceDE/>
        <w:autoSpaceDN/>
        <w:bidi w:val="0"/>
        <w:adjustRightInd w:val="0"/>
        <w:snapToGrid w:val="0"/>
        <w:spacing w:line="360" w:lineRule="auto"/>
        <w:ind w:firstLine="422" w:firstLineChars="200"/>
        <w:textAlignment w:val="auto"/>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（二）人员要求</w:t>
      </w:r>
    </w:p>
    <w:p w14:paraId="70E25DA2">
      <w:pPr>
        <w:keepNext w:val="0"/>
        <w:keepLines w:val="0"/>
        <w:pageBreakBefore w:val="0"/>
        <w:widowControl/>
        <w:kinsoku/>
        <w:wordWrap/>
        <w:overflowPunct/>
        <w:topLinePunct/>
        <w:autoSpaceDE/>
        <w:autoSpaceDN/>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聘请用以担任人民调解的人</w:t>
      </w:r>
      <w:r>
        <w:rPr>
          <w:rFonts w:hint="eastAsia" w:ascii="宋体" w:hAnsi="宋体" w:eastAsia="宋体" w:cs="宋体"/>
          <w:color w:val="auto"/>
          <w:sz w:val="21"/>
          <w:szCs w:val="21"/>
          <w:highlight w:val="none"/>
          <w:lang w:val="en-US" w:eastAsia="zh-CN"/>
        </w:rPr>
        <w:t>员</w:t>
      </w:r>
      <w:r>
        <w:rPr>
          <w:rFonts w:hint="eastAsia" w:ascii="宋体" w:hAnsi="宋体" w:eastAsia="宋体" w:cs="宋体"/>
          <w:color w:val="auto"/>
          <w:sz w:val="21"/>
          <w:szCs w:val="21"/>
          <w:highlight w:val="none"/>
        </w:rPr>
        <w:t>应具备下列条件：</w:t>
      </w:r>
    </w:p>
    <w:p w14:paraId="1B247699">
      <w:pPr>
        <w:keepNext w:val="0"/>
        <w:keepLines w:val="0"/>
        <w:pageBreakBefore w:val="0"/>
        <w:widowControl/>
        <w:kinsoku/>
        <w:wordWrap/>
        <w:overflowPunct/>
        <w:topLinePunct/>
        <w:autoSpaceDE/>
        <w:autoSpaceDN/>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1.身体健康，品行端正，办事公道，热爱人民调解工作；</w:t>
      </w:r>
    </w:p>
    <w:p w14:paraId="5C948239">
      <w:pPr>
        <w:keepNext w:val="0"/>
        <w:keepLines w:val="0"/>
        <w:pageBreakBefore w:val="0"/>
        <w:widowControl/>
        <w:kinsoku/>
        <w:wordWrap/>
        <w:overflowPunct/>
        <w:topLinePunct/>
        <w:autoSpaceDE/>
        <w:autoSpaceDN/>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2.有社会责任感，无违法犯罪记录；</w:t>
      </w:r>
    </w:p>
    <w:p w14:paraId="7BCDCD9E">
      <w:pPr>
        <w:keepNext w:val="0"/>
        <w:keepLines w:val="0"/>
        <w:pageBreakBefore w:val="0"/>
        <w:widowControl/>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val="0"/>
          <w:color w:val="auto"/>
          <w:sz w:val="21"/>
          <w:szCs w:val="21"/>
          <w:highlight w:val="none"/>
        </w:rPr>
        <w:t>3.服务团队中</w:t>
      </w:r>
      <w:r>
        <w:rPr>
          <w:rFonts w:hint="eastAsia" w:ascii="宋体" w:hAnsi="宋体" w:cs="宋体"/>
          <w:b w:val="0"/>
          <w:color w:val="auto"/>
          <w:sz w:val="21"/>
          <w:szCs w:val="21"/>
          <w:highlight w:val="none"/>
          <w:lang w:eastAsia="zh-CN"/>
        </w:rPr>
        <w:t>负</w:t>
      </w:r>
      <w:r>
        <w:rPr>
          <w:rFonts w:hint="eastAsia" w:ascii="宋体" w:hAnsi="宋体" w:eastAsia="宋体" w:cs="宋体"/>
          <w:color w:val="auto"/>
          <w:sz w:val="21"/>
          <w:szCs w:val="21"/>
          <w:lang w:val="en-US" w:eastAsia="zh-CN"/>
        </w:rPr>
        <w:t>责人需是执业律师；其他成员具有大专以上学历，有较强的组织能力和丰富的群众工作经验以及公文处理能力；</w:t>
      </w:r>
    </w:p>
    <w:p w14:paraId="1F09966A">
      <w:pPr>
        <w:keepNext w:val="0"/>
        <w:keepLines w:val="0"/>
        <w:pageBreakBefore w:val="0"/>
        <w:widowControl/>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4.具有政法机关、基层人民调解委员会工作经历的优先录用；</w:t>
      </w:r>
    </w:p>
    <w:p w14:paraId="4DB6EBB5">
      <w:pPr>
        <w:keepNext w:val="0"/>
        <w:keepLines w:val="0"/>
        <w:pageBreakBefore w:val="0"/>
        <w:widowControl/>
        <w:kinsoku/>
        <w:wordWrap/>
        <w:overflowPunct/>
        <w:topLinePunct/>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5.有一定的政策理论水平、良好的沟通协调能力、应急处理能力，能独立承办岗位工作要求事项。</w:t>
      </w:r>
    </w:p>
    <w:p w14:paraId="466C0229">
      <w:pPr>
        <w:keepNext w:val="0"/>
        <w:keepLines w:val="0"/>
        <w:pageBreakBefore w:val="0"/>
        <w:widowControl/>
        <w:kinsoku/>
        <w:wordWrap/>
        <w:overflowPunct/>
        <w:topLinePunct/>
        <w:autoSpaceDE/>
        <w:autoSpaceDN/>
        <w:bidi w:val="0"/>
        <w:adjustRightInd w:val="0"/>
        <w:snapToGrid/>
        <w:spacing w:line="360" w:lineRule="auto"/>
        <w:ind w:firstLine="422" w:firstLineChars="200"/>
        <w:textAlignment w:val="auto"/>
        <w:rPr>
          <w:rFonts w:hint="eastAsia" w:ascii="宋体" w:hAnsi="宋体" w:eastAsia="宋体" w:cs="宋体"/>
          <w:b/>
          <w:sz w:val="21"/>
          <w:szCs w:val="21"/>
          <w:lang w:val="en-US" w:eastAsia="zh-CN"/>
        </w:rPr>
      </w:pPr>
      <w:r>
        <w:rPr>
          <w:rFonts w:hint="eastAsia" w:ascii="宋体" w:hAnsi="宋体" w:cs="宋体"/>
          <w:b/>
          <w:bCs/>
          <w:sz w:val="21"/>
          <w:szCs w:val="21"/>
          <w:lang w:val="en-US" w:eastAsia="zh-CN"/>
        </w:rPr>
        <w:t>（</w:t>
      </w:r>
      <w:r>
        <w:rPr>
          <w:rFonts w:hint="eastAsia" w:ascii="宋体" w:hAnsi="宋体" w:eastAsia="宋体" w:cs="宋体"/>
          <w:b/>
          <w:bCs/>
          <w:sz w:val="21"/>
          <w:szCs w:val="21"/>
          <w:lang w:val="en-US" w:eastAsia="zh-CN"/>
        </w:rPr>
        <w:t>三</w:t>
      </w:r>
      <w:r>
        <w:rPr>
          <w:rFonts w:hint="eastAsia" w:ascii="宋体" w:hAnsi="宋体" w:cs="宋体"/>
          <w:b/>
          <w:bCs/>
          <w:sz w:val="21"/>
          <w:szCs w:val="21"/>
          <w:lang w:val="en-US" w:eastAsia="zh-CN"/>
        </w:rPr>
        <w:t>）</w:t>
      </w:r>
      <w:r>
        <w:rPr>
          <w:rFonts w:hint="eastAsia" w:ascii="宋体" w:hAnsi="宋体" w:eastAsia="宋体" w:cs="宋体"/>
          <w:b/>
          <w:sz w:val="21"/>
          <w:szCs w:val="21"/>
          <w:lang w:val="en-US" w:eastAsia="zh-CN"/>
        </w:rPr>
        <w:t>其他要求</w:t>
      </w:r>
    </w:p>
    <w:p w14:paraId="546D8B18">
      <w:pPr>
        <w:keepNext w:val="0"/>
        <w:keepLines w:val="0"/>
        <w:pageBreakBefore w:val="0"/>
        <w:widowControl/>
        <w:kinsoku/>
        <w:wordWrap/>
        <w:overflowPunct/>
        <w:autoSpaceDE/>
        <w:autoSpaceDN/>
        <w:bidi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1.新上岗的服务人员需由中标机构面试，采购单位把关。自服务人员到岗之日起算，若服务人员与招标文件要求不符，采购单位可要求中标机构在 7 日内调换。</w:t>
      </w:r>
    </w:p>
    <w:p w14:paraId="48A4982E">
      <w:pPr>
        <w:keepNext w:val="0"/>
        <w:keepLines w:val="0"/>
        <w:pageBreakBefore w:val="0"/>
        <w:widowControl/>
        <w:kinsoku/>
        <w:wordWrap/>
        <w:overflowPunct/>
        <w:autoSpaceDE/>
        <w:autoSpaceDN/>
        <w:bidi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2.因中标机构服务人员自身原因客观上不能履行或提供服务内容，中标机构应在不影响采购人及派驻单位正常工作的情况下，立即安排相应服务人员接替。</w:t>
      </w:r>
    </w:p>
    <w:p w14:paraId="33597006">
      <w:pPr>
        <w:pStyle w:val="10"/>
        <w:keepNext w:val="0"/>
        <w:keepLines w:val="0"/>
        <w:pageBreakBefore w:val="0"/>
        <w:kinsoku/>
        <w:wordWrap/>
        <w:overflowPunct/>
        <w:autoSpaceDE/>
        <w:autoSpaceDN/>
        <w:bidi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 xml:space="preserve">3.合理应对项目岗位空缺、人员流动等情况，包括休长假（10个工作日以上假期）人员岗位安排计划。 </w:t>
      </w:r>
    </w:p>
    <w:p w14:paraId="6209C8D1">
      <w:pPr>
        <w:keepNext w:val="0"/>
        <w:keepLines w:val="0"/>
        <w:pageBreakBefore w:val="0"/>
        <w:widowControl/>
        <w:kinsoku/>
        <w:wordWrap/>
        <w:overflowPunct/>
        <w:autoSpaceDE/>
        <w:autoSpaceDN/>
        <w:bidi w:val="0"/>
        <w:spacing w:line="360" w:lineRule="auto"/>
        <w:ind w:firstLine="420" w:firstLineChars="200"/>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4.项目人员空岗不得超过5个工作日，项目不得出现项目人员不符合要求的情况，项目实施方案完成度应≧100%。</w:t>
      </w:r>
    </w:p>
    <w:p w14:paraId="5291C78A">
      <w:pPr>
        <w:keepNext w:val="0"/>
        <w:keepLines w:val="0"/>
        <w:pageBreakBefore w:val="0"/>
        <w:widowControl/>
        <w:kinsoku/>
        <w:wordWrap/>
        <w:overflowPunct/>
        <w:autoSpaceDE/>
        <w:autoSpaceDN/>
        <w:bidi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.因中标机构服务人员工作失职、故意行为、违法犯罪等行为造成采购人及派驻单位损失的，中标机构应协助对服务人员进行处理并赔偿全部损失。</w:t>
      </w:r>
    </w:p>
    <w:p w14:paraId="0D948B30">
      <w:pPr>
        <w:pStyle w:val="4"/>
        <w:keepNext w:val="0"/>
        <w:keepLines w:val="0"/>
        <w:pageBreakBefore w:val="0"/>
        <w:widowControl/>
        <w:numPr>
          <w:ilvl w:val="0"/>
          <w:numId w:val="0"/>
        </w:numPr>
        <w:kinsoku/>
        <w:wordWrap/>
        <w:overflowPunct/>
        <w:autoSpaceDE/>
        <w:autoSpaceDN/>
        <w:bidi w:val="0"/>
        <w:spacing w:after="0" w:line="360" w:lineRule="auto"/>
        <w:ind w:firstLine="420" w:firstLineChars="200"/>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6</w:t>
      </w:r>
      <w:r>
        <w:rPr>
          <w:rFonts w:hint="eastAsia" w:ascii="宋体" w:hAnsi="宋体" w:eastAsia="宋体" w:cs="宋体"/>
          <w:color w:val="auto"/>
          <w:kern w:val="2"/>
          <w:sz w:val="21"/>
          <w:szCs w:val="21"/>
        </w:rPr>
        <w:t>.投标人中标后根据项目实际情况，在中标后1个月内继续完善项目工作方案，并经采购单位确定后予以实施。</w:t>
      </w:r>
    </w:p>
    <w:p w14:paraId="1AD91EB0">
      <w:pPr>
        <w:keepNext w:val="0"/>
        <w:keepLines w:val="0"/>
        <w:pageBreakBefore w:val="0"/>
        <w:kinsoku/>
        <w:wordWrap/>
        <w:overflowPunct/>
        <w:topLinePunct/>
        <w:autoSpaceDE/>
        <w:autoSpaceDN/>
        <w:bidi w:val="0"/>
        <w:adjustRightInd w:val="0"/>
        <w:spacing w:line="360" w:lineRule="auto"/>
        <w:ind w:firstLine="422" w:firstLineChars="200"/>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（四）服务指标</w:t>
      </w:r>
    </w:p>
    <w:p w14:paraId="70A03A62">
      <w:pPr>
        <w:pStyle w:val="10"/>
        <w:keepNext w:val="0"/>
        <w:keepLines w:val="0"/>
        <w:pageBreakBefore w:val="0"/>
        <w:kinsoku/>
        <w:wordWrap/>
        <w:overflowPunct/>
        <w:autoSpaceDE/>
        <w:autoSpaceDN/>
        <w:bidi w:val="0"/>
        <w:spacing w:line="360" w:lineRule="auto"/>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1.服务时长：驻点现场人员每人每周在福永街道到岗服务时间不低于35小时。</w:t>
      </w:r>
    </w:p>
    <w:p w14:paraId="57D3B9D5">
      <w:pPr>
        <w:keepNext w:val="0"/>
        <w:keepLines w:val="0"/>
        <w:pageBreakBefore w:val="0"/>
        <w:kinsoku/>
        <w:wordWrap/>
        <w:overflowPunct/>
        <w:autoSpaceDE/>
        <w:autoSpaceDN/>
        <w:bidi w:val="0"/>
        <w:spacing w:line="360" w:lineRule="auto"/>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2.矛盾纠纷化解数量：20宗/年（团队协助人民调解组织参与调解各类矛盾纠纷次数）。</w:t>
      </w:r>
    </w:p>
    <w:p w14:paraId="19E303F2">
      <w:pPr>
        <w:pStyle w:val="10"/>
        <w:keepNext w:val="0"/>
        <w:keepLines w:val="0"/>
        <w:pageBreakBefore w:val="0"/>
        <w:kinsoku/>
        <w:wordWrap/>
        <w:overflowPunct/>
        <w:autoSpaceDE/>
        <w:autoSpaceDN/>
        <w:bidi w:val="0"/>
        <w:spacing w:line="360" w:lineRule="auto"/>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3.矛盾纠纷排查处置：100次/年（团队开展矛盾纠纷排查处置次数）。</w:t>
      </w:r>
    </w:p>
    <w:p w14:paraId="7B3999D7">
      <w:pPr>
        <w:keepNext w:val="0"/>
        <w:keepLines w:val="0"/>
        <w:pageBreakBefore w:val="0"/>
        <w:kinsoku/>
        <w:wordWrap/>
        <w:overflowPunct/>
        <w:topLinePunct/>
        <w:autoSpaceDE/>
        <w:autoSpaceDN/>
        <w:bidi w:val="0"/>
        <w:adjustRightInd w:val="0"/>
        <w:spacing w:line="360" w:lineRule="auto"/>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4.培训：1个工作日（团队每年参加集中轮训不得少于1个工作日，且新入职员工需完成一次调解岗位岗前培训）。</w:t>
      </w:r>
    </w:p>
    <w:p w14:paraId="36A03212">
      <w:pPr>
        <w:pStyle w:val="10"/>
        <w:keepNext w:val="0"/>
        <w:keepLines w:val="0"/>
        <w:pageBreakBefore w:val="0"/>
        <w:kinsoku/>
        <w:wordWrap/>
        <w:overflowPunct/>
        <w:autoSpaceDE/>
        <w:autoSpaceDN/>
        <w:bidi w:val="0"/>
        <w:spacing w:line="360" w:lineRule="auto"/>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5.活动：2场次（团队全年累计参与开展法治宣传和公民道德教育不低于2场次）。</w:t>
      </w:r>
    </w:p>
    <w:p w14:paraId="76602BA8">
      <w:pPr>
        <w:keepNext w:val="0"/>
        <w:keepLines w:val="0"/>
        <w:pageBreakBefore w:val="0"/>
        <w:kinsoku/>
        <w:wordWrap/>
        <w:overflowPunct/>
        <w:topLinePunct/>
        <w:autoSpaceDE/>
        <w:autoSpaceDN/>
        <w:bidi w:val="0"/>
        <w:adjustRightInd w:val="0"/>
        <w:spacing w:line="360" w:lineRule="auto"/>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6.服务使用方交办的工作：根据实际情况执行。</w:t>
      </w:r>
    </w:p>
    <w:p w14:paraId="216F0A4C">
      <w:pPr>
        <w:keepNext w:val="0"/>
        <w:keepLines w:val="0"/>
        <w:pageBreakBefore w:val="0"/>
        <w:kinsoku/>
        <w:wordWrap/>
        <w:overflowPunct/>
        <w:topLinePunct/>
        <w:autoSpaceDE/>
        <w:autoSpaceDN/>
        <w:bidi w:val="0"/>
        <w:adjustRightInd w:val="0"/>
        <w:spacing w:line="360" w:lineRule="auto"/>
        <w:ind w:firstLine="422" w:firstLineChars="200"/>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w:t>
      </w:r>
      <w:r>
        <w:rPr>
          <w:rFonts w:hint="eastAsia" w:ascii="宋体" w:hAnsi="宋体" w:eastAsia="宋体" w:cs="宋体"/>
          <w:b/>
          <w:bCs/>
          <w:color w:val="auto"/>
          <w:sz w:val="21"/>
          <w:szCs w:val="21"/>
          <w:lang w:val="en-US" w:eastAsia="zh-CN"/>
        </w:rPr>
        <w:t>五</w:t>
      </w:r>
      <w:r>
        <w:rPr>
          <w:rFonts w:hint="eastAsia" w:ascii="宋体" w:hAnsi="宋体" w:cs="宋体"/>
          <w:b/>
          <w:bCs/>
          <w:color w:val="auto"/>
          <w:sz w:val="21"/>
          <w:szCs w:val="21"/>
          <w:lang w:val="en-US" w:eastAsia="zh-CN"/>
        </w:rPr>
        <w:t>）</w:t>
      </w:r>
      <w:r>
        <w:rPr>
          <w:rFonts w:hint="eastAsia" w:ascii="宋体" w:hAnsi="宋体" w:eastAsia="宋体" w:cs="宋体"/>
          <w:b/>
          <w:bCs/>
          <w:color w:val="auto"/>
          <w:sz w:val="21"/>
          <w:szCs w:val="21"/>
        </w:rPr>
        <w:t>项目监管和考核办法</w:t>
      </w:r>
    </w:p>
    <w:p w14:paraId="38CDE9F7">
      <w:pPr>
        <w:keepNext w:val="0"/>
        <w:keepLines w:val="0"/>
        <w:pageBreakBefore w:val="0"/>
        <w:widowControl/>
        <w:kinsoku/>
        <w:wordWrap/>
        <w:overflowPunct/>
        <w:autoSpaceDE/>
        <w:autoSpaceDN/>
        <w:bidi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1.中标人应保证人民调解</w:t>
      </w:r>
      <w:r>
        <w:rPr>
          <w:rFonts w:hint="eastAsia" w:ascii="宋体" w:hAnsi="宋体" w:eastAsia="宋体" w:cs="宋体"/>
          <w:color w:val="auto"/>
          <w:sz w:val="21"/>
          <w:szCs w:val="21"/>
          <w:lang w:val="en-US" w:eastAsia="zh-CN"/>
        </w:rPr>
        <w:t>人</w:t>
      </w:r>
      <w:r>
        <w:rPr>
          <w:rFonts w:hint="eastAsia" w:ascii="宋体" w:hAnsi="宋体" w:eastAsia="宋体" w:cs="宋体"/>
          <w:color w:val="auto"/>
          <w:sz w:val="21"/>
          <w:szCs w:val="21"/>
        </w:rPr>
        <w:t>员到岗到位，出现离职或者不符合要求被退回等情况应及时补充人民调解员到岗，若出现岗位空缺超过1个月的，</w:t>
      </w:r>
      <w:r>
        <w:rPr>
          <w:rFonts w:hint="eastAsia" w:ascii="宋体" w:hAnsi="宋体" w:eastAsia="宋体" w:cs="宋体"/>
          <w:color w:val="auto"/>
          <w:sz w:val="21"/>
          <w:szCs w:val="21"/>
          <w:lang w:eastAsia="zh-CN"/>
        </w:rPr>
        <w:t>采购单位</w:t>
      </w:r>
      <w:r>
        <w:rPr>
          <w:rFonts w:hint="eastAsia" w:ascii="宋体" w:hAnsi="宋体" w:eastAsia="宋体" w:cs="宋体"/>
          <w:color w:val="auto"/>
          <w:sz w:val="21"/>
          <w:szCs w:val="21"/>
        </w:rPr>
        <w:t>有权从服务费用中扣除该期间此岗位法律服务费用。</w:t>
      </w:r>
    </w:p>
    <w:p w14:paraId="6D7679EF">
      <w:pPr>
        <w:keepNext w:val="0"/>
        <w:keepLines w:val="0"/>
        <w:pageBreakBefore w:val="0"/>
        <w:widowControl/>
        <w:kinsoku/>
        <w:wordWrap/>
        <w:overflowPunct/>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2.合同满一年后1个月内，中标机构需提供本项目在岗调解员年度社保清单</w:t>
      </w:r>
      <w:r>
        <w:rPr>
          <w:rFonts w:hint="eastAsia" w:ascii="宋体" w:hAnsi="宋体" w:eastAsia="宋体" w:cs="宋体"/>
          <w:color w:val="auto"/>
          <w:sz w:val="21"/>
          <w:szCs w:val="21"/>
          <w:highlight w:val="none"/>
          <w:lang w:val="en-US" w:eastAsia="zh-CN"/>
        </w:rPr>
        <w:t>方</w:t>
      </w:r>
      <w:r>
        <w:rPr>
          <w:rFonts w:hint="eastAsia" w:ascii="宋体" w:hAnsi="宋体" w:eastAsia="宋体" w:cs="宋体"/>
          <w:color w:val="auto"/>
          <w:sz w:val="21"/>
          <w:szCs w:val="21"/>
          <w:highlight w:val="none"/>
        </w:rPr>
        <w:t>为合格。</w:t>
      </w:r>
    </w:p>
    <w:p w14:paraId="4ACE695D">
      <w:pPr>
        <w:keepNext w:val="0"/>
        <w:keepLines w:val="0"/>
        <w:pageBreakBefore w:val="0"/>
        <w:widowControl/>
        <w:kinsoku/>
        <w:wordWrap/>
        <w:overflowPunct/>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3.中标机构每月提供一次本项目在岗人民调解员的工作考核记录，合同结束时将考核记录交予</w:t>
      </w:r>
      <w:r>
        <w:rPr>
          <w:rFonts w:hint="eastAsia" w:ascii="宋体" w:hAnsi="宋体" w:eastAsia="宋体" w:cs="宋体"/>
          <w:color w:val="auto"/>
          <w:sz w:val="21"/>
          <w:szCs w:val="21"/>
          <w:highlight w:val="none"/>
          <w:lang w:eastAsia="zh-CN"/>
        </w:rPr>
        <w:t>采购单位</w:t>
      </w:r>
      <w:r>
        <w:rPr>
          <w:rFonts w:hint="eastAsia" w:ascii="宋体" w:hAnsi="宋体" w:eastAsia="宋体" w:cs="宋体"/>
          <w:color w:val="auto"/>
          <w:sz w:val="21"/>
          <w:szCs w:val="21"/>
          <w:highlight w:val="none"/>
        </w:rPr>
        <w:t>为合格。</w:t>
      </w:r>
    </w:p>
    <w:p w14:paraId="1C0A0C1A">
      <w:pPr>
        <w:keepNext w:val="0"/>
        <w:keepLines w:val="0"/>
        <w:pageBreakBefore w:val="0"/>
        <w:widowControl/>
        <w:kinsoku/>
        <w:wordWrap/>
        <w:overflowPunct/>
        <w:autoSpaceDE/>
        <w:autoSpaceDN/>
        <w:bidi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rPr>
        <w:t>4.合同期结束前2个月内，</w:t>
      </w:r>
      <w:r>
        <w:rPr>
          <w:rFonts w:hint="eastAsia" w:ascii="宋体" w:hAnsi="宋体" w:eastAsia="宋体" w:cs="宋体"/>
          <w:color w:val="auto"/>
          <w:sz w:val="21"/>
          <w:szCs w:val="21"/>
          <w:highlight w:val="none"/>
          <w:lang w:eastAsia="zh-CN"/>
        </w:rPr>
        <w:t>采购单位</w:t>
      </w:r>
      <w:r>
        <w:rPr>
          <w:rFonts w:hint="eastAsia" w:ascii="宋体" w:hAnsi="宋体" w:eastAsia="宋体" w:cs="宋体"/>
          <w:color w:val="auto"/>
          <w:sz w:val="21"/>
          <w:szCs w:val="21"/>
          <w:highlight w:val="none"/>
        </w:rPr>
        <w:t>制定项目服务履约情况考评表，与用人单位根据服务供应商服务期内的合同履约情况、服务效果、服务质量、服务态度、服务</w:t>
      </w:r>
      <w:r>
        <w:rPr>
          <w:rFonts w:hint="eastAsia" w:ascii="宋体" w:hAnsi="宋体" w:eastAsia="宋体" w:cs="宋体"/>
          <w:color w:val="auto"/>
          <w:sz w:val="21"/>
          <w:szCs w:val="21"/>
        </w:rPr>
        <w:t>满意度等进行评价。评估结果为“满意”的，可作为续签合同的依据；评估结果为“不满意”的，终止合同，另行招标。</w:t>
      </w:r>
    </w:p>
    <w:p w14:paraId="51AEA3AC">
      <w:pPr>
        <w:keepNext w:val="0"/>
        <w:keepLines w:val="0"/>
        <w:pageBreakBefore w:val="0"/>
        <w:numPr>
          <w:ilvl w:val="0"/>
          <w:numId w:val="2"/>
        </w:numPr>
        <w:kinsoku/>
        <w:wordWrap/>
        <w:overflowPunct/>
        <w:topLinePunct w:val="0"/>
        <w:autoSpaceDE/>
        <w:autoSpaceDN/>
        <w:bidi w:val="0"/>
        <w:adjustRightInd/>
        <w:spacing w:after="25" w:afterLines="0" w:line="360" w:lineRule="auto"/>
        <w:ind w:firstLine="422" w:firstLineChars="200"/>
        <w:jc w:val="left"/>
        <w:textAlignment w:val="auto"/>
        <w:rPr>
          <w:rFonts w:hint="eastAsia" w:ascii="宋体" w:hAnsi="宋体" w:cs="仿宋_GB2312"/>
          <w:b/>
          <w:szCs w:val="21"/>
        </w:rPr>
      </w:pPr>
      <w:r>
        <w:rPr>
          <w:rFonts w:hint="eastAsia" w:ascii="宋体" w:hAnsi="宋体" w:cs="仿宋_GB2312"/>
          <w:b/>
          <w:szCs w:val="21"/>
        </w:rPr>
        <w:t>报价要求：</w:t>
      </w:r>
    </w:p>
    <w:p w14:paraId="440BF39E">
      <w:pPr>
        <w:keepNext w:val="0"/>
        <w:keepLines w:val="0"/>
        <w:pageBreakBefore w:val="0"/>
        <w:widowControl/>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（1）本项目财政控制金额为</w:t>
      </w:r>
      <w:r>
        <w:rPr>
          <w:rFonts w:hint="eastAsia" w:ascii="宋体" w:hAnsi="宋体" w:eastAsia="宋体" w:cs="宋体"/>
          <w:kern w:val="0"/>
          <w:sz w:val="21"/>
          <w:szCs w:val="21"/>
        </w:rPr>
        <w:t>343</w:t>
      </w: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rPr>
        <w:t>500.00元</w:t>
      </w:r>
      <w:r>
        <w:rPr>
          <w:rFonts w:hint="eastAsia" w:ascii="宋体" w:hAnsi="宋体" w:eastAsia="宋体" w:cs="宋体"/>
          <w:color w:val="auto"/>
          <w:sz w:val="21"/>
          <w:szCs w:val="21"/>
        </w:rPr>
        <w:t>；报价不得高于控制金额，否则将作无效投标处理。</w:t>
      </w:r>
    </w:p>
    <w:p w14:paraId="45598594">
      <w:pPr>
        <w:keepNext w:val="0"/>
        <w:keepLines w:val="0"/>
        <w:pageBreakBefore w:val="0"/>
        <w:widowControl/>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（2）投标总价以人民币报价，本项目服务费采用包干制，由投标人根据招标文件所提供的资料自行测算投标报价；一经中标，报价总价作为中标人与采购人签定的合同金额，合同期限内不做调整。</w:t>
      </w:r>
    </w:p>
    <w:p w14:paraId="2A7F56CA">
      <w:pPr>
        <w:keepNext w:val="0"/>
        <w:keepLines w:val="0"/>
        <w:pageBreakBefore w:val="0"/>
        <w:numPr>
          <w:ilvl w:val="0"/>
          <w:numId w:val="2"/>
        </w:numPr>
        <w:kinsoku/>
        <w:wordWrap/>
        <w:overflowPunct/>
        <w:autoSpaceDE/>
        <w:autoSpaceDN/>
        <w:bidi w:val="0"/>
        <w:spacing w:after="25" w:afterLines="0" w:line="360" w:lineRule="auto"/>
        <w:ind w:firstLine="422" w:firstLineChars="200"/>
        <w:jc w:val="left"/>
        <w:rPr>
          <w:rFonts w:hint="eastAsia" w:ascii="宋体" w:hAnsi="宋体" w:cs="仿宋_GB2312"/>
          <w:b/>
          <w:szCs w:val="21"/>
        </w:rPr>
      </w:pPr>
      <w:r>
        <w:rPr>
          <w:rFonts w:hint="eastAsia" w:ascii="宋体" w:hAnsi="宋体" w:cs="仿宋_GB2312"/>
          <w:b/>
          <w:szCs w:val="21"/>
        </w:rPr>
        <w:t>付款方式：</w:t>
      </w:r>
    </w:p>
    <w:p w14:paraId="6DC4AD55">
      <w:pPr>
        <w:keepNext w:val="0"/>
        <w:keepLines w:val="0"/>
        <w:pageBreakBefore w:val="0"/>
        <w:widowControl/>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（1）分三期支付。第一期在202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年合同签订并生效后</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lang w:eastAsia="zh-CN"/>
        </w:rPr>
        <w:t>个月</w:t>
      </w:r>
      <w:r>
        <w:rPr>
          <w:rFonts w:hint="eastAsia" w:ascii="宋体" w:hAnsi="宋体" w:eastAsia="宋体" w:cs="宋体"/>
          <w:color w:val="auto"/>
          <w:sz w:val="21"/>
          <w:szCs w:val="21"/>
        </w:rPr>
        <w:t>内</w:t>
      </w:r>
      <w:r>
        <w:rPr>
          <w:rFonts w:hint="eastAsia" w:ascii="宋体" w:hAnsi="宋体" w:eastAsia="宋体" w:cs="宋体"/>
          <w:color w:val="auto"/>
          <w:sz w:val="21"/>
          <w:szCs w:val="21"/>
          <w:lang w:eastAsia="zh-CN"/>
        </w:rPr>
        <w:t>支付</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即</w:t>
      </w:r>
      <w:r>
        <w:rPr>
          <w:rFonts w:hint="eastAsia" w:ascii="宋体" w:hAnsi="宋体" w:eastAsia="宋体" w:cs="宋体"/>
          <w:color w:val="auto"/>
          <w:sz w:val="21"/>
          <w:szCs w:val="21"/>
        </w:rPr>
        <w:t>甲方（采购人）向乙方（中标人）支付合同总价</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0</w:t>
      </w:r>
      <w:r>
        <w:rPr>
          <w:rFonts w:hint="eastAsia" w:ascii="宋体" w:hAnsi="宋体" w:eastAsia="宋体" w:cs="宋体"/>
          <w:color w:val="auto"/>
          <w:sz w:val="21"/>
          <w:szCs w:val="21"/>
        </w:rPr>
        <w:t>%的款项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具体数额以</w:t>
      </w:r>
      <w:r>
        <w:rPr>
          <w:rFonts w:hint="eastAsia" w:ascii="宋体" w:hAnsi="宋体" w:eastAsia="宋体" w:cs="宋体"/>
          <w:color w:val="auto"/>
          <w:sz w:val="21"/>
          <w:szCs w:val="21"/>
          <w:lang w:val="en-US" w:eastAsia="zh-CN"/>
        </w:rPr>
        <w:t>当年度财政安排</w:t>
      </w:r>
      <w:r>
        <w:rPr>
          <w:rFonts w:hint="eastAsia" w:ascii="宋体" w:hAnsi="宋体" w:eastAsia="宋体" w:cs="宋体"/>
          <w:color w:val="auto"/>
          <w:sz w:val="21"/>
          <w:szCs w:val="21"/>
        </w:rPr>
        <w:t>为准。</w:t>
      </w:r>
    </w:p>
    <w:p w14:paraId="5BD25046">
      <w:pPr>
        <w:keepNext w:val="0"/>
        <w:keepLines w:val="0"/>
        <w:pageBreakBefore w:val="0"/>
        <w:widowControl/>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（2）第二期在202</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月份支付</w:t>
      </w:r>
      <w:r>
        <w:rPr>
          <w:rFonts w:hint="eastAsia" w:ascii="宋体" w:hAnsi="宋体" w:eastAsia="宋体" w:cs="宋体"/>
          <w:color w:val="auto"/>
          <w:sz w:val="21"/>
          <w:szCs w:val="21"/>
          <w:lang w:val="en-US" w:eastAsia="zh-CN"/>
        </w:rPr>
        <w:t>55%</w:t>
      </w:r>
      <w:r>
        <w:rPr>
          <w:rFonts w:hint="eastAsia" w:ascii="宋体" w:hAnsi="宋体" w:eastAsia="宋体" w:cs="宋体"/>
          <w:color w:val="auto"/>
          <w:sz w:val="21"/>
          <w:szCs w:val="21"/>
          <w:lang w:eastAsia="zh-CN"/>
        </w:rPr>
        <w:t>，即</w:t>
      </w:r>
      <w:r>
        <w:rPr>
          <w:rFonts w:hint="eastAsia" w:ascii="宋体" w:hAnsi="宋体" w:eastAsia="宋体" w:cs="宋体"/>
          <w:color w:val="auto"/>
          <w:sz w:val="21"/>
          <w:szCs w:val="21"/>
        </w:rPr>
        <w:t>甲方（采购人）向乙方（中标人）支付合同总价</w:t>
      </w:r>
      <w:r>
        <w:rPr>
          <w:rFonts w:hint="eastAsia" w:ascii="宋体" w:hAnsi="宋体" w:eastAsia="宋体" w:cs="宋体"/>
          <w:color w:val="auto"/>
          <w:sz w:val="21"/>
          <w:szCs w:val="21"/>
          <w:lang w:val="en-US" w:eastAsia="zh-CN"/>
        </w:rPr>
        <w:t>55</w:t>
      </w:r>
      <w:r>
        <w:rPr>
          <w:rFonts w:hint="eastAsia" w:ascii="宋体" w:hAnsi="宋体" w:eastAsia="宋体" w:cs="宋体"/>
          <w:color w:val="auto"/>
          <w:sz w:val="21"/>
          <w:szCs w:val="21"/>
        </w:rPr>
        <w:t>%的款项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具体数额以</w:t>
      </w:r>
      <w:r>
        <w:rPr>
          <w:rFonts w:hint="eastAsia" w:ascii="宋体" w:hAnsi="宋体" w:eastAsia="宋体" w:cs="宋体"/>
          <w:color w:val="auto"/>
          <w:sz w:val="21"/>
          <w:szCs w:val="21"/>
          <w:lang w:val="en-US" w:eastAsia="zh-CN"/>
        </w:rPr>
        <w:t>当年度财政安排</w:t>
      </w:r>
      <w:r>
        <w:rPr>
          <w:rFonts w:hint="eastAsia" w:ascii="宋体" w:hAnsi="宋体" w:eastAsia="宋体" w:cs="宋体"/>
          <w:color w:val="auto"/>
          <w:sz w:val="21"/>
          <w:szCs w:val="21"/>
        </w:rPr>
        <w:t>为准。</w:t>
      </w:r>
    </w:p>
    <w:p w14:paraId="605845EA">
      <w:pPr>
        <w:keepNext w:val="0"/>
        <w:keepLines w:val="0"/>
        <w:pageBreakBefore w:val="0"/>
        <w:widowControl/>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（3）第三期在合同期满，且经采购人验收通过后，甲方（采购人）向乙方（中标人）支付合同总价</w:t>
      </w:r>
      <w:r>
        <w:rPr>
          <w:rFonts w:hint="eastAsia" w:ascii="宋体" w:hAnsi="宋体" w:eastAsia="宋体" w:cs="宋体"/>
          <w:color w:val="auto"/>
          <w:sz w:val="21"/>
          <w:szCs w:val="21"/>
          <w:lang w:eastAsia="zh-CN"/>
        </w:rPr>
        <w:t>的全部</w:t>
      </w:r>
      <w:r>
        <w:rPr>
          <w:rFonts w:hint="eastAsia" w:ascii="宋体" w:hAnsi="宋体" w:eastAsia="宋体" w:cs="宋体"/>
          <w:color w:val="auto"/>
          <w:sz w:val="21"/>
          <w:szCs w:val="21"/>
        </w:rPr>
        <w:t>剩余款项。</w:t>
      </w:r>
    </w:p>
    <w:p w14:paraId="2AD64090">
      <w:pPr>
        <w:keepNext w:val="0"/>
        <w:keepLines w:val="0"/>
        <w:pageBreakBefore w:val="0"/>
        <w:widowControl/>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（4）每期款项以采购单位实际财政预算金额为准，因采购单位内部付款审批流程所需时间不计算在付款期限内（即因采购单位付款审批流程及预算调整导致未及时支付的不视为招标单位违约）。</w:t>
      </w:r>
    </w:p>
    <w:p w14:paraId="6DCBB897">
      <w:pPr>
        <w:keepNext w:val="0"/>
        <w:keepLines w:val="0"/>
        <w:pageBreakBefore w:val="0"/>
        <w:widowControl/>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（5）因中标供应商原因或财政支付程序导致付款迟延的，招标单位不承担任何责任，中标供应商应当继续履行完成任务。</w:t>
      </w:r>
    </w:p>
    <w:p w14:paraId="3B94F25B">
      <w:pPr>
        <w:keepNext w:val="0"/>
        <w:keepLines w:val="0"/>
        <w:pageBreakBefore w:val="0"/>
        <w:widowControl/>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（6）中标供应商应当在甲方每期款项支付前向甲方</w:t>
      </w:r>
      <w:r>
        <w:rPr>
          <w:rFonts w:hint="eastAsia" w:ascii="宋体" w:hAnsi="宋体" w:eastAsia="宋体" w:cs="宋体"/>
          <w:color w:val="auto"/>
          <w:sz w:val="21"/>
          <w:szCs w:val="21"/>
        </w:rPr>
        <w:t>提供合法有效的发票</w:t>
      </w:r>
      <w:r>
        <w:rPr>
          <w:rFonts w:hint="eastAsia" w:ascii="宋体" w:hAnsi="宋体" w:eastAsia="宋体" w:cs="宋体"/>
          <w:color w:val="auto"/>
          <w:sz w:val="21"/>
          <w:szCs w:val="21"/>
          <w:lang w:eastAsia="zh-CN"/>
        </w:rPr>
        <w:t>等材料。</w:t>
      </w:r>
    </w:p>
    <w:p w14:paraId="7EE8D473">
      <w:pPr>
        <w:keepNext w:val="0"/>
        <w:keepLines w:val="0"/>
        <w:pageBreakBefore w:val="0"/>
        <w:numPr>
          <w:ilvl w:val="0"/>
          <w:numId w:val="2"/>
        </w:numPr>
        <w:kinsoku/>
        <w:wordWrap/>
        <w:overflowPunct/>
        <w:topLinePunct w:val="0"/>
        <w:autoSpaceDE/>
        <w:autoSpaceDN/>
        <w:bidi w:val="0"/>
        <w:adjustRightInd/>
        <w:spacing w:after="25" w:afterLines="0" w:line="360" w:lineRule="auto"/>
        <w:ind w:firstLine="422" w:firstLineChars="200"/>
        <w:jc w:val="left"/>
        <w:textAlignment w:val="auto"/>
        <w:rPr>
          <w:rFonts w:hint="eastAsia" w:ascii="宋体" w:hAnsi="宋体" w:eastAsia="宋体" w:cs="仿宋_GB2312"/>
          <w:b/>
          <w:szCs w:val="21"/>
        </w:rPr>
      </w:pPr>
      <w:r>
        <w:rPr>
          <w:rFonts w:hint="eastAsia" w:ascii="宋体" w:hAnsi="宋体" w:eastAsia="宋体" w:cs="仿宋_GB2312"/>
          <w:b/>
          <w:szCs w:val="21"/>
        </w:rPr>
        <w:t>关于验收：</w:t>
      </w:r>
      <w:r>
        <w:rPr>
          <w:rFonts w:hint="eastAsia" w:ascii="宋体" w:hAnsi="宋体" w:eastAsia="宋体" w:cs="宋体"/>
          <w:b w:val="0"/>
          <w:color w:val="auto"/>
          <w:sz w:val="21"/>
          <w:szCs w:val="21"/>
          <w:highlight w:val="none"/>
          <w:lang w:val="en-US" w:eastAsia="zh-CN"/>
        </w:rPr>
        <w:t>按照采购人服务类项目履约评价流程，对服务项目进行评价验收并支付项目尾款。</w:t>
      </w:r>
    </w:p>
    <w:p w14:paraId="756A8779">
      <w:pPr>
        <w:pStyle w:val="2"/>
        <w:keepNext w:val="0"/>
        <w:keepLines w:val="0"/>
        <w:pageBreakBefore w:val="0"/>
        <w:kinsoku/>
        <w:wordWrap/>
        <w:overflowPunct/>
        <w:topLinePunct w:val="0"/>
        <w:autoSpaceDE/>
        <w:autoSpaceDN/>
        <w:bidi w:val="0"/>
        <w:adjustRightInd/>
        <w:textAlignment w:val="auto"/>
      </w:pPr>
    </w:p>
    <w:p w14:paraId="552C48A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FA2C91"/>
    <w:multiLevelType w:val="singleLevel"/>
    <w:tmpl w:val="3DFA2C91"/>
    <w:lvl w:ilvl="0" w:tentative="0">
      <w:start w:val="1"/>
      <w:numFmt w:val="decimal"/>
      <w:lvlText w:val="%1."/>
      <w:lvlJc w:val="left"/>
      <w:pPr>
        <w:tabs>
          <w:tab w:val="left" w:pos="312"/>
        </w:tabs>
      </w:pPr>
    </w:lvl>
  </w:abstractNum>
  <w:abstractNum w:abstractNumId="1">
    <w:nsid w:val="541285ED"/>
    <w:multiLevelType w:val="singleLevel"/>
    <w:tmpl w:val="541285ED"/>
    <w:lvl w:ilvl="0" w:tentative="0">
      <w:start w:val="1"/>
      <w:numFmt w:val="decimal"/>
      <w:lvlText w:val="%1."/>
      <w:lvlJc w:val="left"/>
      <w:pPr>
        <w:tabs>
          <w:tab w:val="left" w:pos="312"/>
        </w:tabs>
      </w:pPr>
      <w:rPr>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F57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9"/>
    <w:qFormat/>
    <w:uiPriority w:val="9"/>
    <w:pPr>
      <w:keepNext/>
      <w:keepLines/>
      <w:spacing w:before="34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文档正文"/>
    <w:basedOn w:val="1"/>
    <w:qFormat/>
    <w:uiPriority w:val="0"/>
    <w:pPr>
      <w:spacing w:afterLines="0" w:line="360" w:lineRule="auto"/>
    </w:pPr>
    <w:rPr>
      <w:rFonts w:cs="Arial"/>
      <w:bCs/>
    </w:rPr>
  </w:style>
  <w:style w:type="paragraph" w:styleId="4">
    <w:name w:val="Body Text"/>
    <w:basedOn w:val="1"/>
    <w:next w:val="5"/>
    <w:qFormat/>
    <w:uiPriority w:val="99"/>
    <w:pPr>
      <w:tabs>
        <w:tab w:val="left" w:pos="4760"/>
      </w:tabs>
      <w:spacing w:afterLines="0"/>
      <w:jc w:val="left"/>
    </w:pPr>
  </w:style>
  <w:style w:type="paragraph" w:styleId="5">
    <w:name w:val="Title"/>
    <w:basedOn w:val="1"/>
    <w:next w:val="1"/>
    <w:qFormat/>
    <w:uiPriority w:val="0"/>
    <w:pPr>
      <w:spacing w:before="240" w:afterLines="0" w:line="240" w:lineRule="auto"/>
      <w:jc w:val="center"/>
      <w:outlineLvl w:val="0"/>
    </w:pPr>
    <w:rPr>
      <w:rFonts w:eastAsia="隶书"/>
      <w:b/>
      <w:sz w:val="32"/>
      <w:szCs w:val="20"/>
    </w:rPr>
  </w:style>
  <w:style w:type="paragraph" w:customStyle="1" w:styleId="8">
    <w:name w:val="1册标题1"/>
    <w:basedOn w:val="1"/>
    <w:next w:val="1"/>
    <w:qFormat/>
    <w:uiPriority w:val="0"/>
    <w:pPr>
      <w:spacing w:beforeLines="50" w:afterLines="50"/>
      <w:jc w:val="center"/>
      <w:outlineLvl w:val="0"/>
    </w:pPr>
    <w:rPr>
      <w:rFonts w:eastAsia="黑体"/>
      <w:b/>
      <w:bCs/>
      <w:sz w:val="48"/>
      <w:szCs w:val="20"/>
    </w:rPr>
  </w:style>
  <w:style w:type="character" w:customStyle="1" w:styleId="9">
    <w:name w:val="标题 1 字符"/>
    <w:basedOn w:val="7"/>
    <w:link w:val="3"/>
    <w:qFormat/>
    <w:uiPriority w:val="9"/>
    <w:rPr>
      <w:b/>
      <w:bCs/>
      <w:kern w:val="44"/>
      <w:sz w:val="44"/>
      <w:szCs w:val="44"/>
    </w:rPr>
  </w:style>
  <w:style w:type="paragraph" w:customStyle="1" w:styleId="10">
    <w:name w:val="BodyText"/>
    <w:basedOn w:val="1"/>
    <w:next w:val="1"/>
    <w:qFormat/>
    <w:uiPriority w:val="0"/>
    <w:pPr>
      <w:tabs>
        <w:tab w:val="left" w:pos="426"/>
      </w:tabs>
      <w:spacing w:after="120"/>
      <w:textAlignment w:val="baseline"/>
    </w:pPr>
    <w:rPr>
      <w:rFonts w:ascii="Times New Roman" w:hAnsi="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2026-09-11T08:48:08Z</dcterms:created>
  <dc:creator>37535</dc:creator>
  <cp:lastModifiedBy>阿忠</cp:lastModifiedBy>
  <dcterms:modified xsi:type="dcterms:W3CDTF">2026-09-11T08:48:22Z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eyJoZGlkIjoiNDU5MWU5NWNjMjQ1OTNiODk1YWIyNGY1NDJiOTQ4NGIiLCJ1c2VySWQiOiI0NTA3NTgzNzUifQ==</vt:lpwstr>
  </property>
  <property fmtid="{D5CDD505-2E9C-101B-9397-08002B2CF9AE}" pid="4" name="ICV">
    <vt:lpwstr>7DBA169B446F43CE96831BAD05725193_13</vt:lpwstr>
  </property>
</Properties>
</file>