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9B257E">
      <w:pPr>
        <w:pStyle w:val="3"/>
        <w:numPr>
          <w:ilvl w:val="0"/>
          <w:numId w:val="1"/>
        </w:numPr>
        <w:spacing w:before="0" w:after="0" w:line="240" w:lineRule="auto"/>
        <w:ind w:left="0" w:firstLine="0"/>
        <w:jc w:val="center"/>
        <w:rPr>
          <w:rFonts w:ascii="黑体" w:hAnsi="黑体" w:eastAsia="黑体"/>
          <w:b w:val="0"/>
        </w:rPr>
      </w:pPr>
      <w:bookmarkStart w:id="0" w:name="_Toc17267"/>
      <w:r>
        <w:rPr>
          <w:rFonts w:hint="eastAsia" w:ascii="黑体" w:hAnsi="黑体" w:eastAsia="黑体"/>
          <w:b w:val="0"/>
        </w:rPr>
        <w:t>征集项目需求</w:t>
      </w:r>
      <w:bookmarkEnd w:id="0"/>
    </w:p>
    <w:p w14:paraId="732E82A0">
      <w:pPr>
        <w:widowControl/>
        <w:spacing w:line="360" w:lineRule="auto"/>
        <w:jc w:val="left"/>
        <w:rPr>
          <w:rFonts w:hint="eastAsia" w:ascii="宋体" w:hAnsi="宋体"/>
          <w:b/>
        </w:rPr>
      </w:pPr>
    </w:p>
    <w:p w14:paraId="660F7B40">
      <w:pPr>
        <w:adjustRightInd w:val="0"/>
        <w:spacing w:line="360" w:lineRule="auto"/>
        <w:ind w:firstLine="413" w:firstLineChars="196"/>
        <w:jc w:val="left"/>
        <w:rPr>
          <w:rFonts w:hint="eastAsia" w:ascii="宋体" w:hAnsi="宋体"/>
          <w:kern w:val="0"/>
          <w:szCs w:val="21"/>
        </w:rPr>
      </w:pPr>
      <w:r>
        <w:rPr>
          <w:rFonts w:hint="eastAsia" w:ascii="宋体" w:hAnsi="宋体"/>
          <w:b/>
          <w:kern w:val="0"/>
          <w:szCs w:val="21"/>
        </w:rPr>
        <w:t>一、</w:t>
      </w:r>
      <w:r>
        <w:rPr>
          <w:rFonts w:hint="eastAsia" w:ascii="宋体" w:hAnsi="宋体" w:cs="宋体"/>
          <w:b/>
          <w:kern w:val="0"/>
          <w:szCs w:val="21"/>
        </w:rPr>
        <w:t>项目概况</w:t>
      </w:r>
    </w:p>
    <w:p w14:paraId="168451A8">
      <w:pPr>
        <w:keepNext w:val="0"/>
        <w:keepLines w:val="0"/>
        <w:pageBreakBefore w:val="0"/>
        <w:widowControl w:val="0"/>
        <w:kinsoku/>
        <w:wordWrap/>
        <w:overflowPunct/>
        <w:topLinePunct w:val="0"/>
        <w:autoSpaceDE/>
        <w:autoSpaceDN/>
        <w:bidi w:val="0"/>
        <w:adjustRightInd w:val="0"/>
        <w:snapToGrid/>
        <w:spacing w:line="360" w:lineRule="auto"/>
        <w:ind w:firstLine="411" w:firstLineChars="196"/>
        <w:jc w:val="left"/>
        <w:textAlignment w:val="auto"/>
        <w:rPr>
          <w:rFonts w:hint="eastAsia" w:ascii="宋体" w:hAnsi="宋体"/>
          <w:b w:val="0"/>
          <w:bCs/>
          <w:kern w:val="0"/>
          <w:szCs w:val="21"/>
        </w:rPr>
      </w:pPr>
      <w:r>
        <w:rPr>
          <w:rFonts w:hint="eastAsia" w:ascii="宋体" w:hAnsi="宋体"/>
          <w:b w:val="0"/>
          <w:bCs/>
          <w:kern w:val="0"/>
          <w:szCs w:val="21"/>
        </w:rPr>
        <w:t>1.项目背景</w:t>
      </w:r>
    </w:p>
    <w:p w14:paraId="00CA55C8">
      <w:pPr>
        <w:keepNext w:val="0"/>
        <w:keepLines w:val="0"/>
        <w:pageBreakBefore w:val="0"/>
        <w:widowControl w:val="0"/>
        <w:kinsoku/>
        <w:wordWrap/>
        <w:overflowPunct/>
        <w:topLinePunct w:val="0"/>
        <w:autoSpaceDE/>
        <w:autoSpaceDN/>
        <w:bidi w:val="0"/>
        <w:adjustRightInd w:val="0"/>
        <w:snapToGrid/>
        <w:spacing w:line="360" w:lineRule="auto"/>
        <w:ind w:firstLine="411" w:firstLineChars="196"/>
        <w:jc w:val="left"/>
        <w:textAlignment w:val="auto"/>
        <w:rPr>
          <w:rFonts w:hint="eastAsia" w:ascii="宋体" w:hAnsi="宋体"/>
          <w:b w:val="0"/>
          <w:bCs/>
          <w:kern w:val="0"/>
          <w:szCs w:val="21"/>
        </w:rPr>
      </w:pPr>
      <w:r>
        <w:rPr>
          <w:rFonts w:hint="eastAsia" w:ascii="宋体" w:hAnsi="宋体"/>
          <w:b w:val="0"/>
          <w:bCs/>
          <w:kern w:val="0"/>
          <w:szCs w:val="21"/>
        </w:rPr>
        <w:t>皇岗社区坐落福田中心核心地段，毗邻CBD与皇岗口岸，区位优越。辖区面积广阔，居住人口密集，覆盖商住、旧村片区，公共服务辐射范围广。通过现场勘查、居民走访、意见征集等方式开展全面需求调研。皇岗村篮球场为社区核心公共运动场地，长期服务周边居民健身、青少年训练、社区文体活动使用。经现场核查，场地存在地面开裂、面层磨损脱落、围网老化破损、立柱横梁锈蚀、排水沟堵塞、看台地砖磨损防滑失效、顶棚遮阳不足、球场灯照明不足、篮球架部件破损等问题，居民多次反映使用安全隐患大、夜间无法正常运动、观赛与休憩条件差，迫切需要系统性提升改造。</w:t>
      </w:r>
    </w:p>
    <w:p w14:paraId="3ABF3A25">
      <w:pPr>
        <w:keepNext w:val="0"/>
        <w:keepLines w:val="0"/>
        <w:pageBreakBefore w:val="0"/>
        <w:widowControl w:val="0"/>
        <w:kinsoku/>
        <w:wordWrap/>
        <w:overflowPunct/>
        <w:topLinePunct w:val="0"/>
        <w:autoSpaceDE/>
        <w:autoSpaceDN/>
        <w:bidi w:val="0"/>
        <w:adjustRightInd w:val="0"/>
        <w:snapToGrid/>
        <w:spacing w:line="360" w:lineRule="auto"/>
        <w:ind w:firstLine="411" w:firstLineChars="196"/>
        <w:jc w:val="left"/>
        <w:textAlignment w:val="auto"/>
        <w:rPr>
          <w:rFonts w:hint="eastAsia" w:ascii="宋体" w:hAnsi="宋体"/>
          <w:b w:val="0"/>
          <w:bCs/>
          <w:kern w:val="0"/>
          <w:szCs w:val="21"/>
        </w:rPr>
      </w:pPr>
      <w:r>
        <w:rPr>
          <w:rFonts w:hint="eastAsia" w:ascii="宋体" w:hAnsi="宋体"/>
          <w:b w:val="0"/>
          <w:bCs/>
          <w:kern w:val="0"/>
          <w:szCs w:val="21"/>
        </w:rPr>
        <w:t>2.招标范围</w:t>
      </w:r>
    </w:p>
    <w:p w14:paraId="649D2493">
      <w:pPr>
        <w:keepNext w:val="0"/>
        <w:keepLines w:val="0"/>
        <w:pageBreakBefore w:val="0"/>
        <w:widowControl w:val="0"/>
        <w:kinsoku/>
        <w:wordWrap/>
        <w:overflowPunct/>
        <w:topLinePunct w:val="0"/>
        <w:autoSpaceDE/>
        <w:autoSpaceDN/>
        <w:bidi w:val="0"/>
        <w:adjustRightInd w:val="0"/>
        <w:snapToGrid/>
        <w:spacing w:line="360" w:lineRule="auto"/>
        <w:ind w:firstLine="411" w:firstLineChars="196"/>
        <w:jc w:val="left"/>
        <w:textAlignment w:val="auto"/>
        <w:rPr>
          <w:rFonts w:hint="eastAsia" w:ascii="宋体" w:hAnsi="宋体"/>
          <w:b w:val="0"/>
          <w:bCs/>
          <w:kern w:val="0"/>
          <w:szCs w:val="21"/>
        </w:rPr>
      </w:pPr>
      <w:r>
        <w:rPr>
          <w:rFonts w:hint="eastAsia" w:ascii="宋体" w:hAnsi="宋体"/>
          <w:b w:val="0"/>
          <w:bCs/>
          <w:kern w:val="0"/>
          <w:szCs w:val="21"/>
        </w:rPr>
        <w:t>为解决群众急难愁盼，所有为完成本工程而进行的相关工程，具体施工内容详见图纸和工程量清单。通过系统性提升改造，消除场地安全隐患，恢复篮球场标准使用功能，完善看台、照明、排水、配套服务等设施，打造安全、标准、舒适、便民的社区公共运动空间，满足全年龄段居民日常健身、文体活动需求，提升社区公共服务水平。</w:t>
      </w:r>
    </w:p>
    <w:p w14:paraId="5B79A195">
      <w:pPr>
        <w:keepNext w:val="0"/>
        <w:keepLines w:val="0"/>
        <w:pageBreakBefore w:val="0"/>
        <w:widowControl w:val="0"/>
        <w:kinsoku/>
        <w:wordWrap/>
        <w:overflowPunct/>
        <w:topLinePunct w:val="0"/>
        <w:autoSpaceDE/>
        <w:autoSpaceDN/>
        <w:bidi w:val="0"/>
        <w:adjustRightInd w:val="0"/>
        <w:snapToGrid/>
        <w:spacing w:line="360" w:lineRule="auto"/>
        <w:ind w:firstLine="413" w:firstLineChars="196"/>
        <w:jc w:val="left"/>
        <w:textAlignment w:val="auto"/>
        <w:rPr>
          <w:rFonts w:hint="eastAsia" w:ascii="宋体" w:hAnsi="宋体" w:eastAsia="宋体"/>
          <w:b/>
          <w:kern w:val="0"/>
          <w:szCs w:val="21"/>
          <w:lang w:val="en-US" w:eastAsia="zh-CN"/>
        </w:rPr>
      </w:pPr>
      <w:r>
        <w:rPr>
          <w:rFonts w:hint="eastAsia" w:ascii="宋体" w:hAnsi="宋体"/>
          <w:b/>
          <w:kern w:val="0"/>
          <w:szCs w:val="21"/>
        </w:rPr>
        <w:t>二、技术要求（注：以下技术要求均为实质性条款，供应商投标时均不得负偏离，否则按投标无效处理）</w:t>
      </w:r>
    </w:p>
    <w:p w14:paraId="064806E6">
      <w:pPr>
        <w:spacing w:line="360" w:lineRule="auto"/>
        <w:ind w:firstLine="422" w:firstLineChars="200"/>
        <w:rPr>
          <w:rFonts w:hint="eastAsia" w:ascii="宋体" w:hAnsi="宋体"/>
        </w:rPr>
      </w:pPr>
      <w:r>
        <w:rPr>
          <w:rFonts w:hint="eastAsia" w:ascii="宋体" w:hAnsi="宋体"/>
          <w:b/>
          <w:szCs w:val="21"/>
        </w:rPr>
        <w:t>（一）施工地点：</w:t>
      </w:r>
      <w:r>
        <w:rPr>
          <w:rFonts w:hint="eastAsia" w:ascii="宋体" w:hAnsi="宋体"/>
          <w:b w:val="0"/>
          <w:bCs/>
          <w:szCs w:val="21"/>
          <w:lang w:eastAsia="zh-CN"/>
        </w:rPr>
        <w:t>深圳市福田区，具体以</w:t>
      </w:r>
      <w:r>
        <w:rPr>
          <w:rFonts w:hint="eastAsia" w:ascii="宋体" w:hAnsi="宋体"/>
        </w:rPr>
        <w:t>采购人指定地点</w:t>
      </w:r>
      <w:r>
        <w:rPr>
          <w:rFonts w:hint="eastAsia" w:ascii="宋体" w:hAnsi="宋体"/>
          <w:lang w:eastAsia="zh-CN"/>
        </w:rPr>
        <w:t>为准</w:t>
      </w:r>
      <w:r>
        <w:rPr>
          <w:rFonts w:hint="eastAsia" w:ascii="宋体" w:hAnsi="宋体"/>
        </w:rPr>
        <w:t>。</w:t>
      </w:r>
    </w:p>
    <w:p w14:paraId="69B3E074">
      <w:pPr>
        <w:spacing w:line="360" w:lineRule="auto"/>
        <w:ind w:firstLine="420" w:firstLineChars="200"/>
        <w:rPr>
          <w:rFonts w:hint="eastAsia" w:ascii="宋体" w:hAnsi="宋体"/>
          <w:szCs w:val="21"/>
        </w:rPr>
      </w:pPr>
    </w:p>
    <w:p w14:paraId="09456319">
      <w:pPr>
        <w:widowControl/>
        <w:spacing w:line="360" w:lineRule="auto"/>
        <w:ind w:firstLine="413" w:firstLineChars="196"/>
        <w:jc w:val="left"/>
        <w:rPr>
          <w:rFonts w:hint="eastAsia" w:ascii="宋体" w:hAnsi="宋体"/>
        </w:rPr>
      </w:pPr>
      <w:r>
        <w:rPr>
          <w:rFonts w:hint="eastAsia" w:ascii="宋体" w:hAnsi="宋体"/>
          <w:b/>
          <w:szCs w:val="21"/>
        </w:rPr>
        <w:t>（二）</w:t>
      </w:r>
      <w:r>
        <w:rPr>
          <w:rFonts w:hint="eastAsia" w:ascii="宋体" w:hAnsi="宋体"/>
          <w:b/>
        </w:rPr>
        <w:t>工程量清单</w:t>
      </w:r>
      <w:r>
        <w:rPr>
          <w:rFonts w:hint="eastAsia" w:ascii="宋体" w:hAnsi="宋体"/>
        </w:rPr>
        <w:t>：详见附件。</w:t>
      </w:r>
    </w:p>
    <w:p w14:paraId="6FE873CF">
      <w:pPr>
        <w:spacing w:line="360" w:lineRule="auto"/>
        <w:ind w:firstLine="422" w:firstLineChars="200"/>
        <w:rPr>
          <w:rFonts w:hint="eastAsia" w:ascii="宋体" w:hAnsi="宋体"/>
          <w:b/>
          <w:szCs w:val="21"/>
        </w:rPr>
      </w:pPr>
    </w:p>
    <w:p w14:paraId="27C2DEFC">
      <w:pPr>
        <w:spacing w:line="360" w:lineRule="auto"/>
        <w:ind w:firstLine="422" w:firstLineChars="200"/>
        <w:rPr>
          <w:rFonts w:hint="eastAsia" w:ascii="宋体" w:hAnsi="宋体"/>
          <w:b/>
          <w:szCs w:val="21"/>
        </w:rPr>
      </w:pPr>
      <w:r>
        <w:rPr>
          <w:rFonts w:hint="eastAsia" w:ascii="宋体" w:hAnsi="宋体"/>
          <w:b/>
          <w:szCs w:val="21"/>
        </w:rPr>
        <w:t>（三）工程预算书、工程量清单、图纸要求</w:t>
      </w:r>
    </w:p>
    <w:p w14:paraId="4D7D8518">
      <w:pPr>
        <w:spacing w:line="360" w:lineRule="auto"/>
        <w:ind w:firstLine="420" w:firstLineChars="200"/>
        <w:rPr>
          <w:rFonts w:hint="eastAsia" w:ascii="宋体" w:hAnsi="宋体"/>
          <w:bCs/>
          <w:kern w:val="0"/>
          <w:szCs w:val="21"/>
        </w:rPr>
      </w:pPr>
      <w:r>
        <w:rPr>
          <w:rFonts w:hint="eastAsia" w:ascii="宋体" w:hAnsi="宋体"/>
          <w:bCs/>
          <w:kern w:val="0"/>
          <w:szCs w:val="21"/>
        </w:rPr>
        <w:t>报价阶段不要求提交工程预算书、工程量清单、图纸，工程验收前需提交以下相应资料：</w:t>
      </w:r>
    </w:p>
    <w:p w14:paraId="01605079">
      <w:pPr>
        <w:spacing w:line="360" w:lineRule="auto"/>
        <w:ind w:firstLine="420" w:firstLineChars="200"/>
        <w:rPr>
          <w:rFonts w:hint="eastAsia" w:ascii="宋体" w:hAnsi="宋体"/>
          <w:bCs/>
          <w:kern w:val="0"/>
          <w:szCs w:val="21"/>
        </w:rPr>
      </w:pPr>
      <w:r>
        <w:rPr>
          <w:rFonts w:hint="eastAsia" w:ascii="宋体" w:hAnsi="宋体"/>
          <w:bCs/>
          <w:kern w:val="0"/>
          <w:szCs w:val="21"/>
        </w:rPr>
        <w:t>（一）工程预算书应为 .spj 格式、xls 或 dos 格式文件（用清华斯维尔软件、Excel或 word 软件编制）。</w:t>
      </w:r>
    </w:p>
    <w:p w14:paraId="25B76337">
      <w:pPr>
        <w:spacing w:line="360" w:lineRule="auto"/>
        <w:ind w:firstLine="420" w:firstLineChars="200"/>
        <w:rPr>
          <w:rFonts w:hint="eastAsia" w:ascii="宋体" w:hAnsi="宋体"/>
          <w:bCs/>
          <w:kern w:val="0"/>
          <w:szCs w:val="21"/>
        </w:rPr>
      </w:pPr>
      <w:r>
        <w:rPr>
          <w:rFonts w:hint="eastAsia" w:ascii="宋体" w:hAnsi="宋体"/>
          <w:bCs/>
          <w:kern w:val="0"/>
          <w:szCs w:val="21"/>
        </w:rPr>
        <w:t>（二）工程量清单应以国标清单形式提供。</w:t>
      </w:r>
    </w:p>
    <w:p w14:paraId="5D478EC2">
      <w:pPr>
        <w:spacing w:line="360" w:lineRule="auto"/>
        <w:ind w:firstLine="420" w:firstLineChars="200"/>
        <w:rPr>
          <w:rFonts w:hint="eastAsia" w:ascii="宋体" w:hAnsi="宋体"/>
          <w:bCs/>
          <w:kern w:val="0"/>
          <w:szCs w:val="21"/>
        </w:rPr>
      </w:pPr>
      <w:r>
        <w:rPr>
          <w:rFonts w:hint="eastAsia" w:ascii="宋体" w:hAnsi="宋体"/>
          <w:bCs/>
          <w:kern w:val="0"/>
          <w:szCs w:val="21"/>
        </w:rPr>
        <w:t>（三）施工图以 .dwg 格式提供。</w:t>
      </w:r>
    </w:p>
    <w:p w14:paraId="287CDA07">
      <w:pPr>
        <w:spacing w:line="360" w:lineRule="auto"/>
        <w:ind w:firstLine="420" w:firstLineChars="200"/>
        <w:rPr>
          <w:rFonts w:hint="eastAsia" w:ascii="宋体" w:hAnsi="宋体"/>
          <w:bCs/>
          <w:kern w:val="0"/>
          <w:szCs w:val="21"/>
        </w:rPr>
      </w:pPr>
      <w:r>
        <w:rPr>
          <w:rFonts w:hint="eastAsia" w:ascii="宋体" w:hAnsi="宋体"/>
          <w:bCs/>
          <w:kern w:val="0"/>
          <w:szCs w:val="21"/>
        </w:rPr>
        <w:t>（四）其他图纸以 .jpg 或 .bmp 格式提供。涉及本项目相关的设计变更及现场签证资料。</w:t>
      </w:r>
    </w:p>
    <w:p w14:paraId="614DC745">
      <w:pPr>
        <w:spacing w:line="360" w:lineRule="auto"/>
        <w:ind w:firstLine="420" w:firstLineChars="200"/>
        <w:rPr>
          <w:rFonts w:hint="eastAsia" w:ascii="宋体" w:hAnsi="宋体"/>
          <w:bCs/>
          <w:kern w:val="0"/>
          <w:szCs w:val="21"/>
        </w:rPr>
      </w:pPr>
      <w:r>
        <w:rPr>
          <w:rFonts w:hint="eastAsia" w:ascii="宋体" w:hAnsi="宋体"/>
          <w:bCs/>
          <w:kern w:val="0"/>
          <w:szCs w:val="21"/>
        </w:rPr>
        <w:t>（五）若项目涉及建筑结构安全，需提交施工图原件（加盖相应资质设计人员执业章、设计单位、采购单位公章）备案。</w:t>
      </w:r>
    </w:p>
    <w:p w14:paraId="1B90B85A">
      <w:pPr>
        <w:spacing w:line="360" w:lineRule="auto"/>
        <w:ind w:firstLine="420" w:firstLineChars="200"/>
        <w:rPr>
          <w:rFonts w:hint="eastAsia" w:ascii="宋体" w:hAnsi="宋体"/>
          <w:bCs/>
          <w:kern w:val="0"/>
          <w:szCs w:val="21"/>
        </w:rPr>
      </w:pPr>
      <w:r>
        <w:rPr>
          <w:rFonts w:hint="eastAsia" w:ascii="宋体" w:hAnsi="宋体"/>
          <w:bCs/>
          <w:kern w:val="0"/>
          <w:szCs w:val="21"/>
        </w:rPr>
        <w:t>（六）根据当期所需的深圳建设工程价格信息及市场询价资料：工程计价办法：深圳市国标清单计价方式，综合单价法。</w:t>
      </w:r>
    </w:p>
    <w:p w14:paraId="7F530A6B">
      <w:pPr>
        <w:spacing w:line="360" w:lineRule="auto"/>
        <w:ind w:firstLine="420" w:firstLineChars="200"/>
        <w:rPr>
          <w:rFonts w:hint="eastAsia" w:ascii="宋体" w:hAnsi="宋体"/>
          <w:bCs/>
          <w:kern w:val="0"/>
          <w:szCs w:val="21"/>
        </w:rPr>
      </w:pPr>
      <w:r>
        <w:rPr>
          <w:rFonts w:hint="eastAsia" w:ascii="宋体" w:hAnsi="宋体"/>
          <w:bCs/>
          <w:kern w:val="0"/>
          <w:szCs w:val="21"/>
        </w:rPr>
        <w:t>（七）项目所依据及参考的标准：</w:t>
      </w:r>
    </w:p>
    <w:p w14:paraId="07470878">
      <w:pPr>
        <w:spacing w:line="360" w:lineRule="auto"/>
        <w:ind w:firstLine="420" w:firstLineChars="200"/>
        <w:rPr>
          <w:rFonts w:hint="eastAsia" w:ascii="宋体" w:hAnsi="宋体"/>
          <w:bCs/>
          <w:kern w:val="0"/>
          <w:szCs w:val="21"/>
        </w:rPr>
      </w:pPr>
      <w:r>
        <w:rPr>
          <w:rFonts w:hint="eastAsia" w:ascii="宋体" w:hAnsi="宋体"/>
          <w:bCs/>
          <w:kern w:val="0"/>
          <w:szCs w:val="21"/>
        </w:rPr>
        <w:t>1.《建设工程工程量清单计价规范》GB/T50856-2024；</w:t>
      </w:r>
    </w:p>
    <w:p w14:paraId="30425521">
      <w:pPr>
        <w:spacing w:line="360" w:lineRule="auto"/>
        <w:ind w:firstLine="420" w:firstLineChars="200"/>
        <w:rPr>
          <w:rFonts w:hint="eastAsia" w:ascii="宋体" w:hAnsi="宋体"/>
          <w:bCs/>
          <w:kern w:val="0"/>
          <w:szCs w:val="21"/>
        </w:rPr>
      </w:pPr>
      <w:r>
        <w:rPr>
          <w:rFonts w:hint="eastAsia" w:ascii="宋体" w:hAnsi="宋体"/>
          <w:bCs/>
          <w:kern w:val="0"/>
          <w:szCs w:val="21"/>
        </w:rPr>
        <w:t>2.深圳市工程造价管理站发布的有关计价文件。</w:t>
      </w:r>
    </w:p>
    <w:p w14:paraId="5AB9E309">
      <w:pPr>
        <w:spacing w:line="360" w:lineRule="auto"/>
        <w:ind w:firstLine="422" w:firstLineChars="200"/>
        <w:rPr>
          <w:rFonts w:hint="eastAsia" w:ascii="宋体" w:hAnsi="宋体"/>
          <w:b/>
          <w:szCs w:val="21"/>
        </w:rPr>
      </w:pPr>
    </w:p>
    <w:p w14:paraId="2024A93C">
      <w:pPr>
        <w:spacing w:line="360" w:lineRule="auto"/>
        <w:ind w:firstLine="422"/>
        <w:rPr>
          <w:rFonts w:hint="eastAsia" w:ascii="Calibri" w:hAnsi="Calibri" w:eastAsia="宋体"/>
          <w:b/>
          <w:bCs/>
          <w:lang w:val="en-US" w:eastAsia="zh-CN"/>
        </w:rPr>
      </w:pPr>
      <w:r>
        <w:rPr>
          <w:rFonts w:hint="eastAsia" w:ascii="宋体" w:hAnsi="宋体"/>
          <w:b/>
          <w:szCs w:val="21"/>
        </w:rPr>
        <w:t>（</w:t>
      </w:r>
      <w:r>
        <w:rPr>
          <w:rFonts w:hint="eastAsia" w:ascii="宋体" w:hAnsi="宋体"/>
          <w:b/>
          <w:szCs w:val="21"/>
          <w:lang w:eastAsia="zh-CN"/>
        </w:rPr>
        <w:t>四</w:t>
      </w:r>
      <w:r>
        <w:rPr>
          <w:rFonts w:hint="eastAsia" w:ascii="宋体" w:hAnsi="宋体"/>
          <w:b/>
          <w:szCs w:val="21"/>
        </w:rPr>
        <w:t>）</w:t>
      </w:r>
      <w:r>
        <w:rPr>
          <w:rFonts w:hint="eastAsia" w:ascii="Calibri" w:hAnsi="Calibri"/>
          <w:b/>
          <w:bCs/>
          <w:lang w:eastAsia="zh-CN"/>
        </w:rPr>
        <w:t>人员要求</w:t>
      </w:r>
    </w:p>
    <w:p w14:paraId="3934DE0F">
      <w:pPr>
        <w:spacing w:line="360" w:lineRule="auto"/>
        <w:ind w:firstLine="422"/>
        <w:rPr>
          <w:rFonts w:hint="eastAsia" w:ascii="宋体" w:hAnsi="宋体"/>
          <w:bCs/>
          <w:szCs w:val="21"/>
        </w:rPr>
      </w:pPr>
      <w:r>
        <w:rPr>
          <w:rFonts w:hint="eastAsia" w:ascii="宋体" w:hAnsi="宋体"/>
          <w:bCs/>
          <w:szCs w:val="21"/>
        </w:rPr>
        <w:t>中标单位中标后配备的项目经理，须具备有效的符合项目需求的注册建造师执业资格证书和建筑施工企业项目负责人安全生产考核合格证书，以及符合政府部门的相关规定。中标人拟派本项目的人员必须有相应经验及符合项目要求的证书（如高空作业须具有特种作业操作证（作业类别：高处作业）等），能充分胜任从事工程事项对应工作，中标后未经招标人同意，不得随意更换项目负责人。如中标人派出人员不能胜任工作，招标人保留更换人员及中标人的权利。</w:t>
      </w:r>
    </w:p>
    <w:p w14:paraId="5E5643C5">
      <w:pPr>
        <w:spacing w:line="360" w:lineRule="auto"/>
        <w:rPr>
          <w:rFonts w:hint="eastAsia" w:ascii="宋体" w:hAnsi="宋体"/>
          <w:szCs w:val="21"/>
        </w:rPr>
      </w:pPr>
    </w:p>
    <w:p w14:paraId="36A6A654">
      <w:pPr>
        <w:spacing w:line="360" w:lineRule="auto"/>
        <w:ind w:firstLine="422" w:firstLineChars="200"/>
        <w:rPr>
          <w:rFonts w:hint="eastAsia" w:ascii="宋体" w:hAnsi="宋体"/>
          <w:b/>
          <w:szCs w:val="21"/>
        </w:rPr>
      </w:pPr>
      <w:r>
        <w:rPr>
          <w:rFonts w:hint="eastAsia" w:ascii="宋体" w:hAnsi="宋体"/>
          <w:b/>
          <w:szCs w:val="21"/>
        </w:rPr>
        <w:t>（</w:t>
      </w:r>
      <w:r>
        <w:rPr>
          <w:rFonts w:hint="eastAsia" w:ascii="宋体" w:hAnsi="宋体"/>
          <w:b/>
          <w:szCs w:val="21"/>
          <w:lang w:eastAsia="zh-CN"/>
        </w:rPr>
        <w:t>五</w:t>
      </w:r>
      <w:r>
        <w:rPr>
          <w:rFonts w:hint="eastAsia" w:ascii="宋体" w:hAnsi="宋体"/>
          <w:b/>
          <w:szCs w:val="21"/>
        </w:rPr>
        <w:t>）施工要求</w:t>
      </w:r>
    </w:p>
    <w:p w14:paraId="7E0E4958">
      <w:pPr>
        <w:spacing w:line="360" w:lineRule="auto"/>
        <w:ind w:firstLine="420" w:firstLineChars="200"/>
        <w:rPr>
          <w:rFonts w:hint="eastAsia" w:ascii="宋体" w:hAnsi="宋体"/>
          <w:szCs w:val="21"/>
        </w:rPr>
      </w:pPr>
      <w:r>
        <w:rPr>
          <w:rFonts w:hint="eastAsia" w:ascii="宋体" w:hAnsi="宋体"/>
          <w:szCs w:val="21"/>
        </w:rPr>
        <w:t>1、中标方供应的材料设备（材料设备须符合国家关于环保和节能节水的相关要求）进场后，由采购方和中标方同时对其品牌、型号、规格、原产地、标识、产品合格证、出厂检测调试报告书等项目对照合同附件材料设备表进行检查和检验，</w:t>
      </w:r>
      <w:r>
        <w:rPr>
          <w:rFonts w:hint="eastAsia" w:ascii="宋体" w:hAnsi="宋体"/>
          <w:szCs w:val="21"/>
          <w:lang w:eastAsia="zh-CN"/>
        </w:rPr>
        <w:t>确认合格后</w:t>
      </w:r>
      <w:r>
        <w:rPr>
          <w:rFonts w:hint="eastAsia" w:ascii="宋体" w:hAnsi="宋体"/>
          <w:szCs w:val="21"/>
        </w:rPr>
        <w:t>方可进行施工；</w:t>
      </w:r>
    </w:p>
    <w:p w14:paraId="46343289">
      <w:pPr>
        <w:spacing w:line="360" w:lineRule="auto"/>
        <w:ind w:firstLine="420" w:firstLineChars="200"/>
        <w:rPr>
          <w:rFonts w:hint="eastAsia" w:ascii="宋体" w:hAnsi="宋体"/>
          <w:szCs w:val="21"/>
        </w:rPr>
      </w:pPr>
      <w:r>
        <w:rPr>
          <w:rFonts w:hint="eastAsia" w:ascii="宋体" w:hAnsi="宋体"/>
          <w:szCs w:val="21"/>
        </w:rPr>
        <w:t>2、中标方应指派专人负责合同履行，按要求组织施工，保质、保量按期完成施工任务。</w:t>
      </w:r>
    </w:p>
    <w:p w14:paraId="50687586">
      <w:pPr>
        <w:spacing w:line="360" w:lineRule="auto"/>
        <w:ind w:firstLine="420" w:firstLineChars="200"/>
        <w:rPr>
          <w:rFonts w:hint="eastAsia" w:ascii="宋体" w:hAnsi="宋体"/>
          <w:szCs w:val="21"/>
        </w:rPr>
      </w:pPr>
      <w:r>
        <w:rPr>
          <w:rFonts w:hint="eastAsia" w:ascii="宋体" w:hAnsi="宋体"/>
          <w:szCs w:val="21"/>
        </w:rPr>
        <w:t>3、中标方应严格按照有关验收规范组织施工，做好自检和施工记录，确保工程质量和工期，工程质量达到国家和专业的质量检验标准。</w:t>
      </w:r>
    </w:p>
    <w:p w14:paraId="3B0A55EF">
      <w:pPr>
        <w:spacing w:line="360" w:lineRule="auto"/>
        <w:ind w:firstLine="420" w:firstLineChars="200"/>
        <w:rPr>
          <w:rFonts w:hint="eastAsia" w:ascii="宋体" w:hAnsi="宋体"/>
          <w:szCs w:val="21"/>
        </w:rPr>
      </w:pPr>
      <w:r>
        <w:rPr>
          <w:rFonts w:hint="eastAsia" w:ascii="宋体" w:hAnsi="宋体"/>
          <w:szCs w:val="21"/>
          <w:lang w:val="en-US" w:eastAsia="zh-CN"/>
        </w:rPr>
        <w:t>4</w:t>
      </w:r>
      <w:r>
        <w:rPr>
          <w:rFonts w:hint="eastAsia" w:ascii="宋体" w:hAnsi="宋体"/>
          <w:szCs w:val="21"/>
        </w:rPr>
        <w:t>、在工程竣工次日必须清场退出工地。</w:t>
      </w:r>
    </w:p>
    <w:p w14:paraId="07A05FEB">
      <w:pPr>
        <w:spacing w:line="360" w:lineRule="auto"/>
        <w:ind w:firstLine="420" w:firstLineChars="200"/>
        <w:rPr>
          <w:rFonts w:hint="eastAsia" w:ascii="宋体" w:hAnsi="宋体"/>
          <w:szCs w:val="21"/>
        </w:rPr>
      </w:pPr>
      <w:r>
        <w:rPr>
          <w:rFonts w:hint="eastAsia" w:ascii="宋体" w:hAnsi="宋体"/>
          <w:szCs w:val="21"/>
          <w:lang w:val="en-US" w:eastAsia="zh-CN"/>
        </w:rPr>
        <w:t>5</w:t>
      </w:r>
      <w:r>
        <w:rPr>
          <w:rFonts w:hint="eastAsia" w:ascii="宋体" w:hAnsi="宋体"/>
          <w:szCs w:val="21"/>
        </w:rPr>
        <w:t>、施工期间密切配合和接受采购方对工程质量的抽检、检查、监督，一旦发现有不符合设计以及不符合施工技术操作规范要求时，采购方有权制止或要求改正，中标方应立即停止或及时更正，停工等所造成的全部损失由中标方承担。</w:t>
      </w:r>
    </w:p>
    <w:p w14:paraId="4D673678">
      <w:pPr>
        <w:spacing w:line="360" w:lineRule="auto"/>
        <w:ind w:firstLine="420" w:firstLineChars="200"/>
        <w:rPr>
          <w:rFonts w:hint="eastAsia" w:ascii="宋体" w:hAnsi="宋体"/>
          <w:szCs w:val="21"/>
        </w:rPr>
      </w:pPr>
      <w:r>
        <w:rPr>
          <w:rFonts w:hint="eastAsia" w:ascii="宋体" w:hAnsi="宋体"/>
          <w:szCs w:val="21"/>
          <w:lang w:val="en-US" w:eastAsia="zh-CN"/>
        </w:rPr>
        <w:t>6</w:t>
      </w:r>
      <w:r>
        <w:rPr>
          <w:rFonts w:hint="eastAsia" w:ascii="宋体" w:hAnsi="宋体"/>
          <w:szCs w:val="21"/>
        </w:rPr>
        <w:t>、施工需要有关部门审批的，中标方应及时办理审批手续，若因中标方未办理或未及时办理审批导致工程延期或给采购方造成任何损失的，由中标方承担责任。</w:t>
      </w:r>
    </w:p>
    <w:p w14:paraId="093FCA08">
      <w:pPr>
        <w:spacing w:line="360" w:lineRule="auto"/>
        <w:ind w:firstLine="422"/>
        <w:rPr>
          <w:rFonts w:hint="eastAsia" w:ascii="宋体" w:hAnsi="宋体"/>
          <w:bCs/>
          <w:szCs w:val="21"/>
        </w:rPr>
      </w:pPr>
    </w:p>
    <w:p w14:paraId="43D269D4">
      <w:pPr>
        <w:spacing w:line="360" w:lineRule="auto"/>
        <w:ind w:firstLine="422"/>
        <w:rPr>
          <w:rFonts w:hint="eastAsia" w:ascii="宋体" w:hAnsi="宋体"/>
          <w:b/>
          <w:szCs w:val="21"/>
        </w:rPr>
      </w:pPr>
      <w:r>
        <w:rPr>
          <w:rFonts w:hint="eastAsia" w:ascii="Calibri" w:hAnsi="Calibri"/>
          <w:b/>
          <w:bCs/>
        </w:rPr>
        <w:t>（</w:t>
      </w:r>
      <w:r>
        <w:rPr>
          <w:rFonts w:hint="eastAsia" w:ascii="Calibri" w:hAnsi="Calibri"/>
          <w:b/>
          <w:bCs/>
          <w:lang w:eastAsia="zh-CN"/>
        </w:rPr>
        <w:t>六</w:t>
      </w:r>
      <w:r>
        <w:rPr>
          <w:rFonts w:hint="eastAsia" w:ascii="Calibri" w:hAnsi="Calibri"/>
          <w:b/>
          <w:bCs/>
        </w:rPr>
        <w:t>）</w:t>
      </w:r>
      <w:r>
        <w:rPr>
          <w:rFonts w:hint="eastAsia" w:ascii="宋体" w:hAnsi="宋体"/>
          <w:b/>
          <w:szCs w:val="21"/>
        </w:rPr>
        <w:t>项目管理要求</w:t>
      </w:r>
    </w:p>
    <w:p w14:paraId="4C5153AD">
      <w:pPr>
        <w:spacing w:line="360" w:lineRule="auto"/>
        <w:ind w:firstLine="420" w:firstLineChars="200"/>
        <w:rPr>
          <w:rFonts w:hint="eastAsia" w:ascii="宋体" w:hAnsi="宋体"/>
          <w:szCs w:val="21"/>
        </w:rPr>
      </w:pPr>
      <w:r>
        <w:rPr>
          <w:rFonts w:hint="eastAsia" w:ascii="宋体" w:hAnsi="宋体"/>
          <w:bCs/>
          <w:szCs w:val="21"/>
        </w:rPr>
        <w:t>①</w:t>
      </w:r>
      <w:r>
        <w:rPr>
          <w:rFonts w:hint="eastAsia" w:ascii="宋体" w:hAnsi="宋体"/>
          <w:szCs w:val="21"/>
        </w:rPr>
        <w:t>中标方施工人员进入施工现场之前，必须到采购方指定部门办理一切有关手续。</w:t>
      </w:r>
    </w:p>
    <w:p w14:paraId="6501CC51">
      <w:pPr>
        <w:spacing w:line="360" w:lineRule="auto"/>
        <w:ind w:firstLine="422"/>
        <w:rPr>
          <w:rFonts w:hint="eastAsia" w:ascii="宋体" w:hAnsi="宋体"/>
          <w:szCs w:val="21"/>
        </w:rPr>
      </w:pPr>
      <w:r>
        <w:rPr>
          <w:rFonts w:hint="eastAsia" w:ascii="宋体" w:hAnsi="宋体"/>
          <w:bCs/>
          <w:szCs w:val="21"/>
        </w:rPr>
        <w:t>②</w:t>
      </w:r>
      <w:r>
        <w:rPr>
          <w:rFonts w:hint="eastAsia" w:ascii="宋体" w:hAnsi="宋体"/>
          <w:szCs w:val="21"/>
        </w:rPr>
        <w:t>中标方应保证中标方及其施工人员具有相关资质，应对其员工进行安全和遵纪守法教育，并承担施工现场一切治安、安全责任，如中标方的施工人员在施工过程中发生意外伤亡，及因中标方或中标方施工人员的原因造成采购方公共设备、设施以及其他任何人员伤亡或财产损失，中标方应当承担全部赔偿责任，采购方若因此被追究责任的，有权向中标方全额追偿。</w:t>
      </w:r>
    </w:p>
    <w:p w14:paraId="28328C38">
      <w:pPr>
        <w:spacing w:line="360" w:lineRule="auto"/>
        <w:ind w:firstLine="422"/>
        <w:rPr>
          <w:rFonts w:hint="eastAsia" w:ascii="宋体" w:hAnsi="宋体"/>
          <w:szCs w:val="21"/>
        </w:rPr>
      </w:pPr>
      <w:r>
        <w:rPr>
          <w:rFonts w:hint="eastAsia" w:ascii="宋体" w:hAnsi="宋体"/>
          <w:bCs/>
          <w:szCs w:val="21"/>
        </w:rPr>
        <w:t>③</w:t>
      </w:r>
      <w:r>
        <w:rPr>
          <w:rFonts w:hint="eastAsia" w:ascii="宋体" w:hAnsi="宋体"/>
          <w:szCs w:val="21"/>
        </w:rPr>
        <w:t>中标方应按施工安全规范采取安全措施，确保施工安全和第三者安全，如有不符合安全文明规范现象，经采购方警告中标方拒不整改时，采购方有权扣除工程安全文明措施费。</w:t>
      </w:r>
    </w:p>
    <w:p w14:paraId="2721D93E">
      <w:pPr>
        <w:spacing w:line="360" w:lineRule="auto"/>
        <w:ind w:firstLine="422"/>
        <w:rPr>
          <w:rFonts w:hint="eastAsia" w:ascii="宋体" w:hAnsi="宋体"/>
          <w:bCs/>
          <w:szCs w:val="21"/>
        </w:rPr>
      </w:pPr>
      <w:r>
        <w:rPr>
          <w:rFonts w:hint="eastAsia" w:ascii="宋体" w:hAnsi="宋体"/>
          <w:bCs/>
          <w:szCs w:val="21"/>
        </w:rPr>
        <w:t>④中标供应商必须作好施工纪录、隐蔽工程纪录、施工资料的整理、竣工资料的编制等工作。</w:t>
      </w:r>
    </w:p>
    <w:p w14:paraId="79E35A75">
      <w:pPr>
        <w:spacing w:line="360" w:lineRule="auto"/>
        <w:ind w:firstLine="422"/>
        <w:rPr>
          <w:rFonts w:hint="eastAsia" w:ascii="宋体" w:hAnsi="宋体"/>
          <w:bCs/>
          <w:szCs w:val="21"/>
        </w:rPr>
      </w:pPr>
      <w:r>
        <w:rPr>
          <w:rFonts w:hint="eastAsia" w:ascii="宋体" w:hAnsi="宋体"/>
          <w:bCs/>
          <w:szCs w:val="21"/>
        </w:rPr>
        <w:t>⑤中标供应商必须在施工现场显眼位置设置正规施工警示牌、工程概况表、标注温馨提示语言。</w:t>
      </w:r>
    </w:p>
    <w:p w14:paraId="2B156C6C">
      <w:pPr>
        <w:spacing w:line="360" w:lineRule="auto"/>
        <w:ind w:firstLine="422"/>
        <w:rPr>
          <w:rFonts w:hint="eastAsia" w:ascii="宋体" w:hAnsi="宋体"/>
          <w:bCs/>
          <w:szCs w:val="21"/>
        </w:rPr>
      </w:pPr>
      <w:r>
        <w:rPr>
          <w:rFonts w:hint="eastAsia" w:ascii="宋体" w:hAnsi="宋体"/>
          <w:bCs/>
          <w:szCs w:val="21"/>
        </w:rPr>
        <w:t>⑥中标供应商施工必须达到有关部门规定的安全文明施工标准，服从采购人的管理，避免干扰采购人的正常工作秩序，认真做好施工现场防护、防火、噪音、用电等安全文明施工各项管理工作，承担相应一切责任，确保施工场地区域道路畅通，保持施工现场整洁，做到工完场清，达到创建国家卫生城市标准。</w:t>
      </w:r>
    </w:p>
    <w:p w14:paraId="00EF2A59">
      <w:pPr>
        <w:spacing w:line="360" w:lineRule="auto"/>
        <w:ind w:firstLine="422"/>
        <w:rPr>
          <w:rFonts w:hint="eastAsia" w:ascii="宋体" w:hAnsi="宋体"/>
          <w:bCs/>
          <w:szCs w:val="21"/>
        </w:rPr>
      </w:pPr>
      <w:r>
        <w:rPr>
          <w:rFonts w:hint="eastAsia" w:ascii="宋体" w:hAnsi="宋体"/>
          <w:bCs/>
          <w:szCs w:val="21"/>
        </w:rPr>
        <w:t>⑦中标供应商必须在施工过程中注意自身及周边安全，作好现场及周边安全设施搭设，遵守有关安全保护规程，负责施工过程中的所有事故处理和费用。</w:t>
      </w:r>
    </w:p>
    <w:p w14:paraId="0F231490">
      <w:pPr>
        <w:spacing w:line="360" w:lineRule="auto"/>
        <w:ind w:firstLine="422"/>
        <w:rPr>
          <w:rFonts w:hint="eastAsia" w:ascii="宋体" w:hAnsi="宋体"/>
          <w:bCs/>
          <w:szCs w:val="21"/>
        </w:rPr>
      </w:pPr>
      <w:r>
        <w:rPr>
          <w:rFonts w:hint="eastAsia" w:ascii="宋体" w:hAnsi="宋体"/>
          <w:bCs/>
          <w:szCs w:val="21"/>
        </w:rPr>
        <w:t>⑧中标供应商必须服从建设单位、监理公司</w:t>
      </w:r>
      <w:r>
        <w:rPr>
          <w:rFonts w:hint="eastAsia" w:ascii="宋体" w:hAnsi="宋体"/>
          <w:bCs/>
          <w:szCs w:val="21"/>
          <w:lang w:eastAsia="zh-CN"/>
        </w:rPr>
        <w:t>（如有）</w:t>
      </w:r>
      <w:r>
        <w:rPr>
          <w:rFonts w:hint="eastAsia" w:ascii="宋体" w:hAnsi="宋体"/>
          <w:bCs/>
          <w:szCs w:val="21"/>
        </w:rPr>
        <w:t>的监督、指导并积极主动配合上述管理机构的工作。</w:t>
      </w:r>
    </w:p>
    <w:p w14:paraId="067C412E">
      <w:pPr>
        <w:spacing w:line="360" w:lineRule="auto"/>
        <w:ind w:firstLine="422"/>
        <w:rPr>
          <w:rFonts w:hint="eastAsia" w:ascii="宋体" w:hAnsi="宋体"/>
          <w:bCs/>
          <w:szCs w:val="21"/>
        </w:rPr>
      </w:pPr>
      <w:r>
        <w:rPr>
          <w:rFonts w:hint="eastAsia" w:ascii="宋体" w:hAnsi="宋体"/>
          <w:bCs/>
          <w:szCs w:val="21"/>
        </w:rPr>
        <w:t>⑨中标单位施工时须提供材料样板，经招标人及监理单位最终确认后，方可进场使用。</w:t>
      </w:r>
    </w:p>
    <w:p w14:paraId="5A0F0940">
      <w:pPr>
        <w:spacing w:line="360" w:lineRule="auto"/>
        <w:ind w:firstLine="422"/>
        <w:rPr>
          <w:rFonts w:hint="eastAsia" w:ascii="宋体" w:hAnsi="宋体"/>
          <w:bCs/>
          <w:szCs w:val="21"/>
        </w:rPr>
      </w:pPr>
      <w:r>
        <w:rPr>
          <w:rFonts w:hint="eastAsia" w:ascii="宋体" w:hAnsi="宋体"/>
          <w:bCs/>
          <w:szCs w:val="21"/>
        </w:rPr>
        <w:t>⑩工程竣工后，竣工验收必须达到国家施工验收标准“合格”，且应能达到招标人的要求，否则，由此而导致工期延误及所引起的一切费用损失等全部由中标人负责。</w:t>
      </w:r>
    </w:p>
    <w:p w14:paraId="7F3FD3C8">
      <w:pPr>
        <w:spacing w:line="360" w:lineRule="auto"/>
        <w:ind w:firstLine="422"/>
        <w:rPr>
          <w:rFonts w:hint="eastAsia" w:ascii="宋体" w:hAnsi="宋体"/>
          <w:bCs/>
          <w:szCs w:val="21"/>
        </w:rPr>
      </w:pPr>
      <w:r>
        <w:rPr>
          <w:rFonts w:hint="eastAsia" w:ascii="宋体" w:hAnsi="宋体"/>
          <w:bCs/>
          <w:szCs w:val="21"/>
        </w:rPr>
        <w:t>⑪用在本工程的任何材料在使用前必须得到采购人的批准，样品须在大批订货前送审。获准的样品存放在工地，作为以后验收材料的标准。样品和其包装，由中标人无偿提供。</w:t>
      </w:r>
    </w:p>
    <w:p w14:paraId="3CB100C6">
      <w:pPr>
        <w:spacing w:line="360" w:lineRule="auto"/>
        <w:ind w:firstLine="422"/>
        <w:rPr>
          <w:rFonts w:hint="eastAsia" w:ascii="宋体" w:hAnsi="宋体"/>
          <w:bCs/>
          <w:szCs w:val="21"/>
        </w:rPr>
      </w:pPr>
      <w:r>
        <w:rPr>
          <w:rFonts w:hint="eastAsia" w:ascii="宋体" w:hAnsi="宋体"/>
          <w:bCs/>
          <w:szCs w:val="21"/>
        </w:rPr>
        <w:t>⑫承包人在工程施工前，须全面检查工地情况，若发现错误须立刻通知工程师。若未能遵从此规定，使本工程的任何项目因此等错误或缺陷而错误地建造，则中标人须自费予以拆除及重建。</w:t>
      </w:r>
    </w:p>
    <w:p w14:paraId="749367C2">
      <w:pPr>
        <w:spacing w:line="360" w:lineRule="auto"/>
        <w:ind w:firstLine="422"/>
        <w:rPr>
          <w:rFonts w:hint="eastAsia" w:ascii="宋体" w:hAnsi="宋体"/>
          <w:bCs/>
          <w:szCs w:val="21"/>
        </w:rPr>
      </w:pPr>
      <w:r>
        <w:rPr>
          <w:rFonts w:hint="eastAsia" w:ascii="宋体" w:hAnsi="宋体"/>
          <w:bCs/>
          <w:szCs w:val="21"/>
        </w:rPr>
        <w:t>⑬实行项目经理负责制，并按投标文件配备项目管理班子。如未经采购人同意更换项目班子成员，采购人有权取消投标人的中标资格或单方面终止合同，由此造成的违约责任由承包人承担。</w:t>
      </w:r>
    </w:p>
    <w:p w14:paraId="693EABD9">
      <w:pPr>
        <w:widowControl/>
        <w:adjustRightInd w:val="0"/>
        <w:spacing w:line="360" w:lineRule="auto"/>
        <w:jc w:val="left"/>
        <w:rPr>
          <w:rFonts w:hint="eastAsia" w:ascii="宋体" w:hAnsi="宋体"/>
          <w:b/>
          <w:kern w:val="0"/>
          <w:szCs w:val="21"/>
        </w:rPr>
      </w:pPr>
    </w:p>
    <w:p w14:paraId="08D0C05D">
      <w:pPr>
        <w:widowControl/>
        <w:adjustRightInd w:val="0"/>
        <w:spacing w:line="360" w:lineRule="auto"/>
        <w:ind w:firstLine="413" w:firstLineChars="196"/>
        <w:jc w:val="left"/>
        <w:rPr>
          <w:rFonts w:hint="eastAsia" w:ascii="宋体" w:hAnsi="宋体"/>
        </w:rPr>
      </w:pPr>
      <w:r>
        <w:rPr>
          <w:rFonts w:hint="eastAsia" w:ascii="宋体" w:hAnsi="宋体"/>
          <w:b/>
          <w:kern w:val="0"/>
          <w:szCs w:val="21"/>
        </w:rPr>
        <w:t>三、商务要求（注：以下商务要求均为实质性条款，供应商投标时均不得负偏离，否则按投标无效处理）</w:t>
      </w:r>
    </w:p>
    <w:p w14:paraId="2E8352C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（一）本项目总预算金额为人民币</w:t>
      </w:r>
      <w:r>
        <w:rPr>
          <w:rFonts w:hint="eastAsia" w:ascii="宋体" w:hAnsi="宋体" w:cs="宋体"/>
          <w:sz w:val="21"/>
          <w:szCs w:val="21"/>
          <w:lang w:eastAsia="zh-CN"/>
        </w:rPr>
        <w:t>974,415.14</w:t>
      </w:r>
      <w:r>
        <w:rPr>
          <w:rFonts w:hint="eastAsia" w:ascii="宋体" w:hAnsi="宋体" w:eastAsia="宋体" w:cs="宋体"/>
          <w:sz w:val="21"/>
          <w:szCs w:val="21"/>
        </w:rPr>
        <w:t>元（大写：玖拾柒万肆仟肆佰壹拾伍元壹角肆分），要求投标人填报一个统一的折扣率，最终支付价格以采购人聘请的第三方审计公司审定金额为准。</w:t>
      </w:r>
      <w:r>
        <w:rPr>
          <w:rFonts w:hint="eastAsia" w:ascii="宋体" w:hAnsi="宋体" w:eastAsia="宋体" w:cs="宋体"/>
          <w:b/>
          <w:bCs/>
          <w:sz w:val="21"/>
          <w:szCs w:val="21"/>
        </w:rPr>
        <w:t>本项目清单内的不可竞争费无需随折扣率进行下浮，不可竞争费包含安全文明施工措施费、专业工程暂估价、暂列金。</w:t>
      </w:r>
      <w:r>
        <w:rPr>
          <w:rFonts w:hint="eastAsia" w:ascii="宋体" w:hAnsi="宋体" w:eastAsia="宋体" w:cs="宋体"/>
          <w:sz w:val="21"/>
          <w:szCs w:val="21"/>
        </w:rPr>
        <w:t>一经中标，折扣率作为中标人与采购人签订的合同内容，合同期限内不做调整。</w:t>
      </w:r>
    </w:p>
    <w:p w14:paraId="49F9451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注：本项目投标报价以折扣率报价。报价要求：折扣率大于0且小于等于1，是固定唯一值，填写的折扣率应为小数，且只填报到小数点后最多两位(如折扣率为九折填写0.90,八八折填写0.88)。投标折扣率不满足招标文件报价要求的，将作投标无效处理。</w:t>
      </w:r>
    </w:p>
    <w:p w14:paraId="6862DC5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【注：（1）本次招标不涉及具体投标金额（投标人无须在投标文件中填报具体投标金额），投标人必须按照开标一览表中的要求进行报价，否则将作投标无效处理。</w:t>
      </w:r>
    </w:p>
    <w:p w14:paraId="4BC196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（2）“折扣率”填写要求：</w:t>
      </w:r>
    </w:p>
    <w:p w14:paraId="43622BF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①填写的“折扣率”为小数，如0.90、0.88、0.77（保留小数点后两位）；</w:t>
      </w:r>
    </w:p>
    <w:p w14:paraId="04EFCA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②不得报区间值（如0.88-0.99），否则将作投标无效处理；</w:t>
      </w:r>
    </w:p>
    <w:p w14:paraId="4610037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③0＜折扣率≤1。</w:t>
      </w:r>
    </w:p>
    <w:p w14:paraId="00E278C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④投标人参与投标只允许填报唯一1个“折扣率”，不允许填报2个（或以上）的“折扣率”；填报了2个或以上“折扣率”的，其投标将直接作为无效标处理；</w:t>
      </w:r>
    </w:p>
    <w:p w14:paraId="45F496F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⑤“折扣率”缺填、漏填将直接作无效标处理。】</w:t>
      </w:r>
    </w:p>
    <w:p w14:paraId="7918845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cs="宋体"/>
          <w:sz w:val="21"/>
          <w:szCs w:val="21"/>
          <w:lang w:eastAsia="zh-CN"/>
        </w:rPr>
        <w:t>（二）</w:t>
      </w:r>
      <w:r>
        <w:rPr>
          <w:rFonts w:hint="eastAsia" w:ascii="宋体" w:hAnsi="宋体" w:eastAsia="宋体" w:cs="宋体"/>
          <w:sz w:val="21"/>
          <w:szCs w:val="21"/>
        </w:rPr>
        <w:t>本项目采用固定总价合同。投标人所投报的投标报价为图纸内容与工程量清单的总包干价格，对没有填写综合单价与合价的项目费用，应视为已包括在工程量清单的其他综合单价与合价之中。如有工程量清单未包含图纸内容的漏项，视同已包含在其他项目中，总价与单价不予调整。</w:t>
      </w:r>
    </w:p>
    <w:p w14:paraId="52C08FA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如本项目采用固定单价合同。工程量清单所列的工程量系采购单位的估算，是临时的，作为投标报价的共同基础，不应被理解为是对采购单位要求工作内容的全部定义，也不能作为供应商应完成的实际工程量供应商必须按图纸及有关标准、规范的要求进行施工，实际完成的工程量与分部分项工程量清单中的差异结算时可作调整。凡超出图纸范围又未经变更审批程序的内容，都不予计量；未施工的项目，经监理工程师核实后予以扣减。</w:t>
      </w:r>
    </w:p>
    <w:p w14:paraId="33B3CF0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供应商的投标报价必须充分考虑到在施工中实施的施工组织设计对工程造价的影响,并在投标报价中反映出来。</w:t>
      </w:r>
    </w:p>
    <w:p w14:paraId="255768E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本项目服务费包括成本、法定税费和企业的利润。由中标人根据采购文件所提供的资料自行测算投标报价（折扣率）；一经中标，折扣率作为中标人与采购人签订的合同金额，最终金额不得超过预算金额且据实结算。</w:t>
      </w:r>
    </w:p>
    <w:p w14:paraId="5A8041A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（三）投标人的报价，应当是本项目采购范围和采购件及合同条款上所列的各项内容中所述的全部，不得以任何理由予以重复。</w:t>
      </w:r>
    </w:p>
    <w:p w14:paraId="3F1228A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（四）投标人应先到项目地点踏勘以充分了解项目的位置、情况、道路及任何其他足以影响投标报价的情况，任何因忽视或误解项目情况而导致的索赔或服务期限延长申请将不获批准。</w:t>
      </w:r>
    </w:p>
    <w:p w14:paraId="14D3FE2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（五）投标人不得期望通过索赔等方式获取补偿，否则，除可能遭到拒绝外，还可能将被作为不良行为记录在案，并可能影响其以后参加政府采购的项目投标。各投标人在报价时，应充分考虑报价的风险。</w:t>
      </w:r>
    </w:p>
    <w:p w14:paraId="63D42CB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（六）项目验收程序、质量标准及期限。</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36"/>
        <w:gridCol w:w="3286"/>
      </w:tblGrid>
      <w:tr w14:paraId="76B2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5236" w:type="dxa"/>
            <w:noWrap w:val="0"/>
            <w:vAlign w:val="top"/>
          </w:tcPr>
          <w:p w14:paraId="1E557F95">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项目内容</w:t>
            </w:r>
          </w:p>
        </w:tc>
        <w:tc>
          <w:tcPr>
            <w:tcW w:w="3286" w:type="dxa"/>
            <w:noWrap w:val="0"/>
            <w:vAlign w:val="top"/>
          </w:tcPr>
          <w:p w14:paraId="09FF574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验收评价</w:t>
            </w:r>
          </w:p>
        </w:tc>
      </w:tr>
      <w:tr w14:paraId="2FA8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AFCF53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完成工程设计和合同约定的情况</w:t>
            </w:r>
          </w:p>
        </w:tc>
        <w:tc>
          <w:tcPr>
            <w:tcW w:w="3286" w:type="dxa"/>
            <w:noWrap w:val="0"/>
            <w:vAlign w:val="top"/>
          </w:tcPr>
          <w:p w14:paraId="5E303DCF">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合格   不合格</w:t>
            </w:r>
          </w:p>
        </w:tc>
      </w:tr>
      <w:tr w14:paraId="6CDA9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65904E2B">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进场开工及竣工日期情况</w:t>
            </w:r>
          </w:p>
        </w:tc>
        <w:tc>
          <w:tcPr>
            <w:tcW w:w="3286" w:type="dxa"/>
            <w:noWrap w:val="0"/>
            <w:vAlign w:val="top"/>
          </w:tcPr>
          <w:p w14:paraId="6D1A23C9">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合格   不合格</w:t>
            </w:r>
          </w:p>
        </w:tc>
      </w:tr>
      <w:tr w14:paraId="1777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2D0647D6">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现场安全设施情况</w:t>
            </w:r>
          </w:p>
        </w:tc>
        <w:tc>
          <w:tcPr>
            <w:tcW w:w="3286" w:type="dxa"/>
            <w:noWrap w:val="0"/>
            <w:vAlign w:val="top"/>
          </w:tcPr>
          <w:p w14:paraId="51D613C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合格   不合格</w:t>
            </w:r>
          </w:p>
        </w:tc>
      </w:tr>
      <w:tr w14:paraId="68BD7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301DEC3D">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现场施工管理情况</w:t>
            </w:r>
          </w:p>
        </w:tc>
        <w:tc>
          <w:tcPr>
            <w:tcW w:w="3286" w:type="dxa"/>
            <w:noWrap w:val="0"/>
            <w:vAlign w:val="top"/>
          </w:tcPr>
          <w:p w14:paraId="7C6FC6EA">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合格   不合格</w:t>
            </w:r>
          </w:p>
        </w:tc>
      </w:tr>
      <w:tr w14:paraId="58135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7D551AF9">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施工记录、档案管理情况</w:t>
            </w:r>
          </w:p>
        </w:tc>
        <w:tc>
          <w:tcPr>
            <w:tcW w:w="3286" w:type="dxa"/>
            <w:noWrap w:val="0"/>
            <w:vAlign w:val="top"/>
          </w:tcPr>
          <w:p w14:paraId="07C00C28">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合格   不合格</w:t>
            </w:r>
          </w:p>
        </w:tc>
      </w:tr>
      <w:tr w14:paraId="690F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36" w:type="dxa"/>
            <w:noWrap w:val="0"/>
            <w:vAlign w:val="top"/>
          </w:tcPr>
          <w:p w14:paraId="57D859E0">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工程售后服务方案及措施</w:t>
            </w:r>
          </w:p>
        </w:tc>
        <w:tc>
          <w:tcPr>
            <w:tcW w:w="3286" w:type="dxa"/>
            <w:noWrap w:val="0"/>
            <w:vAlign w:val="top"/>
          </w:tcPr>
          <w:p w14:paraId="6A4C60BC">
            <w:pPr>
              <w:keepNext w:val="0"/>
              <w:keepLines w:val="0"/>
              <w:pageBreakBefore w:val="0"/>
              <w:widowControl w:val="0"/>
              <w:numPr>
                <w:ilvl w:val="0"/>
                <w:numId w:val="0"/>
              </w:numPr>
              <w:suppressLineNumbers w:val="0"/>
              <w:kinsoku/>
              <w:wordWrap w:val="0"/>
              <w:overflowPunct/>
              <w:topLinePunct w:val="0"/>
              <w:autoSpaceDE/>
              <w:autoSpaceDN/>
              <w:bidi w:val="0"/>
              <w:adjustRightInd/>
              <w:snapToGrid/>
              <w:spacing w:before="0" w:beforeAutospacing="0" w:after="0" w:afterAutospacing="0" w:line="360" w:lineRule="auto"/>
              <w:ind w:left="0" w:leftChars="0" w:right="0" w:firstLine="420" w:firstLineChars="200"/>
              <w:textAlignment w:val="auto"/>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合格   不合格</w:t>
            </w:r>
          </w:p>
        </w:tc>
      </w:tr>
    </w:tbl>
    <w:p w14:paraId="40500DC8">
      <w:pPr>
        <w:pStyle w:val="2"/>
        <w:rPr>
          <w:rFonts w:hint="eastAsia"/>
        </w:rPr>
      </w:pPr>
    </w:p>
    <w:p w14:paraId="413CCB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七）付款方式：合同签订并收到中标人材料及发票10个工作日内将合同金额的60%作为首款支付到合同约定的账户；竣工验收合格后，按结算审定价格，在收到中标人完整材料及发票10个工作日内，向中标人支付至最终审定价款的97%，剩余3%尾款在售后服务期结束后10个工作日内支付。支付金额以采购方聘请的第三方审计公司审定金额为准，但不得超过招标控制价。</w:t>
      </w:r>
    </w:p>
    <w:p w14:paraId="2450E61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本采购系以财政资金支付，需相应的行政审批流程，如因此导致支付延迟，可顺延支付期限，不视为采购方违约。</w:t>
      </w:r>
    </w:p>
    <w:p w14:paraId="58DBF49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cs="宋体"/>
          <w:sz w:val="21"/>
          <w:szCs w:val="21"/>
          <w:lang w:eastAsia="zh-CN"/>
        </w:rPr>
        <w:t>八</w:t>
      </w:r>
      <w:r>
        <w:rPr>
          <w:rFonts w:hint="eastAsia" w:ascii="宋体" w:hAnsi="宋体" w:eastAsia="宋体" w:cs="宋体"/>
          <w:sz w:val="21"/>
          <w:szCs w:val="21"/>
        </w:rPr>
        <w:t>）工期：本项目开工之日起</w:t>
      </w:r>
      <w:r>
        <w:rPr>
          <w:rFonts w:hint="eastAsia" w:ascii="宋体" w:hAnsi="宋体" w:cs="宋体"/>
          <w:sz w:val="21"/>
          <w:szCs w:val="21"/>
          <w:lang w:val="en-US" w:eastAsia="zh-CN"/>
        </w:rPr>
        <w:t>15</w:t>
      </w:r>
      <w:r>
        <w:rPr>
          <w:rFonts w:hint="eastAsia" w:ascii="宋体" w:hAnsi="宋体" w:eastAsia="宋体" w:cs="宋体"/>
          <w:sz w:val="21"/>
          <w:szCs w:val="21"/>
        </w:rPr>
        <w:t>0日内完成，具体以合同签订为准。售后保修期为项目竣工验收合格后2年。</w:t>
      </w:r>
    </w:p>
    <w:p w14:paraId="5FC936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 w:val="21"/>
          <w:szCs w:val="21"/>
          <w:lang w:eastAsia="zh-CN"/>
        </w:rPr>
      </w:pPr>
      <w:r>
        <w:rPr>
          <w:rFonts w:hint="eastAsia" w:ascii="宋体" w:hAnsi="宋体" w:cs="宋体"/>
          <w:sz w:val="21"/>
          <w:szCs w:val="21"/>
          <w:lang w:eastAsia="zh-CN"/>
        </w:rPr>
        <w:t>（九）产品保修期：在本工程质量保修期内，中标供应商应在接到通知之日后7天内派人修理。中标供应商不在约定期限内派人修理发包方可委托其他人员修理，发生的累计保修费由中标供应商支付。</w:t>
      </w:r>
    </w:p>
    <w:p w14:paraId="4DCD8E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 w:val="21"/>
          <w:szCs w:val="21"/>
          <w:lang w:eastAsia="zh-CN"/>
        </w:rPr>
      </w:pPr>
      <w:r>
        <w:rPr>
          <w:rFonts w:hint="eastAsia" w:ascii="宋体" w:hAnsi="宋体" w:cs="宋体"/>
          <w:sz w:val="21"/>
          <w:szCs w:val="21"/>
          <w:lang w:eastAsia="zh-CN"/>
        </w:rPr>
        <w:t>（十）当满足以下条件时，采购人才向中标供应商签发验收报告：</w:t>
      </w:r>
    </w:p>
    <w:p w14:paraId="36407BC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 w:val="21"/>
          <w:szCs w:val="21"/>
          <w:lang w:eastAsia="zh-CN"/>
        </w:rPr>
      </w:pPr>
      <w:r>
        <w:rPr>
          <w:rFonts w:hint="eastAsia" w:ascii="宋体" w:hAnsi="宋体" w:cs="宋体"/>
          <w:sz w:val="21"/>
          <w:szCs w:val="21"/>
          <w:lang w:eastAsia="zh-CN"/>
        </w:rPr>
        <w:t>（1）如有国标，应符合有关规定；如无国标，则按照行业标准；如无国标及行业标准，则按双方约定执行。设备提供的技术数据经实测证实是真实的，检验及质量保证期内达到的性能指标与要求一致，达到或优于相应标准；</w:t>
      </w:r>
    </w:p>
    <w:p w14:paraId="24B92F6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 w:val="21"/>
          <w:szCs w:val="21"/>
          <w:lang w:eastAsia="zh-CN"/>
        </w:rPr>
      </w:pPr>
      <w:r>
        <w:rPr>
          <w:rFonts w:hint="eastAsia" w:ascii="宋体" w:hAnsi="宋体" w:cs="宋体"/>
          <w:sz w:val="21"/>
          <w:szCs w:val="21"/>
          <w:lang w:eastAsia="zh-CN"/>
        </w:rPr>
        <w:t>（2）中标供应商提供的各种文件载明的内容必须真实，其技术数据采购人有权要求投标供应商无偿提供采购人认可的第三方按照双方同意的试验方法进行检测。检测结果必须证明中标供应商提供的技术数据是真实的，否则视为不合格；</w:t>
      </w:r>
    </w:p>
    <w:p w14:paraId="08D5A9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 w:val="21"/>
          <w:szCs w:val="21"/>
          <w:lang w:eastAsia="zh-CN"/>
        </w:rPr>
      </w:pPr>
      <w:r>
        <w:rPr>
          <w:rFonts w:hint="eastAsia" w:ascii="宋体" w:hAnsi="宋体" w:cs="宋体"/>
          <w:sz w:val="21"/>
          <w:szCs w:val="21"/>
          <w:lang w:eastAsia="zh-CN"/>
        </w:rPr>
        <w:t>（3）设备全新，外观无伤痕变形或明显修饰痕迹;</w:t>
      </w:r>
    </w:p>
    <w:p w14:paraId="4C156AA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cs="宋体"/>
          <w:sz w:val="21"/>
          <w:szCs w:val="21"/>
          <w:lang w:eastAsia="zh-CN"/>
        </w:rPr>
      </w:pPr>
      <w:r>
        <w:rPr>
          <w:rFonts w:hint="eastAsia" w:ascii="宋体" w:hAnsi="宋体" w:cs="宋体"/>
          <w:sz w:val="21"/>
          <w:szCs w:val="21"/>
          <w:lang w:eastAsia="zh-CN"/>
        </w:rPr>
        <w:t>（4）货物具备产品合格证及国内认证检测证书，所有技术指标达到采购人要求，经验收合格后，双方共同签署验收报告。</w:t>
      </w:r>
    </w:p>
    <w:p w14:paraId="0715045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cs="宋体"/>
          <w:sz w:val="21"/>
          <w:szCs w:val="21"/>
          <w:lang w:eastAsia="zh-CN"/>
        </w:rPr>
        <w:t>（十一）</w:t>
      </w:r>
      <w:r>
        <w:rPr>
          <w:rFonts w:hint="eastAsia" w:ascii="宋体" w:hAnsi="宋体" w:eastAsia="宋体" w:cs="宋体"/>
          <w:sz w:val="21"/>
          <w:szCs w:val="21"/>
        </w:rPr>
        <w:t>违约责任</w:t>
      </w:r>
    </w:p>
    <w:p w14:paraId="6116B4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供应商有下列情形之一的，甲方有权解除本项目合同、取消其供应商资格或将其列入“黑名单”，由此产生的全部责任由供应商承担。</w:t>
      </w:r>
    </w:p>
    <w:p w14:paraId="6A38E93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1.供应商擅自将本项目服务转包或分包给其他单位或个人的；</w:t>
      </w:r>
    </w:p>
    <w:p w14:paraId="33B0658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2.供应商的不当行为造成严重后果或恶劣影响的；</w:t>
      </w:r>
    </w:p>
    <w:p w14:paraId="0BDDB08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3.营业执照被吊销或失效的；</w:t>
      </w:r>
    </w:p>
    <w:p w14:paraId="376E07A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4.中标供应商不能交货的，需偿付不能交货部分货款的20%的违约金并按主管部门相关规定处理；</w:t>
      </w:r>
    </w:p>
    <w:p w14:paraId="71D986A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中标供应商所交付产品、工程或服务不符合其投标承诺的，或在投标阶段为了中标而盲目虚假承诺、低价恶性竞争，在履约阶段则通过偷工减料、以次充好而获取利润的，将被履约评价工作实施机构评为履约等级“差”并按主管部门相关规定处理；</w:t>
      </w:r>
    </w:p>
    <w:p w14:paraId="7D24768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6.违反法律规定而实质性影响本服务项目履行的；</w:t>
      </w:r>
    </w:p>
    <w:p w14:paraId="6084D11C">
      <w:r>
        <w:rPr>
          <w:rFonts w:hint="eastAsia" w:ascii="宋体" w:hAnsi="宋体" w:eastAsia="宋体" w:cs="宋体"/>
          <w:sz w:val="21"/>
          <w:szCs w:val="21"/>
        </w:rPr>
        <w:t>7.其他情形导致违约的，以合同签署为准。</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MS PGothic">
    <w:panose1 w:val="020B0600070205080204"/>
    <w:charset w:val="80"/>
    <w:family w:val="auto"/>
    <w:pitch w:val="default"/>
    <w:sig w:usb0="E00002FF" w:usb1="6AC7FDFB" w:usb2="08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FA66B5"/>
    <w:multiLevelType w:val="multilevel"/>
    <w:tmpl w:val="7BFA66B5"/>
    <w:lvl w:ilvl="0" w:tentative="0">
      <w:start w:val="5"/>
      <w:numFmt w:val="chineseCountingThousand"/>
      <w:lvlText w:val="第%1部分"/>
      <w:lvlJc w:val="center"/>
      <w:pPr>
        <w:ind w:left="3886" w:hanging="1050"/>
      </w:pPr>
      <w:rPr>
        <w:rFonts w:hint="eastAsia"/>
      </w:rPr>
    </w:lvl>
    <w:lvl w:ilvl="1" w:tentative="0">
      <w:start w:val="1"/>
      <w:numFmt w:val="lowerLetter"/>
      <w:lvlText w:val="%2)"/>
      <w:lvlJc w:val="left"/>
      <w:pPr>
        <w:ind w:left="2258" w:hanging="420"/>
      </w:pPr>
      <w:rPr>
        <w:rFonts w:hint="eastAsia"/>
      </w:rPr>
    </w:lvl>
    <w:lvl w:ilvl="2" w:tentative="0">
      <w:start w:val="1"/>
      <w:numFmt w:val="lowerRoman"/>
      <w:lvlText w:val="%3."/>
      <w:lvlJc w:val="right"/>
      <w:pPr>
        <w:ind w:left="2678" w:hanging="420"/>
      </w:pPr>
      <w:rPr>
        <w:rFonts w:hint="eastAsia"/>
      </w:rPr>
    </w:lvl>
    <w:lvl w:ilvl="3" w:tentative="0">
      <w:start w:val="1"/>
      <w:numFmt w:val="decimal"/>
      <w:lvlText w:val="%4."/>
      <w:lvlJc w:val="left"/>
      <w:pPr>
        <w:ind w:left="3098" w:hanging="420"/>
      </w:pPr>
      <w:rPr>
        <w:rFonts w:hint="eastAsia"/>
      </w:rPr>
    </w:lvl>
    <w:lvl w:ilvl="4" w:tentative="0">
      <w:start w:val="1"/>
      <w:numFmt w:val="lowerLetter"/>
      <w:lvlText w:val="%5)"/>
      <w:lvlJc w:val="left"/>
      <w:pPr>
        <w:ind w:left="3518" w:hanging="420"/>
      </w:pPr>
      <w:rPr>
        <w:rFonts w:hint="eastAsia"/>
      </w:rPr>
    </w:lvl>
    <w:lvl w:ilvl="5" w:tentative="0">
      <w:start w:val="1"/>
      <w:numFmt w:val="lowerRoman"/>
      <w:lvlText w:val="%6."/>
      <w:lvlJc w:val="right"/>
      <w:pPr>
        <w:ind w:left="3938" w:hanging="420"/>
      </w:pPr>
      <w:rPr>
        <w:rFonts w:hint="eastAsia"/>
      </w:rPr>
    </w:lvl>
    <w:lvl w:ilvl="6" w:tentative="0">
      <w:start w:val="1"/>
      <w:numFmt w:val="decimal"/>
      <w:lvlText w:val="%7."/>
      <w:lvlJc w:val="left"/>
      <w:pPr>
        <w:ind w:left="4358" w:hanging="420"/>
      </w:pPr>
      <w:rPr>
        <w:rFonts w:hint="eastAsia"/>
      </w:rPr>
    </w:lvl>
    <w:lvl w:ilvl="7" w:tentative="0">
      <w:start w:val="1"/>
      <w:numFmt w:val="lowerLetter"/>
      <w:lvlText w:val="%8)"/>
      <w:lvlJc w:val="left"/>
      <w:pPr>
        <w:ind w:left="4778" w:hanging="420"/>
      </w:pPr>
      <w:rPr>
        <w:rFonts w:hint="eastAsia"/>
      </w:rPr>
    </w:lvl>
    <w:lvl w:ilvl="8" w:tentative="0">
      <w:start w:val="1"/>
      <w:numFmt w:val="lowerRoman"/>
      <w:lvlText w:val="%9."/>
      <w:lvlJc w:val="right"/>
      <w:pPr>
        <w:ind w:left="5198"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2C178F"/>
    <w:rsid w:val="562C1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kern w:val="0"/>
      <w:sz w:val="20"/>
    </w:rPr>
  </w:style>
  <w:style w:type="table" w:styleId="5">
    <w:name w:val="Table Grid"/>
    <w:basedOn w:val="4"/>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2026-09-11T08:42:00Z</dcterms:created>
  <dc:creator>ZHWen_</dc:creator>
  <cp:lastModifiedBy>ZHWen_</cp:lastModifiedBy>
  <dcterms:modified xsi:type="dcterms:W3CDTF">2026-09-11T08:42:19Z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EB409A37317641719B7B08A5B0401328_11</vt:lpwstr>
  </property>
  <property fmtid="{D5CDD505-2E9C-101B-9397-08002B2CF9AE}" pid="4" name="KSOTemplateDocerSaveRecord">
    <vt:lpwstr>eyJoZGlkIjoiY2FkZmQ0NGM3YjRiYWMwYWU1YzgxNDg4N2I3ZTcwMmUiLCJ1c2VySWQiOiIzMTQ2ODI0MjgifQ==</vt:lpwstr>
  </property>
</Properties>
</file>