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9D915">
      <w:pPr>
        <w:pStyle w:val="6"/>
        <w:spacing w:before="120" w:after="120"/>
        <w:rPr>
          <w:rStyle w:val="7"/>
          <w:b w:val="0"/>
          <w:bCs w:val="0"/>
        </w:rPr>
      </w:pPr>
      <w:bookmarkStart w:id="0" w:name="_Toc219814259"/>
      <w:r>
        <w:rPr>
          <w:rStyle w:val="7"/>
          <w:rFonts w:hint="eastAsia"/>
          <w:b w:val="0"/>
          <w:bCs w:val="0"/>
        </w:rPr>
        <w:t>第六章  货物和服务需求书</w:t>
      </w:r>
      <w:bookmarkEnd w:id="0"/>
    </w:p>
    <w:p w14:paraId="56A25118">
      <w:pPr>
        <w:spacing w:after="60" w:line="360" w:lineRule="auto"/>
        <w:jc w:val="center"/>
        <w:rPr>
          <w:b/>
          <w:color w:val="FF0000"/>
          <w:sz w:val="28"/>
          <w:szCs w:val="28"/>
        </w:rPr>
      </w:pPr>
      <w:r>
        <w:rPr>
          <w:rFonts w:hint="eastAsia"/>
          <w:b/>
          <w:color w:val="FF0000"/>
          <w:sz w:val="28"/>
          <w:szCs w:val="28"/>
        </w:rPr>
        <w:t>（商务要求部分）</w:t>
      </w:r>
    </w:p>
    <w:p w14:paraId="5B0EE123">
      <w:pPr>
        <w:pStyle w:val="2"/>
        <w:rPr>
          <w:b/>
        </w:rPr>
      </w:pPr>
      <w:r>
        <w:rPr>
          <w:rFonts w:hint="eastAsia"/>
          <w:b/>
        </w:rPr>
        <w:t>一、</w:t>
      </w:r>
      <w:r>
        <w:rPr>
          <w:rFonts w:hint="eastAsia" w:ascii="宋体" w:hAnsi="宋体"/>
          <w:b/>
          <w:szCs w:val="21"/>
        </w:rPr>
        <w:t>采购项目基本信息</w:t>
      </w:r>
    </w:p>
    <w:tbl>
      <w:tblPr>
        <w:tblStyle w:val="4"/>
        <w:tblW w:w="8277" w:type="dxa"/>
        <w:jc w:val="center"/>
        <w:tblLayout w:type="autofit"/>
        <w:tblCellMar>
          <w:top w:w="15" w:type="dxa"/>
          <w:left w:w="15" w:type="dxa"/>
          <w:bottom w:w="15" w:type="dxa"/>
          <w:right w:w="15" w:type="dxa"/>
        </w:tblCellMar>
      </w:tblPr>
      <w:tblGrid>
        <w:gridCol w:w="828"/>
        <w:gridCol w:w="4303"/>
        <w:gridCol w:w="3146"/>
      </w:tblGrid>
      <w:tr w14:paraId="7D2E5991">
        <w:tblPrEx>
          <w:tblCellMar>
            <w:top w:w="15" w:type="dxa"/>
            <w:left w:w="15" w:type="dxa"/>
            <w:bottom w:w="15" w:type="dxa"/>
            <w:right w:w="15"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auto" w:sz="4" w:space="0"/>
            </w:tcBorders>
            <w:shd w:val="clear" w:color="auto" w:fill="DBE3F4" w:themeFill="accent1" w:themeFillTint="32"/>
            <w:vAlign w:val="center"/>
          </w:tcPr>
          <w:p w14:paraId="10535EF2">
            <w:pPr>
              <w:snapToGrid w:val="0"/>
              <w:spacing w:after="60" w:afterLines="0" w:line="240" w:lineRule="auto"/>
              <w:ind w:left="0" w:leftChars="0" w:right="0" w:rightChars="0" w:firstLine="0" w:firstLineChars="0"/>
              <w:jc w:val="center"/>
              <w:rPr>
                <w:rFonts w:ascii="Times New Roman" w:hAnsi="Times New Roman"/>
                <w:b/>
                <w:szCs w:val="21"/>
              </w:rPr>
            </w:pPr>
            <w:r>
              <w:rPr>
                <w:rFonts w:ascii="Times New Roman" w:hAnsi="Times New Roman"/>
                <w:b/>
                <w:szCs w:val="21"/>
              </w:rPr>
              <w:t>序号</w:t>
            </w:r>
          </w:p>
        </w:tc>
        <w:tc>
          <w:tcPr>
            <w:tcW w:w="0" w:type="auto"/>
            <w:tcBorders>
              <w:top w:val="single" w:color="000000" w:sz="4" w:space="0"/>
              <w:left w:val="single" w:color="auto" w:sz="4" w:space="0"/>
              <w:bottom w:val="single" w:color="000000" w:sz="4" w:space="0"/>
              <w:right w:val="single" w:color="000000" w:sz="4" w:space="0"/>
            </w:tcBorders>
            <w:shd w:val="clear" w:color="auto" w:fill="DBE3F4" w:themeFill="accent1" w:themeFillTint="32"/>
            <w:vAlign w:val="center"/>
          </w:tcPr>
          <w:p w14:paraId="631C81DD">
            <w:pPr>
              <w:snapToGrid w:val="0"/>
              <w:spacing w:after="60" w:afterLines="0" w:line="240" w:lineRule="auto"/>
              <w:ind w:left="0" w:leftChars="0" w:right="0" w:rightChars="0" w:firstLine="0" w:firstLineChars="0"/>
              <w:jc w:val="center"/>
              <w:rPr>
                <w:rFonts w:ascii="Times New Roman" w:hAnsi="Times New Roman"/>
                <w:b/>
                <w:szCs w:val="21"/>
              </w:rPr>
            </w:pPr>
            <w:r>
              <w:rPr>
                <w:rFonts w:ascii="Times New Roman" w:hAnsi="Times New Roman"/>
                <w:b/>
                <w:szCs w:val="21"/>
              </w:rPr>
              <w:t>采购项目名称</w:t>
            </w:r>
          </w:p>
        </w:tc>
        <w:tc>
          <w:tcPr>
            <w:tcW w:w="3146" w:type="dxa"/>
            <w:tcBorders>
              <w:top w:val="single" w:color="000000" w:sz="4" w:space="0"/>
              <w:left w:val="single" w:color="000000" w:sz="4" w:space="0"/>
              <w:bottom w:val="single" w:color="000000" w:sz="4" w:space="0"/>
              <w:right w:val="single" w:color="000000" w:sz="4" w:space="0"/>
            </w:tcBorders>
            <w:shd w:val="clear" w:color="auto" w:fill="DBE3F4" w:themeFill="accent1" w:themeFillTint="32"/>
            <w:vAlign w:val="center"/>
          </w:tcPr>
          <w:p w14:paraId="6E496CE1">
            <w:pPr>
              <w:snapToGrid w:val="0"/>
              <w:spacing w:after="60" w:afterLines="0" w:line="240" w:lineRule="auto"/>
              <w:ind w:left="0" w:leftChars="0" w:right="0" w:rightChars="0" w:firstLine="0" w:firstLineChars="0"/>
              <w:jc w:val="center"/>
              <w:rPr>
                <w:rFonts w:ascii="Times New Roman" w:hAnsi="Times New Roman"/>
                <w:b/>
                <w:szCs w:val="21"/>
              </w:rPr>
            </w:pPr>
            <w:r>
              <w:rPr>
                <w:rFonts w:ascii="Times New Roman" w:hAnsi="Times New Roman"/>
                <w:b/>
                <w:szCs w:val="21"/>
              </w:rPr>
              <w:t>预算金额（万元）</w:t>
            </w:r>
          </w:p>
        </w:tc>
      </w:tr>
      <w:tr w14:paraId="26D99E4E">
        <w:tblPrEx>
          <w:tblCellMar>
            <w:top w:w="15" w:type="dxa"/>
            <w:left w:w="15" w:type="dxa"/>
            <w:bottom w:w="15" w:type="dxa"/>
            <w:right w:w="15" w:type="dxa"/>
          </w:tblCellMar>
        </w:tblPrEx>
        <w:trPr>
          <w:trHeight w:val="0" w:hRule="atLeast"/>
          <w:jc w:val="center"/>
        </w:trPr>
        <w:tc>
          <w:tcPr>
            <w:tcW w:w="828" w:type="dxa"/>
            <w:tcBorders>
              <w:top w:val="single" w:color="000000" w:sz="4" w:space="0"/>
              <w:left w:val="single" w:color="000000" w:sz="4" w:space="0"/>
              <w:bottom w:val="single" w:color="000000" w:sz="4" w:space="0"/>
              <w:right w:val="single" w:color="auto" w:sz="4" w:space="0"/>
            </w:tcBorders>
            <w:vAlign w:val="center"/>
          </w:tcPr>
          <w:p w14:paraId="7166CB81">
            <w:pPr>
              <w:snapToGrid w:val="0"/>
              <w:spacing w:after="60" w:afterLines="0" w:line="240" w:lineRule="auto"/>
              <w:ind w:left="0" w:leftChars="0" w:right="0" w:rightChars="0" w:firstLine="0" w:firstLineChars="0"/>
              <w:jc w:val="center"/>
              <w:rPr>
                <w:rFonts w:hint="eastAsia" w:ascii="Times New Roman" w:hAnsi="宋体" w:eastAsia="宋体"/>
                <w:sz w:val="21"/>
                <w:szCs w:val="21"/>
              </w:rPr>
            </w:pPr>
            <w:r>
              <w:rPr>
                <w:rFonts w:ascii="Times New Roman" w:hAnsi="宋体" w:eastAsia="宋体"/>
                <w:sz w:val="21"/>
                <w:szCs w:val="21"/>
              </w:rPr>
              <w:t>1</w:t>
            </w:r>
          </w:p>
        </w:tc>
        <w:tc>
          <w:tcPr>
            <w:tcW w:w="4303" w:type="dxa"/>
            <w:tcBorders>
              <w:top w:val="single" w:color="000000" w:sz="4" w:space="0"/>
              <w:left w:val="single" w:color="auto" w:sz="4" w:space="0"/>
              <w:bottom w:val="single" w:color="000000" w:sz="4" w:space="0"/>
              <w:right w:val="single" w:color="000000" w:sz="4" w:space="0"/>
            </w:tcBorders>
            <w:vAlign w:val="center"/>
          </w:tcPr>
          <w:p w14:paraId="09261DA9">
            <w:pPr>
              <w:snapToGrid w:val="0"/>
              <w:spacing w:after="60" w:afterLines="0" w:line="240" w:lineRule="auto"/>
              <w:ind w:left="0" w:leftChars="0" w:right="0" w:rightChars="0" w:firstLine="0" w:firstLineChars="0"/>
              <w:jc w:val="center"/>
              <w:rPr>
                <w:rFonts w:hint="eastAsia" w:ascii="Times New Roman" w:hAnsi="Times New Roman" w:eastAsia="宋体"/>
                <w:sz w:val="21"/>
                <w:szCs w:val="21"/>
                <w:lang w:eastAsia="zh-CN"/>
              </w:rPr>
            </w:pPr>
            <w:bookmarkStart w:id="2" w:name="_GoBack"/>
            <w:r>
              <w:rPr>
                <w:rFonts w:hint="eastAsia" w:ascii="Times New Roman" w:hAnsi="Times New Roman" w:eastAsia="宋体"/>
                <w:sz w:val="21"/>
                <w:szCs w:val="21"/>
                <w:lang w:eastAsia="zh-CN"/>
              </w:rPr>
              <w:t>电子十二指肠内窥镜采购</w:t>
            </w:r>
            <w:bookmarkEnd w:id="2"/>
          </w:p>
        </w:tc>
        <w:tc>
          <w:tcPr>
            <w:tcW w:w="3146" w:type="dxa"/>
            <w:tcBorders>
              <w:top w:val="single" w:color="000000" w:sz="4" w:space="0"/>
              <w:left w:val="single" w:color="000000" w:sz="4" w:space="0"/>
              <w:bottom w:val="single" w:color="000000" w:sz="4" w:space="0"/>
              <w:right w:val="single" w:color="000000" w:sz="4" w:space="0"/>
            </w:tcBorders>
            <w:vAlign w:val="center"/>
          </w:tcPr>
          <w:p w14:paraId="502DBD9D">
            <w:pPr>
              <w:snapToGrid w:val="0"/>
              <w:spacing w:after="60" w:afterLines="0" w:line="240" w:lineRule="auto"/>
              <w:ind w:left="0" w:leftChars="0" w:right="0" w:rightChars="0" w:firstLine="0" w:firstLineChars="0"/>
              <w:jc w:val="center"/>
              <w:rPr>
                <w:rFonts w:hint="default" w:ascii="Times New Roman" w:hAnsi="宋体" w:eastAsia="宋体"/>
                <w:sz w:val="21"/>
                <w:szCs w:val="21"/>
                <w:lang w:val="en-US" w:eastAsia="zh-CN"/>
              </w:rPr>
            </w:pPr>
            <w:r>
              <w:rPr>
                <w:rFonts w:hint="eastAsia" w:ascii="Times New Roman" w:hAnsi="宋体"/>
                <w:sz w:val="21"/>
                <w:szCs w:val="21"/>
                <w:lang w:val="en-US" w:eastAsia="zh-CN"/>
              </w:rPr>
              <w:t>94</w:t>
            </w:r>
          </w:p>
        </w:tc>
      </w:tr>
    </w:tbl>
    <w:p w14:paraId="5F9A8271">
      <w:pPr>
        <w:pStyle w:val="2"/>
        <w:jc w:val="center"/>
        <w:rPr>
          <w:rFonts w:hint="eastAsia" w:ascii="宋体" w:hAnsi="宋体" w:cs="Times New Roman"/>
          <w:b/>
          <w:bCs w:val="0"/>
          <w:szCs w:val="21"/>
        </w:rPr>
      </w:pPr>
      <w:bookmarkStart w:id="1" w:name="_Hlk72073432"/>
    </w:p>
    <w:p w14:paraId="59CCB64C">
      <w:pPr>
        <w:pStyle w:val="2"/>
        <w:jc w:val="center"/>
        <w:rPr>
          <w:rFonts w:hint="eastAsia" w:ascii="宋体" w:hAnsi="宋体" w:cs="Times New Roman"/>
          <w:b/>
          <w:bCs w:val="0"/>
          <w:szCs w:val="21"/>
        </w:rPr>
      </w:pPr>
      <w:r>
        <w:rPr>
          <w:rFonts w:hint="eastAsia" w:ascii="宋体" w:hAnsi="宋体" w:cs="Times New Roman"/>
          <w:b/>
          <w:bCs w:val="0"/>
          <w:szCs w:val="21"/>
        </w:rPr>
        <w:t>货物需求明细</w:t>
      </w:r>
      <w:bookmarkEnd w:id="1"/>
    </w:p>
    <w:tbl>
      <w:tblPr>
        <w:tblStyle w:val="4"/>
        <w:tblW w:w="48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295"/>
        <w:gridCol w:w="708"/>
        <w:gridCol w:w="732"/>
        <w:gridCol w:w="911"/>
        <w:gridCol w:w="708"/>
        <w:gridCol w:w="732"/>
        <w:gridCol w:w="923"/>
        <w:gridCol w:w="711"/>
        <w:gridCol w:w="850"/>
      </w:tblGrid>
      <w:tr w14:paraId="646D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1" w:type="pct"/>
            <w:shd w:val="clear" w:color="auto" w:fill="DBE3F4" w:themeFill="accent1" w:themeFillTint="32"/>
            <w:vAlign w:val="center"/>
          </w:tcPr>
          <w:p w14:paraId="3434274A">
            <w:pPr>
              <w:jc w:val="center"/>
              <w:rPr>
                <w:b/>
                <w:bCs w:val="0"/>
                <w:color w:val="auto"/>
                <w:szCs w:val="21"/>
              </w:rPr>
            </w:pPr>
            <w:r>
              <w:rPr>
                <w:rFonts w:hint="eastAsia"/>
                <w:b/>
                <w:bCs w:val="0"/>
                <w:color w:val="auto"/>
                <w:szCs w:val="21"/>
              </w:rPr>
              <w:t>序号</w:t>
            </w:r>
          </w:p>
        </w:tc>
        <w:tc>
          <w:tcPr>
            <w:tcW w:w="783" w:type="pct"/>
            <w:shd w:val="clear" w:color="auto" w:fill="DBE3F4" w:themeFill="accent1" w:themeFillTint="32"/>
            <w:vAlign w:val="center"/>
          </w:tcPr>
          <w:p w14:paraId="5068144B">
            <w:pPr>
              <w:jc w:val="center"/>
              <w:rPr>
                <w:b/>
                <w:bCs w:val="0"/>
                <w:color w:val="auto"/>
                <w:szCs w:val="21"/>
              </w:rPr>
            </w:pPr>
            <w:r>
              <w:rPr>
                <w:rFonts w:hint="eastAsia"/>
                <w:b/>
                <w:bCs w:val="0"/>
                <w:color w:val="auto"/>
                <w:szCs w:val="21"/>
              </w:rPr>
              <w:t>货物名称（标的名称）</w:t>
            </w:r>
          </w:p>
        </w:tc>
        <w:tc>
          <w:tcPr>
            <w:tcW w:w="428" w:type="pct"/>
            <w:shd w:val="clear" w:color="auto" w:fill="DBE3F4" w:themeFill="accent1" w:themeFillTint="32"/>
            <w:vAlign w:val="center"/>
          </w:tcPr>
          <w:p w14:paraId="459C4039">
            <w:pPr>
              <w:jc w:val="center"/>
              <w:rPr>
                <w:b/>
                <w:bCs w:val="0"/>
                <w:color w:val="auto"/>
                <w:szCs w:val="21"/>
              </w:rPr>
            </w:pPr>
            <w:r>
              <w:rPr>
                <w:rFonts w:hint="eastAsia"/>
                <w:b/>
                <w:bCs w:val="0"/>
                <w:color w:val="auto"/>
                <w:szCs w:val="21"/>
              </w:rPr>
              <w:t>数量</w:t>
            </w:r>
          </w:p>
        </w:tc>
        <w:tc>
          <w:tcPr>
            <w:tcW w:w="442" w:type="pct"/>
            <w:shd w:val="clear" w:color="auto" w:fill="DBE3F4" w:themeFill="accent1" w:themeFillTint="32"/>
            <w:vAlign w:val="center"/>
          </w:tcPr>
          <w:p w14:paraId="615F70D5">
            <w:pPr>
              <w:jc w:val="center"/>
              <w:rPr>
                <w:b/>
                <w:bCs w:val="0"/>
                <w:color w:val="auto"/>
                <w:szCs w:val="21"/>
              </w:rPr>
            </w:pPr>
            <w:r>
              <w:rPr>
                <w:rFonts w:hint="eastAsia"/>
                <w:b/>
                <w:bCs w:val="0"/>
                <w:color w:val="auto"/>
                <w:szCs w:val="21"/>
              </w:rPr>
              <w:t>单位</w:t>
            </w:r>
          </w:p>
        </w:tc>
        <w:tc>
          <w:tcPr>
            <w:tcW w:w="551" w:type="pct"/>
            <w:shd w:val="clear" w:color="auto" w:fill="DBE3F4" w:themeFill="accent1" w:themeFillTint="32"/>
            <w:vAlign w:val="center"/>
          </w:tcPr>
          <w:p w14:paraId="700F1FBF">
            <w:pPr>
              <w:jc w:val="center"/>
              <w:rPr>
                <w:rFonts w:hint="eastAsia"/>
                <w:b/>
                <w:bCs w:val="0"/>
                <w:color w:val="auto"/>
                <w:szCs w:val="21"/>
              </w:rPr>
            </w:pPr>
            <w:r>
              <w:rPr>
                <w:rFonts w:hint="eastAsia"/>
                <w:b/>
                <w:bCs w:val="0"/>
                <w:color w:val="auto"/>
                <w:szCs w:val="21"/>
                <w:lang w:val="en-US" w:eastAsia="zh-CN"/>
              </w:rPr>
              <w:t>单套限价</w:t>
            </w:r>
            <w:r>
              <w:rPr>
                <w:rFonts w:ascii="Times New Roman" w:hAnsi="Times New Roman"/>
                <w:b/>
                <w:szCs w:val="21"/>
              </w:rPr>
              <w:t>（万元）</w:t>
            </w:r>
          </w:p>
        </w:tc>
        <w:tc>
          <w:tcPr>
            <w:tcW w:w="428" w:type="pct"/>
            <w:shd w:val="clear" w:color="auto" w:fill="DBE3F4" w:themeFill="accent1" w:themeFillTint="32"/>
            <w:vAlign w:val="center"/>
          </w:tcPr>
          <w:p w14:paraId="38171CF9">
            <w:pPr>
              <w:jc w:val="center"/>
              <w:rPr>
                <w:rFonts w:hint="default" w:eastAsia="宋体"/>
                <w:b/>
                <w:bCs w:val="0"/>
                <w:color w:val="auto"/>
                <w:szCs w:val="21"/>
                <w:lang w:val="en-US" w:eastAsia="zh-CN"/>
              </w:rPr>
            </w:pPr>
            <w:r>
              <w:rPr>
                <w:rFonts w:hint="eastAsia"/>
                <w:b/>
                <w:bCs w:val="0"/>
                <w:color w:val="auto"/>
                <w:szCs w:val="21"/>
                <w:lang w:val="en-US" w:eastAsia="zh-CN"/>
              </w:rPr>
              <w:t>是否接受进口</w:t>
            </w:r>
          </w:p>
        </w:tc>
        <w:tc>
          <w:tcPr>
            <w:tcW w:w="442" w:type="pct"/>
            <w:shd w:val="clear" w:color="auto" w:fill="DBE3F4" w:themeFill="accent1" w:themeFillTint="32"/>
            <w:vAlign w:val="center"/>
          </w:tcPr>
          <w:p w14:paraId="66356182">
            <w:pPr>
              <w:jc w:val="center"/>
              <w:rPr>
                <w:rFonts w:hint="default"/>
                <w:b/>
                <w:bCs w:val="0"/>
                <w:color w:val="auto"/>
                <w:szCs w:val="21"/>
                <w:lang w:val="en-US" w:eastAsia="zh-CN"/>
              </w:rPr>
            </w:pPr>
            <w:r>
              <w:rPr>
                <w:rFonts w:hint="eastAsia"/>
                <w:b/>
                <w:bCs w:val="0"/>
                <w:color w:val="auto"/>
                <w:szCs w:val="21"/>
                <w:lang w:val="en-US" w:eastAsia="zh-CN"/>
              </w:rPr>
              <w:t>是否为节能产品</w:t>
            </w:r>
          </w:p>
        </w:tc>
        <w:tc>
          <w:tcPr>
            <w:tcW w:w="558" w:type="pct"/>
            <w:shd w:val="clear" w:color="auto" w:fill="DBE3F4" w:themeFill="accent1" w:themeFillTint="32"/>
            <w:vAlign w:val="center"/>
          </w:tcPr>
          <w:p w14:paraId="4716B3F4">
            <w:pPr>
              <w:jc w:val="center"/>
              <w:rPr>
                <w:rFonts w:hint="default"/>
                <w:b/>
                <w:bCs w:val="0"/>
                <w:color w:val="auto"/>
                <w:szCs w:val="21"/>
                <w:lang w:val="en-US" w:eastAsia="zh-CN"/>
              </w:rPr>
            </w:pPr>
            <w:r>
              <w:rPr>
                <w:rFonts w:hint="eastAsia"/>
                <w:b/>
                <w:bCs w:val="0"/>
                <w:color w:val="auto"/>
                <w:szCs w:val="21"/>
                <w:lang w:val="en-US" w:eastAsia="zh-CN"/>
              </w:rPr>
              <w:t>是否为环境标志产品</w:t>
            </w:r>
          </w:p>
        </w:tc>
        <w:tc>
          <w:tcPr>
            <w:tcW w:w="429" w:type="pct"/>
            <w:shd w:val="clear" w:color="auto" w:fill="DBE3F4" w:themeFill="accent1" w:themeFillTint="32"/>
            <w:vAlign w:val="center"/>
          </w:tcPr>
          <w:p w14:paraId="264FD853">
            <w:pPr>
              <w:jc w:val="center"/>
              <w:rPr>
                <w:rFonts w:hint="default"/>
                <w:b/>
                <w:bCs w:val="0"/>
                <w:color w:val="auto"/>
                <w:szCs w:val="21"/>
                <w:lang w:val="en-US" w:eastAsia="zh-CN"/>
              </w:rPr>
            </w:pPr>
            <w:r>
              <w:rPr>
                <w:rFonts w:hint="eastAsia"/>
                <w:b/>
                <w:bCs w:val="0"/>
                <w:color w:val="auto"/>
                <w:szCs w:val="21"/>
                <w:lang w:val="en-US" w:eastAsia="zh-CN"/>
              </w:rPr>
              <w:t>是否专门面向中小企业</w:t>
            </w:r>
          </w:p>
        </w:tc>
        <w:tc>
          <w:tcPr>
            <w:tcW w:w="514" w:type="pct"/>
            <w:shd w:val="clear" w:color="auto" w:fill="DBE3F4" w:themeFill="accent1" w:themeFillTint="32"/>
            <w:vAlign w:val="center"/>
          </w:tcPr>
          <w:p w14:paraId="2502D7DE">
            <w:pPr>
              <w:jc w:val="center"/>
              <w:rPr>
                <w:rFonts w:hint="default"/>
                <w:b/>
                <w:bCs w:val="0"/>
                <w:color w:val="auto"/>
                <w:szCs w:val="21"/>
                <w:lang w:val="en-US" w:eastAsia="zh-CN"/>
              </w:rPr>
            </w:pPr>
            <w:r>
              <w:rPr>
                <w:rFonts w:hint="eastAsia"/>
                <w:b/>
                <w:bCs w:val="0"/>
                <w:color w:val="auto"/>
                <w:szCs w:val="21"/>
                <w:lang w:val="en-US" w:eastAsia="zh-CN"/>
              </w:rPr>
              <w:t>标的所属行业</w:t>
            </w:r>
          </w:p>
        </w:tc>
      </w:tr>
      <w:tr w14:paraId="5E98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1" w:type="pct"/>
            <w:vAlign w:val="center"/>
          </w:tcPr>
          <w:p w14:paraId="759CCDF7">
            <w:pPr>
              <w:jc w:val="center"/>
              <w:rPr>
                <w:bCs/>
                <w:szCs w:val="21"/>
              </w:rPr>
            </w:pPr>
            <w:r>
              <w:rPr>
                <w:rFonts w:hint="eastAsia"/>
                <w:bCs/>
                <w:szCs w:val="21"/>
              </w:rPr>
              <w:t>1</w:t>
            </w:r>
          </w:p>
        </w:tc>
        <w:tc>
          <w:tcPr>
            <w:tcW w:w="783" w:type="pct"/>
            <w:vAlign w:val="center"/>
          </w:tcPr>
          <w:p w14:paraId="500A7A56">
            <w:pPr>
              <w:snapToGrid w:val="0"/>
              <w:spacing w:line="240" w:lineRule="auto"/>
              <w:ind w:left="0" w:leftChars="0" w:right="0" w:rightChars="0" w:firstLine="0" w:firstLineChars="0"/>
              <w:jc w:val="center"/>
              <w:rPr>
                <w:bCs/>
                <w:szCs w:val="21"/>
              </w:rPr>
            </w:pPr>
            <w:r>
              <w:rPr>
                <w:rFonts w:hint="eastAsia" w:ascii="宋体" w:hAnsi="宋体"/>
                <w:kern w:val="0"/>
                <w:szCs w:val="21"/>
              </w:rPr>
              <w:t>电子十二指肠内窥镜</w:t>
            </w:r>
          </w:p>
        </w:tc>
        <w:tc>
          <w:tcPr>
            <w:tcW w:w="428" w:type="pct"/>
            <w:vAlign w:val="center"/>
          </w:tcPr>
          <w:p w14:paraId="4046C394">
            <w:pPr>
              <w:jc w:val="center"/>
              <w:rPr>
                <w:rFonts w:hint="eastAsia" w:eastAsia="宋体"/>
                <w:bCs/>
                <w:szCs w:val="21"/>
                <w:lang w:eastAsia="zh-CN"/>
              </w:rPr>
            </w:pPr>
            <w:r>
              <w:rPr>
                <w:rFonts w:hint="eastAsia" w:ascii="宋体" w:hAnsi="宋体" w:cs="宋体"/>
                <w:lang w:val="en-US" w:eastAsia="zh-CN"/>
              </w:rPr>
              <w:t>2</w:t>
            </w:r>
          </w:p>
        </w:tc>
        <w:tc>
          <w:tcPr>
            <w:tcW w:w="442" w:type="pct"/>
            <w:vAlign w:val="center"/>
          </w:tcPr>
          <w:p w14:paraId="17FF2099">
            <w:pPr>
              <w:jc w:val="center"/>
              <w:rPr>
                <w:bCs/>
                <w:color w:val="auto"/>
                <w:szCs w:val="21"/>
              </w:rPr>
            </w:pPr>
            <w:r>
              <w:rPr>
                <w:rFonts w:hint="eastAsia" w:ascii="宋体" w:hAnsi="宋体" w:cs="宋体"/>
                <w:color w:val="auto"/>
                <w:lang w:val="en-US" w:eastAsia="zh-CN"/>
              </w:rPr>
              <w:t>条</w:t>
            </w:r>
          </w:p>
        </w:tc>
        <w:tc>
          <w:tcPr>
            <w:tcW w:w="551" w:type="pct"/>
            <w:vAlign w:val="center"/>
          </w:tcPr>
          <w:p w14:paraId="54E5473E">
            <w:pPr>
              <w:jc w:val="center"/>
              <w:rPr>
                <w:rFonts w:hint="default" w:ascii="宋体" w:hAnsi="宋体" w:cs="宋体"/>
                <w:color w:val="auto"/>
                <w:lang w:val="en-US" w:eastAsia="zh-CN"/>
              </w:rPr>
            </w:pPr>
            <w:r>
              <w:rPr>
                <w:rFonts w:hint="eastAsia"/>
                <w:bCs/>
                <w:color w:val="auto"/>
                <w:szCs w:val="21"/>
                <w:lang w:val="en-US" w:eastAsia="zh-CN"/>
              </w:rPr>
              <w:t>47</w:t>
            </w:r>
          </w:p>
        </w:tc>
        <w:tc>
          <w:tcPr>
            <w:tcW w:w="428" w:type="pct"/>
            <w:vAlign w:val="center"/>
          </w:tcPr>
          <w:p w14:paraId="393D02F6">
            <w:pPr>
              <w:spacing w:afterLines="0" w:line="240" w:lineRule="auto"/>
              <w:jc w:val="center"/>
              <w:rPr>
                <w:rFonts w:hint="default" w:eastAsia="宋体"/>
                <w:b/>
                <w:bCs/>
                <w:color w:val="auto"/>
                <w:szCs w:val="21"/>
                <w:lang w:val="en-US" w:eastAsia="zh-CN"/>
              </w:rPr>
            </w:pPr>
            <w:r>
              <w:rPr>
                <w:rFonts w:ascii="宋体" w:hAnsi="宋体"/>
                <w:bCs/>
                <w:color w:val="auto"/>
                <w:szCs w:val="21"/>
              </w:rPr>
              <w:t>拒绝进口</w:t>
            </w:r>
          </w:p>
        </w:tc>
        <w:tc>
          <w:tcPr>
            <w:tcW w:w="442" w:type="pct"/>
            <w:vAlign w:val="center"/>
          </w:tcPr>
          <w:p w14:paraId="16493D7E">
            <w:pPr>
              <w:jc w:val="center"/>
              <w:rPr>
                <w:b/>
                <w:bCs/>
                <w:color w:val="auto"/>
                <w:szCs w:val="21"/>
              </w:rPr>
            </w:pPr>
            <w:r>
              <w:rPr>
                <w:rFonts w:hint="eastAsia"/>
                <w:color w:val="auto"/>
                <w:lang w:val="en-US" w:eastAsia="zh-CN"/>
              </w:rPr>
              <w:t>否</w:t>
            </w:r>
          </w:p>
        </w:tc>
        <w:tc>
          <w:tcPr>
            <w:tcW w:w="558" w:type="pct"/>
            <w:vAlign w:val="center"/>
          </w:tcPr>
          <w:p w14:paraId="0D43DEE0">
            <w:pPr>
              <w:jc w:val="center"/>
              <w:rPr>
                <w:b/>
                <w:bCs/>
                <w:color w:val="auto"/>
                <w:szCs w:val="21"/>
              </w:rPr>
            </w:pPr>
            <w:r>
              <w:rPr>
                <w:rFonts w:hint="eastAsia"/>
                <w:color w:val="auto"/>
                <w:lang w:val="en-US" w:eastAsia="zh-CN"/>
              </w:rPr>
              <w:t>否</w:t>
            </w:r>
          </w:p>
        </w:tc>
        <w:tc>
          <w:tcPr>
            <w:tcW w:w="429" w:type="pct"/>
            <w:vAlign w:val="center"/>
          </w:tcPr>
          <w:p w14:paraId="60C02149">
            <w:pPr>
              <w:jc w:val="center"/>
              <w:rPr>
                <w:rFonts w:hint="eastAsia" w:eastAsia="宋体"/>
                <w:b/>
                <w:bCs/>
                <w:color w:val="auto"/>
                <w:szCs w:val="21"/>
                <w:lang w:val="en-US" w:eastAsia="zh-CN"/>
              </w:rPr>
            </w:pPr>
            <w:r>
              <w:rPr>
                <w:rFonts w:hint="eastAsia"/>
                <w:b/>
                <w:bCs/>
                <w:color w:val="auto"/>
                <w:szCs w:val="21"/>
                <w:lang w:val="en-US" w:eastAsia="zh-CN"/>
              </w:rPr>
              <w:t>否</w:t>
            </w:r>
          </w:p>
        </w:tc>
        <w:tc>
          <w:tcPr>
            <w:tcW w:w="514" w:type="pct"/>
            <w:vAlign w:val="center"/>
          </w:tcPr>
          <w:p w14:paraId="348A0737">
            <w:pPr>
              <w:jc w:val="center"/>
              <w:rPr>
                <w:rFonts w:hint="eastAsia" w:eastAsia="宋体"/>
                <w:b/>
                <w:bCs/>
                <w:color w:val="auto"/>
                <w:szCs w:val="21"/>
                <w:lang w:val="en-US" w:eastAsia="zh-CN"/>
              </w:rPr>
            </w:pPr>
            <w:r>
              <w:rPr>
                <w:rFonts w:hint="eastAsia"/>
                <w:b/>
                <w:bCs/>
                <w:color w:val="auto"/>
                <w:szCs w:val="21"/>
                <w:lang w:val="en-US" w:eastAsia="zh-CN"/>
              </w:rPr>
              <w:t>工业</w:t>
            </w:r>
          </w:p>
        </w:tc>
      </w:tr>
    </w:tbl>
    <w:p w14:paraId="4009A9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b w:val="0"/>
          <w:bCs/>
          <w:color w:val="auto"/>
          <w:szCs w:val="21"/>
        </w:rPr>
      </w:pPr>
      <w:r>
        <w:rPr>
          <w:rFonts w:hint="eastAsia" w:ascii="宋体" w:hAnsi="宋体"/>
          <w:b w:val="0"/>
          <w:bCs/>
          <w:color w:val="auto"/>
          <w:szCs w:val="21"/>
        </w:rPr>
        <w:t>备注：</w:t>
      </w:r>
    </w:p>
    <w:p w14:paraId="083A80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b w:val="0"/>
          <w:bCs/>
          <w:color w:val="auto"/>
          <w:szCs w:val="21"/>
        </w:rPr>
      </w:pPr>
      <w:r>
        <w:rPr>
          <w:rFonts w:hint="eastAsia" w:ascii="宋体" w:hAnsi="宋体"/>
          <w:b w:val="0"/>
          <w:bCs/>
          <w:color w:val="auto"/>
          <w:szCs w:val="21"/>
        </w:rPr>
        <w:t>1</w:t>
      </w:r>
      <w:r>
        <w:rPr>
          <w:rFonts w:hint="eastAsia" w:ascii="宋体" w:hAnsi="宋体"/>
          <w:b w:val="0"/>
          <w:bCs/>
          <w:color w:val="auto"/>
          <w:szCs w:val="21"/>
          <w:lang w:eastAsia="zh-CN"/>
        </w:rPr>
        <w:t>、</w:t>
      </w:r>
      <w:r>
        <w:rPr>
          <w:rFonts w:hint="eastAsia" w:ascii="宋体" w:hAnsi="宋体"/>
          <w:b w:val="0"/>
          <w:bCs/>
          <w:color w:val="auto"/>
          <w:szCs w:val="21"/>
        </w:rPr>
        <w:t xml:space="preserve">备注栏注明“拒绝进口”的产品不接受投标人选用进口产品参与投标；注明“接受进口”的产品允许投标人选用进口产品参与投标，但不排斥国内产品。 </w:t>
      </w:r>
    </w:p>
    <w:p w14:paraId="6DB8B2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val="0"/>
          <w:bCs/>
          <w:color w:val="auto"/>
          <w:szCs w:val="21"/>
        </w:rPr>
      </w:pPr>
      <w:r>
        <w:rPr>
          <w:rFonts w:hint="eastAsia" w:ascii="宋体" w:hAnsi="宋体" w:eastAsia="宋体" w:cs="Times New Roman"/>
          <w:b w:val="0"/>
          <w:bCs/>
          <w:color w:val="auto"/>
          <w:kern w:val="2"/>
          <w:sz w:val="21"/>
          <w:szCs w:val="21"/>
          <w:lang w:val="en-US" w:eastAsia="zh-CN" w:bidi="ar-SA"/>
        </w:rPr>
        <w:t>2、</w:t>
      </w:r>
      <w:r>
        <w:rPr>
          <w:rFonts w:hint="eastAsia" w:ascii="宋体" w:hAnsi="宋体"/>
          <w:b w:val="0"/>
          <w:bCs/>
          <w:color w:val="auto"/>
          <w:szCs w:val="21"/>
        </w:rPr>
        <w:t>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w:t>
      </w:r>
      <w:r>
        <w:rPr>
          <w:rFonts w:hint="eastAsia" w:ascii="宋体" w:hAnsi="宋体" w:eastAsia="宋体" w:cs="Times New Roman"/>
          <w:b w:val="0"/>
          <w:bCs/>
          <w:color w:val="auto"/>
          <w:szCs w:val="21"/>
        </w:rPr>
        <w:t>企业签订消化吸收再创新方案的供应商的进口产品，相关内容以财库〔2007〕119 号文和财办库〔2008〕248 号文的相关规定为准。</w:t>
      </w:r>
    </w:p>
    <w:p w14:paraId="03FC32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val="0"/>
          <w:bCs/>
          <w:color w:val="auto"/>
          <w:szCs w:val="21"/>
        </w:rPr>
      </w:pPr>
      <w:r>
        <w:rPr>
          <w:rFonts w:hint="eastAsia" w:ascii="宋体" w:hAnsi="宋体" w:eastAsia="宋体" w:cs="Times New Roman"/>
          <w:b w:val="0"/>
          <w:bCs/>
          <w:color w:val="auto"/>
          <w:szCs w:val="21"/>
          <w:lang w:val="en-US" w:eastAsia="zh-CN"/>
        </w:rPr>
        <w:t>3、★</w:t>
      </w:r>
      <w:r>
        <w:rPr>
          <w:rFonts w:hint="eastAsia" w:ascii="宋体" w:hAnsi="宋体" w:eastAsia="宋体" w:cs="Times New Roman"/>
          <w:b w:val="0"/>
          <w:bCs/>
          <w:color w:val="auto"/>
          <w:szCs w:val="21"/>
        </w:rPr>
        <w:t>如注明有</w:t>
      </w:r>
      <w:r>
        <w:rPr>
          <w:rFonts w:hint="eastAsia" w:ascii="宋体" w:hAnsi="宋体" w:eastAsia="宋体" w:cs="Times New Roman"/>
          <w:b w:val="0"/>
          <w:bCs/>
          <w:color w:val="auto"/>
          <w:szCs w:val="21"/>
          <w:lang w:val="en-US" w:eastAsia="zh-CN"/>
        </w:rPr>
        <w:t>单套限价</w:t>
      </w:r>
      <w:r>
        <w:rPr>
          <w:rFonts w:hint="eastAsia" w:ascii="宋体" w:hAnsi="宋体" w:eastAsia="宋体" w:cs="Times New Roman"/>
          <w:b w:val="0"/>
          <w:bCs/>
          <w:color w:val="auto"/>
          <w:szCs w:val="21"/>
        </w:rPr>
        <w:t>金额的产品，投标人对该产品的</w:t>
      </w:r>
      <w:r>
        <w:rPr>
          <w:rFonts w:hint="eastAsia" w:ascii="宋体" w:hAnsi="宋体" w:eastAsia="宋体" w:cs="Times New Roman"/>
          <w:b w:val="0"/>
          <w:bCs/>
          <w:color w:val="auto"/>
          <w:szCs w:val="21"/>
          <w:lang w:val="en-US" w:eastAsia="zh-CN"/>
        </w:rPr>
        <w:t>单价</w:t>
      </w:r>
      <w:r>
        <w:rPr>
          <w:rFonts w:hint="eastAsia" w:ascii="宋体" w:hAnsi="宋体" w:eastAsia="宋体" w:cs="Times New Roman"/>
          <w:b w:val="0"/>
          <w:bCs/>
          <w:color w:val="auto"/>
          <w:szCs w:val="21"/>
        </w:rPr>
        <w:t>报价不得超过单价</w:t>
      </w:r>
      <w:r>
        <w:rPr>
          <w:rFonts w:hint="eastAsia" w:ascii="宋体" w:hAnsi="宋体" w:eastAsia="宋体" w:cs="Times New Roman"/>
          <w:b w:val="0"/>
          <w:bCs/>
          <w:color w:val="auto"/>
          <w:szCs w:val="21"/>
          <w:lang w:val="en-US" w:eastAsia="zh-CN"/>
        </w:rPr>
        <w:t>限价</w:t>
      </w:r>
      <w:r>
        <w:rPr>
          <w:rFonts w:hint="eastAsia" w:ascii="宋体" w:hAnsi="宋体" w:eastAsia="宋体" w:cs="Times New Roman"/>
          <w:b w:val="0"/>
          <w:bCs/>
          <w:color w:val="auto"/>
          <w:szCs w:val="21"/>
        </w:rPr>
        <w:t>金额，否则将作投标无效处理。</w:t>
      </w:r>
    </w:p>
    <w:p w14:paraId="22E51A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b w:val="0"/>
          <w:bCs/>
          <w:color w:val="auto"/>
          <w:szCs w:val="21"/>
          <w:lang w:val="en-US" w:eastAsia="zh-CN"/>
        </w:rPr>
      </w:pPr>
      <w:r>
        <w:rPr>
          <w:rFonts w:hint="eastAsia" w:ascii="宋体" w:hAnsi="宋体"/>
          <w:b w:val="0"/>
          <w:bCs/>
          <w:color w:val="auto"/>
          <w:szCs w:val="21"/>
          <w:lang w:val="en-US" w:eastAsia="zh-CN"/>
        </w:rPr>
        <w:t>4、“是否为节能产品”一栏，由采购人根据《关于印发节能产品政府采购品目清单的通知》（财库〔2019〕19号）的品目清单填写，填写为“优先采购”则给与相应评审加分，填写为“★强制采购”则要求供应商必须提供符合规定的节能产品，否则投标无效。</w:t>
      </w:r>
    </w:p>
    <w:p w14:paraId="1FB7EA90">
      <w:pPr>
        <w:pStyle w:val="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b w:val="0"/>
          <w:bCs/>
          <w:color w:val="auto"/>
          <w:szCs w:val="21"/>
          <w:lang w:val="en-US" w:eastAsia="zh-CN"/>
        </w:rPr>
      </w:pPr>
      <w:r>
        <w:rPr>
          <w:rFonts w:hint="eastAsia" w:ascii="宋体" w:hAnsi="宋体"/>
          <w:b w:val="0"/>
          <w:bCs/>
          <w:color w:val="auto"/>
          <w:szCs w:val="21"/>
          <w:lang w:val="en-US" w:eastAsia="zh-CN"/>
        </w:rPr>
        <w:t>5、“是否为环境标志产品”一栏，由采购人根据《关于印发环境标志产品政府采购品目清单的通知》（财库〔2019〕18号）的品目清单填写，填写为“优先采购”则给与相应评审加分。</w:t>
      </w:r>
    </w:p>
    <w:p w14:paraId="7E15672D">
      <w:pPr>
        <w:spacing w:afterLines="0" w:line="360" w:lineRule="auto"/>
        <w:rPr>
          <w:rFonts w:hint="eastAsia" w:ascii="宋体" w:hAnsi="宋体"/>
          <w:b/>
          <w:szCs w:val="21"/>
        </w:rPr>
      </w:pPr>
      <w:r>
        <w:rPr>
          <w:rFonts w:hint="eastAsia" w:ascii="宋体" w:hAnsi="宋体" w:eastAsia="宋体" w:cs="Times New Roman"/>
          <w:b/>
          <w:bCs/>
          <w:color w:val="FF0000"/>
          <w:szCs w:val="21"/>
        </w:rPr>
        <w:t>★</w:t>
      </w:r>
      <w:r>
        <w:rPr>
          <w:rFonts w:hint="eastAsia"/>
          <w:b/>
        </w:rPr>
        <w:t>二、</w:t>
      </w:r>
      <w:r>
        <w:rPr>
          <w:rFonts w:hint="eastAsia" w:ascii="宋体" w:hAnsi="宋体"/>
          <w:b/>
          <w:szCs w:val="21"/>
        </w:rPr>
        <w:t>商务和服务条款部分</w:t>
      </w:r>
    </w:p>
    <w:p w14:paraId="2A3DC3D2">
      <w:pPr>
        <w:spacing w:afterLines="0" w:line="360" w:lineRule="auto"/>
        <w:ind w:firstLine="424" w:firstLineChars="201"/>
        <w:rPr>
          <w:rFonts w:hint="eastAsia" w:ascii="宋体" w:hAnsi="宋体"/>
          <w:b/>
          <w:szCs w:val="21"/>
        </w:rPr>
      </w:pPr>
      <w:r>
        <w:rPr>
          <w:rFonts w:hint="eastAsia"/>
          <w:b/>
          <w:color w:val="FF0000"/>
          <w:szCs w:val="21"/>
        </w:rPr>
        <w:t>本部分内容为项目正常开展的基本要求，均为★号条款要求</w:t>
      </w:r>
      <w:r>
        <w:rPr>
          <w:rFonts w:hint="eastAsia"/>
          <w:b/>
          <w:color w:val="FF0000"/>
          <w:szCs w:val="21"/>
          <w:lang w:eastAsia="zh-CN"/>
        </w:rPr>
        <w:t>，</w:t>
      </w:r>
      <w:r>
        <w:rPr>
          <w:rFonts w:hint="eastAsia"/>
          <w:b/>
          <w:color w:val="FF0000"/>
          <w:szCs w:val="21"/>
        </w:rPr>
        <w:t>不作为评分准则中的评分内容</w:t>
      </w:r>
      <w:r>
        <w:rPr>
          <w:rFonts w:hint="eastAsia"/>
          <w:b/>
          <w:color w:val="FF0000"/>
          <w:szCs w:val="21"/>
          <w:lang w:eastAsia="zh-CN"/>
        </w:rPr>
        <w:t>，</w:t>
      </w:r>
      <w:r>
        <w:rPr>
          <w:rFonts w:hint="eastAsia"/>
          <w:b/>
          <w:color w:val="FF0000"/>
          <w:szCs w:val="21"/>
        </w:rPr>
        <w:t>如未响应或出现负偏离的，将作投标无效处理</w:t>
      </w:r>
      <w:r>
        <w:rPr>
          <w:rFonts w:hint="eastAsia" w:ascii="宋体" w:hAnsi="宋体"/>
          <w:b/>
          <w:szCs w:val="21"/>
        </w:rPr>
        <w:t>。</w:t>
      </w:r>
    </w:p>
    <w:tbl>
      <w:tblPr>
        <w:tblStyle w:val="4"/>
        <w:tblW w:w="8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
        <w:gridCol w:w="1720"/>
        <w:gridCol w:w="5908"/>
      </w:tblGrid>
      <w:tr w14:paraId="1A62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8"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66EC48F0">
            <w:pPr>
              <w:keepNext/>
              <w:snapToGrid w:val="0"/>
              <w:spacing w:after="60" w:line="240" w:lineRule="auto"/>
              <w:ind w:left="0" w:leftChars="0" w:right="0" w:rightChars="0" w:firstLine="0" w:firstLineChars="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val="0"/>
                <w:color w:val="000000" w:themeColor="text1"/>
                <w:sz w:val="21"/>
                <w:szCs w:val="21"/>
                <w:lang w:val="en-US" w:eastAsia="zh-CN"/>
                <w14:textFill>
                  <w14:solidFill>
                    <w14:schemeClr w14:val="tx1"/>
                  </w14:solidFill>
                </w14:textFill>
              </w:rPr>
              <w:t>序号</w:t>
            </w:r>
          </w:p>
        </w:tc>
        <w:tc>
          <w:tcPr>
            <w:tcW w:w="0" w:type="auto"/>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305F2850">
            <w:pPr>
              <w:keepNext/>
              <w:snapToGrid w:val="0"/>
              <w:spacing w:after="60" w:line="240" w:lineRule="auto"/>
              <w:ind w:left="0" w:leftChars="0" w:right="0" w:rightChars="0" w:firstLine="0" w:firstLineChars="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val="0"/>
                <w:color w:val="000000" w:themeColor="text1"/>
                <w:sz w:val="21"/>
                <w:szCs w:val="21"/>
                <w:lang w:val="en-US" w:eastAsia="zh-CN"/>
                <w14:textFill>
                  <w14:solidFill>
                    <w14:schemeClr w14:val="tx1"/>
                  </w14:solidFill>
                </w14:textFill>
              </w:rPr>
              <w:t>商务要求项</w:t>
            </w:r>
          </w:p>
        </w:tc>
        <w:tc>
          <w:tcPr>
            <w:tcW w:w="5908" w:type="dxa"/>
            <w:tcBorders>
              <w:top w:val="single" w:color="auto" w:sz="4" w:space="0"/>
              <w:left w:val="nil"/>
              <w:bottom w:val="single" w:color="auto" w:sz="4" w:space="0"/>
              <w:right w:val="single" w:color="auto" w:sz="4" w:space="0"/>
            </w:tcBorders>
            <w:shd w:val="clear" w:color="auto" w:fill="DBE3F4" w:themeFill="accent1" w:themeFillTint="32"/>
            <w:noWrap w:val="0"/>
            <w:vAlign w:val="center"/>
          </w:tcPr>
          <w:p w14:paraId="2D709D8E">
            <w:pPr>
              <w:keepNext/>
              <w:snapToGrid w:val="0"/>
              <w:spacing w:after="60" w:line="240" w:lineRule="auto"/>
              <w:ind w:left="0" w:leftChars="0" w:right="0" w:rightChars="0" w:firstLine="0" w:firstLineChars="0"/>
              <w:jc w:val="center"/>
              <w:rPr>
                <w:rFonts w:hint="eastAsia" w:ascii="宋体" w:hAnsi="宋体" w:eastAsia="宋体" w:cs="宋体"/>
                <w:b/>
                <w:color w:val="000000" w:themeColor="text1"/>
                <w:kern w:val="0"/>
                <w:sz w:val="21"/>
                <w:szCs w:val="21"/>
                <w14:textFill>
                  <w14:solidFill>
                    <w14:schemeClr w14:val="tx1"/>
                  </w14:solidFill>
                </w14:textFill>
              </w:rPr>
            </w:pPr>
            <w:r>
              <w:rPr>
                <w:rFonts w:hint="eastAsia" w:ascii="宋体" w:hAnsi="宋体" w:eastAsia="宋体" w:cs="宋体"/>
                <w:b/>
                <w:bCs w:val="0"/>
                <w:color w:val="000000" w:themeColor="text1"/>
                <w:sz w:val="21"/>
                <w:szCs w:val="21"/>
                <w:lang w:val="en-US" w:eastAsia="zh-CN"/>
                <w14:textFill>
                  <w14:solidFill>
                    <w14:schemeClr w14:val="tx1"/>
                  </w14:solidFill>
                </w14:textFill>
              </w:rPr>
              <w:t>招标商务要求</w:t>
            </w:r>
          </w:p>
        </w:tc>
      </w:tr>
      <w:tr w14:paraId="22DBB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F6785D">
            <w:pPr>
              <w:keepNext/>
              <w:snapToGrid w:val="0"/>
              <w:spacing w:after="60" w:line="240" w:lineRule="auto"/>
              <w:ind w:left="0" w:leftChars="0" w:right="0" w:rightChars="0" w:firstLine="0" w:firstLineChars="0"/>
              <w:jc w:val="center"/>
              <w:rPr>
                <w:rFonts w:hint="eastAsia" w:ascii="宋体" w:hAnsi="宋体" w:eastAsia="宋体" w:cs="宋体"/>
                <w:b/>
                <w:bCs/>
                <w:color w:val="000000" w:themeColor="text1"/>
                <w:sz w:val="21"/>
                <w:szCs w:val="21"/>
                <w:lang w:val="en-US" w:eastAsia="zh-CN" w:bidi="ar"/>
                <w14:textFill>
                  <w14:solidFill>
                    <w14:schemeClr w14:val="tx1"/>
                  </w14:solidFill>
                </w14:textFill>
              </w:rPr>
            </w:pPr>
            <w:r>
              <w:rPr>
                <w:rFonts w:hint="eastAsia" w:ascii="宋体" w:hAnsi="宋体" w:eastAsia="宋体" w:cs="宋体"/>
                <w:b/>
                <w:bCs/>
                <w:color w:val="000000" w:themeColor="text1"/>
                <w:sz w:val="21"/>
                <w:szCs w:val="21"/>
                <w:lang w:val="en-US" w:eastAsia="zh-CN" w:bidi="ar"/>
                <w14:textFill>
                  <w14:solidFill>
                    <w14:schemeClr w14:val="tx1"/>
                  </w14:solidFill>
                </w14:textFill>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56588B5C">
            <w:pPr>
              <w:spacing w:after="60" w:line="360" w:lineRule="exact"/>
              <w:jc w:val="center"/>
              <w:rPr>
                <w:rFonts w:hint="eastAsia" w:ascii="宋体" w:hAnsi="宋体" w:eastAsia="宋体" w:cs="宋体"/>
                <w:b/>
                <w:bCs/>
                <w:color w:val="auto"/>
                <w:kern w:val="2"/>
                <w:sz w:val="21"/>
                <w:szCs w:val="21"/>
                <w:lang w:val="en-US" w:eastAsia="zh-CN" w:bidi="ar-SA"/>
              </w:rPr>
            </w:pPr>
            <w:r>
              <w:rPr>
                <w:rFonts w:hint="eastAsia" w:ascii="宋体" w:hAnsi="宋体" w:cs="宋体"/>
                <w:b/>
                <w:bCs/>
                <w:color w:val="auto"/>
                <w:szCs w:val="22"/>
                <w:lang w:bidi="ar"/>
              </w:rPr>
              <w:t>报价要求</w:t>
            </w:r>
          </w:p>
        </w:tc>
        <w:tc>
          <w:tcPr>
            <w:tcW w:w="5908" w:type="dxa"/>
            <w:tcBorders>
              <w:top w:val="single" w:color="auto" w:sz="4" w:space="0"/>
              <w:left w:val="nil"/>
              <w:bottom w:val="single" w:color="auto" w:sz="4" w:space="0"/>
              <w:right w:val="single" w:color="auto" w:sz="4" w:space="0"/>
            </w:tcBorders>
            <w:shd w:val="clear" w:color="auto" w:fill="auto"/>
            <w:noWrap w:val="0"/>
            <w:vAlign w:val="top"/>
          </w:tcPr>
          <w:p w14:paraId="0CBB324B">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1</w:t>
            </w:r>
            <w:r>
              <w:rPr>
                <w:rFonts w:hint="eastAsia" w:ascii="宋体" w:hAnsi="宋体" w:eastAsia="宋体" w:cs="宋体"/>
                <w:color w:val="auto"/>
                <w:sz w:val="21"/>
                <w:szCs w:val="21"/>
                <w:lang w:eastAsia="zh-CN" w:bidi="ar"/>
              </w:rPr>
              <w:t>、</w:t>
            </w:r>
            <w:r>
              <w:rPr>
                <w:rFonts w:hint="eastAsia" w:ascii="宋体" w:hAnsi="宋体" w:eastAsia="宋体" w:cs="宋体"/>
                <w:color w:val="auto"/>
                <w:sz w:val="21"/>
                <w:szCs w:val="21"/>
                <w:lang w:bidi="ar"/>
              </w:rPr>
              <w:t>投标总价（人民币）须是完成该项目的一切费用总和，包括原材料和配件费、深化设计、生产加工、安装、调试，通过有关主管部门的验收，运至合同指定地点的包装费、运输费、装卸费、保险费，技术培训费，安装调试费，出质保期后的人工维护费及国家规定的各项税费等全部费用。</w:t>
            </w:r>
          </w:p>
          <w:p w14:paraId="13E1D005">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z w:val="21"/>
                <w:szCs w:val="21"/>
                <w:lang w:val="en-US" w:eastAsia="zh-CN" w:bidi="ar"/>
              </w:rPr>
              <w:t>2、本项目预算金额为人民币</w:t>
            </w:r>
            <w:r>
              <w:rPr>
                <w:rFonts w:hint="eastAsia" w:ascii="宋体" w:hAnsi="宋体" w:eastAsia="宋体" w:cs="宋体"/>
                <w:b/>
                <w:bCs/>
                <w:color w:val="auto"/>
                <w:szCs w:val="21"/>
                <w:lang w:val="en-US" w:eastAsia="zh-CN" w:bidi="ar"/>
              </w:rPr>
              <w:t>9</w:t>
            </w:r>
            <w:r>
              <w:rPr>
                <w:rFonts w:hint="eastAsia" w:ascii="宋体" w:hAnsi="宋体" w:cs="宋体"/>
                <w:b/>
                <w:bCs/>
                <w:color w:val="auto"/>
                <w:szCs w:val="21"/>
                <w:lang w:val="en-US" w:eastAsia="zh-CN" w:bidi="ar"/>
              </w:rPr>
              <w:t>4</w:t>
            </w:r>
            <w:r>
              <w:rPr>
                <w:rFonts w:hint="eastAsia" w:ascii="宋体" w:hAnsi="宋体" w:eastAsia="宋体" w:cs="宋体"/>
                <w:b/>
                <w:bCs/>
                <w:color w:val="auto"/>
                <w:szCs w:val="21"/>
                <w:lang w:bidi="ar"/>
              </w:rPr>
              <w:t>0,000.00元</w:t>
            </w:r>
            <w:r>
              <w:rPr>
                <w:rFonts w:hint="eastAsia" w:ascii="宋体" w:hAnsi="宋体" w:eastAsia="宋体" w:cs="宋体"/>
                <w:b/>
                <w:bCs/>
                <w:color w:val="auto"/>
                <w:sz w:val="21"/>
                <w:szCs w:val="21"/>
                <w:lang w:val="en-US" w:eastAsia="zh-CN" w:bidi="ar"/>
              </w:rPr>
              <w:t>整</w:t>
            </w:r>
            <w:r>
              <w:rPr>
                <w:rFonts w:hint="eastAsia" w:ascii="宋体" w:hAnsi="宋体" w:eastAsia="宋体" w:cs="宋体"/>
                <w:color w:val="auto"/>
                <w:sz w:val="21"/>
                <w:szCs w:val="21"/>
                <w:lang w:val="en-US" w:eastAsia="zh-CN" w:bidi="ar"/>
              </w:rPr>
              <w:t>，投标报价超出预算金额将被当作无效投标处理。</w:t>
            </w:r>
          </w:p>
        </w:tc>
      </w:tr>
      <w:tr w14:paraId="5B25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8" w:type="dxa"/>
            <w:tcBorders>
              <w:top w:val="single" w:color="auto" w:sz="4" w:space="0"/>
              <w:left w:val="single" w:color="auto" w:sz="4" w:space="0"/>
              <w:bottom w:val="single" w:color="auto" w:sz="4" w:space="0"/>
              <w:right w:val="single" w:color="auto" w:sz="4" w:space="0"/>
            </w:tcBorders>
            <w:noWrap w:val="0"/>
            <w:vAlign w:val="center"/>
          </w:tcPr>
          <w:p w14:paraId="78F38165">
            <w:pPr>
              <w:keepNext/>
              <w:snapToGrid w:val="0"/>
              <w:spacing w:after="60" w:line="240" w:lineRule="auto"/>
              <w:ind w:left="0" w:leftChars="0" w:right="0" w:rightChars="0" w:firstLine="0" w:firstLineChars="0"/>
              <w:jc w:val="center"/>
              <w:rPr>
                <w:rFonts w:hint="eastAsia" w:ascii="宋体" w:hAnsi="宋体" w:eastAsia="宋体" w:cs="宋体"/>
                <w:b/>
                <w:color w:val="000000" w:themeColor="text1"/>
                <w:sz w:val="21"/>
                <w:szCs w:val="21"/>
                <w:lang w:val="en-US" w:eastAsia="zh-CN" w:bidi="ar"/>
                <w14:textFill>
                  <w14:solidFill>
                    <w14:schemeClr w14:val="tx1"/>
                  </w14:solidFill>
                </w14:textFill>
              </w:rPr>
            </w:pPr>
            <w:r>
              <w:rPr>
                <w:rFonts w:hint="eastAsia" w:ascii="宋体" w:hAnsi="宋体" w:eastAsia="宋体" w:cs="宋体"/>
                <w:b/>
                <w:color w:val="000000" w:themeColor="text1"/>
                <w:sz w:val="21"/>
                <w:szCs w:val="21"/>
                <w:lang w:val="en-US" w:eastAsia="zh-CN" w:bidi="ar"/>
                <w14:textFill>
                  <w14:solidFill>
                    <w14:schemeClr w14:val="tx1"/>
                  </w14:solidFill>
                </w14:textFill>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0429FFE4">
            <w:pPr>
              <w:spacing w:after="60" w:line="360" w:lineRule="exact"/>
              <w:jc w:val="center"/>
              <w:rPr>
                <w:rFonts w:hint="eastAsia" w:ascii="宋体" w:hAnsi="宋体" w:eastAsia="宋体" w:cs="宋体"/>
                <w:b/>
                <w:color w:val="auto"/>
                <w:kern w:val="2"/>
                <w:sz w:val="21"/>
                <w:szCs w:val="21"/>
                <w:lang w:val="en-US" w:eastAsia="zh-CN" w:bidi="ar-SA"/>
              </w:rPr>
            </w:pPr>
            <w:r>
              <w:rPr>
                <w:rFonts w:hint="eastAsia" w:ascii="宋体" w:hAnsi="宋体" w:cs="宋体"/>
                <w:b/>
                <w:color w:val="auto"/>
                <w:szCs w:val="22"/>
                <w:lang w:bidi="ar"/>
              </w:rPr>
              <w:t>交货地点</w:t>
            </w:r>
          </w:p>
        </w:tc>
        <w:tc>
          <w:tcPr>
            <w:tcW w:w="5908" w:type="dxa"/>
            <w:tcBorders>
              <w:top w:val="single" w:color="auto" w:sz="4" w:space="0"/>
              <w:left w:val="nil"/>
              <w:bottom w:val="single" w:color="auto" w:sz="4" w:space="0"/>
              <w:right w:val="single" w:color="auto" w:sz="4" w:space="0"/>
            </w:tcBorders>
            <w:shd w:val="clear" w:color="auto" w:fill="auto"/>
            <w:noWrap w:val="0"/>
            <w:vAlign w:val="top"/>
          </w:tcPr>
          <w:p w14:paraId="1684A3D4">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bidi="ar"/>
              </w:rPr>
              <w:t>深圳市宝安区福永人民医院。</w:t>
            </w:r>
          </w:p>
        </w:tc>
      </w:tr>
      <w:tr w14:paraId="1F21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8" w:type="dxa"/>
            <w:tcBorders>
              <w:top w:val="single" w:color="auto" w:sz="4" w:space="0"/>
              <w:left w:val="single" w:color="auto" w:sz="4" w:space="0"/>
              <w:bottom w:val="single" w:color="auto" w:sz="4" w:space="0"/>
              <w:right w:val="single" w:color="auto" w:sz="4" w:space="0"/>
            </w:tcBorders>
            <w:noWrap w:val="0"/>
            <w:vAlign w:val="center"/>
          </w:tcPr>
          <w:p w14:paraId="589300EB">
            <w:pPr>
              <w:keepNext/>
              <w:snapToGrid w:val="0"/>
              <w:spacing w:after="60" w:line="240" w:lineRule="auto"/>
              <w:ind w:left="0" w:leftChars="0" w:right="0" w:rightChars="0" w:firstLine="0" w:firstLineChars="0"/>
              <w:jc w:val="center"/>
              <w:rPr>
                <w:rFonts w:hint="eastAsia" w:ascii="宋体" w:hAnsi="宋体" w:eastAsia="宋体" w:cs="宋体"/>
                <w:b/>
                <w:bCs/>
                <w:color w:val="000000" w:themeColor="text1"/>
                <w:sz w:val="21"/>
                <w:szCs w:val="21"/>
                <w:lang w:val="en-US" w:eastAsia="zh-CN" w:bidi="ar"/>
                <w14:textFill>
                  <w14:solidFill>
                    <w14:schemeClr w14:val="tx1"/>
                  </w14:solidFill>
                </w14:textFill>
              </w:rPr>
            </w:pPr>
            <w:r>
              <w:rPr>
                <w:rFonts w:hint="eastAsia" w:ascii="宋体" w:hAnsi="宋体" w:eastAsia="宋体" w:cs="宋体"/>
                <w:b/>
                <w:bCs/>
                <w:color w:val="000000" w:themeColor="text1"/>
                <w:sz w:val="21"/>
                <w:szCs w:val="21"/>
                <w:lang w:val="en-US" w:eastAsia="zh-CN" w:bidi="ar"/>
                <w14:textFill>
                  <w14:solidFill>
                    <w14:schemeClr w14:val="tx1"/>
                  </w14:solidFill>
                </w14:textFill>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1EE1C899">
            <w:pPr>
              <w:spacing w:after="60" w:line="360" w:lineRule="exact"/>
              <w:jc w:val="center"/>
              <w:rPr>
                <w:rFonts w:hint="eastAsia" w:ascii="宋体" w:hAnsi="宋体" w:eastAsia="宋体" w:cs="宋体"/>
                <w:b/>
                <w:bCs/>
                <w:color w:val="auto"/>
                <w:kern w:val="2"/>
                <w:sz w:val="21"/>
                <w:szCs w:val="21"/>
                <w:lang w:val="en-US" w:eastAsia="zh-CN" w:bidi="ar-SA"/>
              </w:rPr>
            </w:pPr>
            <w:r>
              <w:rPr>
                <w:rFonts w:hint="eastAsia" w:ascii="宋体" w:hAnsi="宋体" w:cs="宋体"/>
                <w:b/>
                <w:bCs/>
                <w:color w:val="auto"/>
                <w:szCs w:val="22"/>
                <w:lang w:bidi="ar"/>
              </w:rPr>
              <w:t>交货时间</w:t>
            </w:r>
          </w:p>
        </w:tc>
        <w:tc>
          <w:tcPr>
            <w:tcW w:w="5908" w:type="dxa"/>
            <w:tcBorders>
              <w:top w:val="single" w:color="auto" w:sz="4" w:space="0"/>
              <w:left w:val="nil"/>
              <w:bottom w:val="single" w:color="auto" w:sz="4" w:space="0"/>
              <w:right w:val="single" w:color="auto" w:sz="4" w:space="0"/>
            </w:tcBorders>
            <w:shd w:val="clear" w:color="auto" w:fill="auto"/>
            <w:noWrap w:val="0"/>
            <w:vAlign w:val="top"/>
          </w:tcPr>
          <w:p w14:paraId="630816C6">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bidi="ar"/>
              </w:rPr>
              <w:t>签订合同后</w:t>
            </w:r>
            <w:r>
              <w:rPr>
                <w:rFonts w:hint="eastAsia" w:ascii="宋体" w:hAnsi="宋体" w:cs="宋体"/>
                <w:color w:val="auto"/>
                <w:sz w:val="21"/>
                <w:szCs w:val="21"/>
                <w:lang w:val="en-US" w:eastAsia="zh-CN" w:bidi="ar"/>
              </w:rPr>
              <w:t>30</w:t>
            </w:r>
            <w:r>
              <w:rPr>
                <w:rFonts w:hint="eastAsia" w:ascii="宋体" w:hAnsi="宋体" w:eastAsia="宋体" w:cs="宋体"/>
                <w:color w:val="auto"/>
                <w:sz w:val="21"/>
                <w:szCs w:val="21"/>
                <w:lang w:bidi="ar"/>
              </w:rPr>
              <w:t>个日历日内交货</w:t>
            </w:r>
            <w:r>
              <w:rPr>
                <w:rFonts w:hint="eastAsia" w:ascii="宋体" w:hAnsi="宋体" w:eastAsia="宋体" w:cs="宋体"/>
                <w:color w:val="auto"/>
                <w:sz w:val="21"/>
                <w:szCs w:val="21"/>
                <w:lang w:eastAsia="zh-CN" w:bidi="ar"/>
              </w:rPr>
              <w:t>。</w:t>
            </w:r>
          </w:p>
        </w:tc>
      </w:tr>
      <w:tr w14:paraId="619B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8" w:type="dxa"/>
            <w:tcBorders>
              <w:top w:val="single" w:color="auto" w:sz="4" w:space="0"/>
              <w:left w:val="single" w:color="auto" w:sz="4" w:space="0"/>
              <w:bottom w:val="single" w:color="auto" w:sz="4" w:space="0"/>
              <w:right w:val="single" w:color="auto" w:sz="4" w:space="0"/>
            </w:tcBorders>
            <w:noWrap w:val="0"/>
            <w:vAlign w:val="center"/>
          </w:tcPr>
          <w:p w14:paraId="2DD3B31C">
            <w:pPr>
              <w:keepNext/>
              <w:snapToGrid w:val="0"/>
              <w:spacing w:after="60" w:line="240" w:lineRule="auto"/>
              <w:ind w:left="0" w:leftChars="0" w:right="0" w:rightChars="0" w:firstLine="0" w:firstLineChars="0"/>
              <w:jc w:val="center"/>
              <w:rPr>
                <w:rFonts w:hint="eastAsia" w:ascii="宋体" w:hAnsi="宋体" w:eastAsia="宋体" w:cs="宋体"/>
                <w:b/>
                <w:color w:val="000000" w:themeColor="text1"/>
                <w:sz w:val="21"/>
                <w:szCs w:val="21"/>
                <w:lang w:val="en-US" w:eastAsia="zh-CN" w:bidi="ar"/>
                <w14:textFill>
                  <w14:solidFill>
                    <w14:schemeClr w14:val="tx1"/>
                  </w14:solidFill>
                </w14:textFill>
              </w:rPr>
            </w:pPr>
            <w:r>
              <w:rPr>
                <w:rFonts w:hint="eastAsia" w:ascii="宋体" w:hAnsi="宋体" w:eastAsia="宋体" w:cs="宋体"/>
                <w:b/>
                <w:color w:val="000000" w:themeColor="text1"/>
                <w:sz w:val="21"/>
                <w:szCs w:val="21"/>
                <w:lang w:val="en-US" w:eastAsia="zh-CN" w:bidi="ar"/>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5B2739D9">
            <w:pPr>
              <w:spacing w:after="60" w:line="360" w:lineRule="exact"/>
              <w:jc w:val="center"/>
              <w:rPr>
                <w:rFonts w:hint="eastAsia" w:ascii="宋体" w:hAnsi="宋体" w:eastAsia="宋体" w:cs="宋体"/>
                <w:b/>
                <w:bCs/>
                <w:color w:val="auto"/>
                <w:kern w:val="2"/>
                <w:sz w:val="21"/>
                <w:szCs w:val="21"/>
                <w:lang w:val="en-US" w:eastAsia="zh-CN" w:bidi="ar-SA"/>
              </w:rPr>
            </w:pPr>
            <w:r>
              <w:rPr>
                <w:rFonts w:hint="eastAsia" w:ascii="宋体" w:hAnsi="宋体" w:cs="宋体"/>
                <w:b/>
                <w:color w:val="auto"/>
                <w:szCs w:val="22"/>
                <w:lang w:bidi="ar"/>
              </w:rPr>
              <w:t>付款方式</w:t>
            </w:r>
          </w:p>
        </w:tc>
        <w:tc>
          <w:tcPr>
            <w:tcW w:w="5908" w:type="dxa"/>
            <w:tcBorders>
              <w:top w:val="single" w:color="auto" w:sz="4" w:space="0"/>
              <w:left w:val="nil"/>
              <w:bottom w:val="single" w:color="auto" w:sz="4" w:space="0"/>
              <w:right w:val="single" w:color="auto" w:sz="4" w:space="0"/>
            </w:tcBorders>
            <w:shd w:val="clear" w:color="auto" w:fill="auto"/>
            <w:noWrap w:val="0"/>
            <w:vAlign w:val="top"/>
          </w:tcPr>
          <w:p w14:paraId="5EC6AE45">
            <w:pPr>
              <w:numPr>
                <w:ilvl w:val="0"/>
                <w:numId w:val="0"/>
              </w:numPr>
              <w:topLinePunct/>
              <w:spacing w:line="360" w:lineRule="auto"/>
              <w:jc w:val="left"/>
              <w:rPr>
                <w:rFonts w:hint="eastAsia" w:ascii="宋体" w:hAnsi="宋体" w:eastAsia="宋体" w:cs="宋体"/>
                <w:color w:val="auto"/>
                <w:sz w:val="21"/>
                <w:szCs w:val="21"/>
                <w:lang w:bidi="ar"/>
              </w:rPr>
            </w:pPr>
            <w:r>
              <w:rPr>
                <w:rFonts w:hint="eastAsia" w:ascii="宋体" w:hAnsi="宋体" w:eastAsia="宋体" w:cs="宋体"/>
                <w:color w:val="auto"/>
                <w:kern w:val="2"/>
                <w:sz w:val="21"/>
                <w:szCs w:val="21"/>
                <w:lang w:val="en-US" w:eastAsia="zh-CN" w:bidi="ar"/>
              </w:rPr>
              <w:t>1、</w:t>
            </w:r>
            <w:r>
              <w:rPr>
                <w:rFonts w:hint="eastAsia" w:ascii="宋体" w:hAnsi="宋体" w:eastAsia="宋体" w:cs="宋体"/>
                <w:bCs/>
                <w:color w:val="auto"/>
                <w:sz w:val="21"/>
                <w:szCs w:val="21"/>
                <w:lang w:eastAsia="zh-CN"/>
              </w:rPr>
              <w:t>合同签订后，本合同款项以人民币转账方式支付。支付的必要前提为中标人已经提供合同、验收调试合格报告和合法等额有效的增值税发票。</w:t>
            </w:r>
          </w:p>
          <w:p w14:paraId="0237A52B">
            <w:pPr>
              <w:numPr>
                <w:ilvl w:val="0"/>
                <w:numId w:val="0"/>
              </w:numPr>
              <w:topLinePunct/>
              <w:spacing w:line="360" w:lineRule="auto"/>
              <w:ind w:left="0" w:leftChars="0" w:firstLine="0" w:firstLineChars="0"/>
              <w:jc w:val="left"/>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2、</w:t>
            </w:r>
            <w:r>
              <w:rPr>
                <w:rFonts w:hint="eastAsia" w:ascii="宋体" w:hAnsi="宋体" w:eastAsia="宋体" w:cs="宋体"/>
                <w:bCs/>
                <w:color w:val="auto"/>
                <w:sz w:val="21"/>
                <w:szCs w:val="21"/>
                <w:lang w:eastAsia="zh-CN"/>
              </w:rPr>
              <w:t>合同签订后，设备到货安装验收合格并收到中标人开具的合法、等额有效的增值税发票后的10个工作日内，采购人支付合同价款100%给中标人</w:t>
            </w:r>
            <w:r>
              <w:rPr>
                <w:rFonts w:hint="eastAsia" w:ascii="宋体" w:hAnsi="宋体" w:eastAsia="宋体" w:cs="宋体"/>
                <w:bCs/>
                <w:color w:val="auto"/>
                <w:sz w:val="21"/>
                <w:szCs w:val="21"/>
              </w:rPr>
              <w:t>。</w:t>
            </w:r>
          </w:p>
        </w:tc>
      </w:tr>
      <w:tr w14:paraId="34B7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8" w:type="dxa"/>
            <w:tcBorders>
              <w:top w:val="single" w:color="auto" w:sz="4" w:space="0"/>
              <w:left w:val="single" w:color="auto" w:sz="4" w:space="0"/>
              <w:bottom w:val="single" w:color="auto" w:sz="4" w:space="0"/>
              <w:right w:val="single" w:color="auto" w:sz="4" w:space="0"/>
            </w:tcBorders>
            <w:noWrap w:val="0"/>
            <w:vAlign w:val="center"/>
          </w:tcPr>
          <w:p w14:paraId="680C2912">
            <w:pPr>
              <w:keepNext/>
              <w:snapToGrid w:val="0"/>
              <w:spacing w:after="60" w:line="240" w:lineRule="auto"/>
              <w:ind w:left="0" w:leftChars="0" w:right="0" w:rightChars="0" w:firstLine="0" w:firstLineChars="0"/>
              <w:jc w:val="center"/>
              <w:rPr>
                <w:rFonts w:hint="eastAsia" w:ascii="宋体" w:hAnsi="宋体" w:eastAsia="宋体" w:cs="宋体"/>
                <w:b/>
                <w:color w:val="000000" w:themeColor="text1"/>
                <w:sz w:val="21"/>
                <w:szCs w:val="21"/>
                <w:lang w:val="en-US" w:eastAsia="zh-CN" w:bidi="ar"/>
                <w14:textFill>
                  <w14:solidFill>
                    <w14:schemeClr w14:val="tx1"/>
                  </w14:solidFill>
                </w14:textFill>
              </w:rPr>
            </w:pPr>
            <w:r>
              <w:rPr>
                <w:rFonts w:hint="eastAsia" w:ascii="宋体" w:hAnsi="宋体" w:eastAsia="宋体" w:cs="宋体"/>
                <w:b/>
                <w:color w:val="000000" w:themeColor="text1"/>
                <w:sz w:val="21"/>
                <w:szCs w:val="21"/>
                <w:lang w:val="en-US" w:eastAsia="zh-CN" w:bidi="ar"/>
                <w14:textFill>
                  <w14:solidFill>
                    <w14:schemeClr w14:val="tx1"/>
                  </w14:solidFill>
                </w14:textFill>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67EF2933">
            <w:pPr>
              <w:spacing w:after="60" w:line="360" w:lineRule="exact"/>
              <w:jc w:val="center"/>
              <w:rPr>
                <w:rFonts w:hint="eastAsia" w:ascii="宋体" w:hAnsi="宋体" w:eastAsia="宋体" w:cs="宋体"/>
                <w:b/>
                <w:bCs/>
                <w:color w:val="auto"/>
                <w:kern w:val="2"/>
                <w:sz w:val="21"/>
                <w:szCs w:val="21"/>
                <w:lang w:val="en-US" w:eastAsia="zh-CN" w:bidi="ar-SA"/>
              </w:rPr>
            </w:pPr>
            <w:r>
              <w:rPr>
                <w:rFonts w:hint="eastAsia" w:ascii="宋体" w:hAnsi="宋体" w:cs="宋体"/>
                <w:b/>
                <w:color w:val="auto"/>
                <w:szCs w:val="22"/>
                <w:lang w:bidi="ar"/>
              </w:rPr>
              <w:t>验收方式</w:t>
            </w:r>
          </w:p>
        </w:tc>
        <w:tc>
          <w:tcPr>
            <w:tcW w:w="5908" w:type="dxa"/>
            <w:tcBorders>
              <w:top w:val="single" w:color="auto" w:sz="4" w:space="0"/>
              <w:left w:val="nil"/>
              <w:bottom w:val="single" w:color="auto" w:sz="4" w:space="0"/>
              <w:right w:val="single" w:color="auto" w:sz="4" w:space="0"/>
            </w:tcBorders>
            <w:shd w:val="clear" w:color="auto" w:fill="auto"/>
            <w:noWrap w:val="0"/>
            <w:vAlign w:val="top"/>
          </w:tcPr>
          <w:p w14:paraId="0A86AA91">
            <w:pPr>
              <w:keepNext w:val="0"/>
              <w:keepLines w:val="0"/>
              <w:pageBreakBefore w:val="0"/>
              <w:kinsoku/>
              <w:wordWrap/>
              <w:overflowPunct/>
              <w:topLinePunct/>
              <w:autoSpaceDE/>
              <w:autoSpaceDN/>
              <w:bidi w:val="0"/>
              <w:adjustRightInd/>
              <w:snapToGrid/>
              <w:spacing w:line="360" w:lineRule="auto"/>
              <w:jc w:val="left"/>
              <w:textAlignment w:val="auto"/>
              <w:rPr>
                <w:rFonts w:hint="eastAsia" w:ascii="宋体" w:hAnsi="宋体" w:eastAsia="宋体" w:cs="宋体"/>
                <w:bCs/>
                <w:color w:val="auto"/>
                <w:sz w:val="21"/>
                <w:szCs w:val="21"/>
              </w:rPr>
            </w:pPr>
            <w:r>
              <w:rPr>
                <w:rFonts w:hint="eastAsia" w:ascii="宋体" w:hAnsi="宋体" w:eastAsia="宋体" w:cs="宋体"/>
                <w:color w:val="auto"/>
                <w:sz w:val="21"/>
                <w:szCs w:val="21"/>
                <w:lang w:bidi="ar"/>
              </w:rPr>
              <w:t>1、</w:t>
            </w:r>
            <w:r>
              <w:rPr>
                <w:rFonts w:hint="eastAsia" w:ascii="宋体" w:hAnsi="宋体" w:eastAsia="宋体" w:cs="宋体"/>
                <w:bCs/>
                <w:color w:val="auto"/>
                <w:sz w:val="21"/>
                <w:szCs w:val="21"/>
                <w:lang w:bidi="ar"/>
              </w:rPr>
              <w:t>货到安装，现场验收。中标人须向采购人提供全套的材料、设备配置清单、检验产品合格证、使用说明书及其他技术资料。中标人负责通知厂家派有经验的技术人员到现场进行安装、调试，直到设备正常使用。因</w:t>
            </w:r>
            <w:r>
              <w:rPr>
                <w:rFonts w:hint="eastAsia" w:ascii="宋体" w:hAnsi="宋体" w:eastAsia="宋体" w:cs="宋体"/>
                <w:bCs/>
                <w:color w:val="auto"/>
                <w:sz w:val="21"/>
                <w:szCs w:val="21"/>
                <w:lang w:eastAsia="zh-CN" w:bidi="ar"/>
              </w:rPr>
              <w:t>采购人</w:t>
            </w:r>
            <w:r>
              <w:rPr>
                <w:rFonts w:hint="eastAsia" w:ascii="宋体" w:hAnsi="宋体" w:eastAsia="宋体" w:cs="宋体"/>
                <w:bCs/>
                <w:color w:val="auto"/>
                <w:sz w:val="21"/>
                <w:szCs w:val="21"/>
                <w:lang w:bidi="ar"/>
              </w:rPr>
              <w:t>现场不具备安装调试条件导致工期延误时，安装调试完工日期应当顺延，具体顺延期限由甲乙双方商定。</w:t>
            </w:r>
          </w:p>
          <w:p w14:paraId="1E78CC02">
            <w:pPr>
              <w:keepNext w:val="0"/>
              <w:keepLines w:val="0"/>
              <w:pageBreakBefore w:val="0"/>
              <w:kinsoku/>
              <w:wordWrap/>
              <w:overflowPunct/>
              <w:topLinePunct/>
              <w:autoSpaceDE/>
              <w:autoSpaceDN/>
              <w:bidi w:val="0"/>
              <w:adjustRightInd/>
              <w:snapToGrid/>
              <w:spacing w:line="36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lang w:bidi="ar"/>
              </w:rPr>
              <w:t>2、设备安装调试正常使用后，</w:t>
            </w:r>
            <w:r>
              <w:rPr>
                <w:rFonts w:hint="eastAsia" w:ascii="宋体" w:hAnsi="宋体" w:eastAsia="宋体" w:cs="宋体"/>
                <w:bCs/>
                <w:color w:val="auto"/>
                <w:sz w:val="21"/>
                <w:szCs w:val="21"/>
              </w:rPr>
              <w:t>且提供所有第三方配件及设备相关软件、序列及后处理软件后</w:t>
            </w:r>
            <w:r>
              <w:rPr>
                <w:rFonts w:hint="eastAsia" w:ascii="宋体" w:hAnsi="宋体" w:eastAsia="宋体" w:cs="宋体"/>
                <w:bCs/>
                <w:color w:val="auto"/>
                <w:sz w:val="21"/>
                <w:szCs w:val="21"/>
                <w:lang w:bidi="ar"/>
              </w:rPr>
              <w:t>60个工作日内进行验收，由使用科室、设备科、厂家代表、中标人等代表在场进行验收，维保期从验收合格之日起计。</w:t>
            </w:r>
          </w:p>
          <w:p w14:paraId="320C7F1A">
            <w:pPr>
              <w:keepNext w:val="0"/>
              <w:keepLines w:val="0"/>
              <w:pageBreakBefore w:val="0"/>
              <w:kinsoku/>
              <w:wordWrap/>
              <w:overflowPunct/>
              <w:topLinePunct/>
              <w:autoSpaceDE/>
              <w:autoSpaceDN/>
              <w:bidi w:val="0"/>
              <w:adjustRightInd/>
              <w:snapToGrid/>
              <w:spacing w:line="36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lang w:bidi="ar"/>
              </w:rPr>
              <w:t>3、产品质量和安装调试检验标准遵照国家相关规定和最新标准以及招标文件执行。验收中如发现有质量不合格或型号规格、数量、技术参数等不符招标文件的情况，中标人应免费更换或补齐，并承担因此产生的任何费用及采购人全部损失。经更换或补齐后，仍不符合要求的，采购人有权单方解除合同。中标人提供的货物经过双方检验认可后，采购人签署验收报告。</w:t>
            </w:r>
          </w:p>
          <w:p w14:paraId="5DB2CC5E">
            <w:pPr>
              <w:numPr>
                <w:ilvl w:val="0"/>
                <w:numId w:val="0"/>
              </w:numPr>
              <w:topLinePunct/>
              <w:spacing w:line="360" w:lineRule="auto"/>
              <w:ind w:left="0" w:firstLine="0"/>
              <w:jc w:val="left"/>
              <w:rPr>
                <w:rFonts w:hint="eastAsia" w:ascii="宋体" w:hAnsi="宋体" w:eastAsia="宋体" w:cs="宋体"/>
                <w:bCs/>
                <w:color w:val="auto"/>
                <w:sz w:val="21"/>
                <w:szCs w:val="21"/>
              </w:rPr>
            </w:pPr>
            <w:r>
              <w:rPr>
                <w:rFonts w:hint="eastAsia" w:ascii="宋体" w:hAnsi="宋体" w:eastAsia="宋体" w:cs="宋体"/>
                <w:bCs/>
                <w:color w:val="auto"/>
                <w:kern w:val="2"/>
                <w:sz w:val="21"/>
                <w:szCs w:val="21"/>
                <w:lang w:val="en-US" w:eastAsia="zh-CN" w:bidi="ar-SA"/>
              </w:rPr>
              <w:t>4、</w:t>
            </w:r>
            <w:r>
              <w:rPr>
                <w:rFonts w:hint="eastAsia" w:ascii="宋体" w:hAnsi="宋体" w:eastAsia="宋体" w:cs="宋体"/>
                <w:bCs/>
                <w:color w:val="auto"/>
                <w:sz w:val="21"/>
                <w:szCs w:val="21"/>
                <w:lang w:bidi="ar"/>
              </w:rPr>
              <w:t>对于未发现的隐蔽质量瑕疵，若在维保期内发现的，采购人除有权要求中标人采取修理、更换或退货等处理措施，有权要求延长保修期（针对修理设备的情形）或重新计算维保期（针对更换设备的情形）。</w:t>
            </w:r>
          </w:p>
          <w:p w14:paraId="0C1F3693">
            <w:pPr>
              <w:numPr>
                <w:ilvl w:val="0"/>
                <w:numId w:val="0"/>
              </w:numPr>
              <w:topLinePunct/>
              <w:spacing w:line="360" w:lineRule="auto"/>
              <w:ind w:left="360" w:hanging="360"/>
              <w:jc w:val="left"/>
              <w:rPr>
                <w:rFonts w:hint="eastAsia" w:ascii="宋体" w:hAnsi="宋体" w:eastAsia="宋体" w:cs="宋体"/>
                <w:bCs/>
                <w:color w:val="auto"/>
                <w:sz w:val="21"/>
                <w:szCs w:val="21"/>
              </w:rPr>
            </w:pPr>
            <w:r>
              <w:rPr>
                <w:rFonts w:hint="eastAsia" w:ascii="宋体" w:hAnsi="宋体" w:eastAsia="宋体" w:cs="宋体"/>
                <w:bCs/>
                <w:color w:val="auto"/>
                <w:kern w:val="2"/>
                <w:sz w:val="21"/>
                <w:szCs w:val="21"/>
                <w:lang w:val="en-US" w:eastAsia="zh-CN" w:bidi="ar-SA"/>
              </w:rPr>
              <w:t>5、</w:t>
            </w:r>
            <w:r>
              <w:rPr>
                <w:rFonts w:hint="eastAsia" w:ascii="宋体" w:hAnsi="宋体" w:eastAsia="宋体" w:cs="宋体"/>
                <w:bCs/>
                <w:color w:val="auto"/>
                <w:sz w:val="21"/>
                <w:szCs w:val="21"/>
                <w:lang w:bidi="ar"/>
              </w:rPr>
              <w:t>当满足以下条件时，采购人才向中标人签发货物验收报告：</w:t>
            </w:r>
          </w:p>
          <w:p w14:paraId="2C90B369">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a、中标人已按照合同规定提供了全部产品及完整的技术资料。</w:t>
            </w:r>
          </w:p>
          <w:p w14:paraId="201691B6">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b、货物符合招标文件技术规格书的要求，性能满足要求。</w:t>
            </w:r>
          </w:p>
          <w:p w14:paraId="6BAD428D">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c、货物具备产品合格证。</w:t>
            </w:r>
          </w:p>
          <w:p w14:paraId="6AA1DA69">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color w:val="auto"/>
                <w:sz w:val="21"/>
                <w:szCs w:val="21"/>
              </w:rPr>
              <w:t>d、中标后提供维修手册</w:t>
            </w:r>
            <w:r>
              <w:rPr>
                <w:rFonts w:hint="eastAsia" w:ascii="宋体" w:hAnsi="宋体" w:eastAsia="宋体" w:cs="宋体"/>
                <w:bCs/>
                <w:color w:val="auto"/>
                <w:sz w:val="21"/>
                <w:szCs w:val="21"/>
              </w:rPr>
              <w:t>、原厂售后服务承诺书、</w:t>
            </w:r>
            <w:r>
              <w:rPr>
                <w:rFonts w:hint="eastAsia" w:ascii="宋体" w:hAnsi="宋体" w:eastAsia="宋体" w:cs="宋体"/>
                <w:color w:val="auto"/>
                <w:sz w:val="21"/>
                <w:szCs w:val="21"/>
              </w:rPr>
              <w:t>中文操作手册。</w:t>
            </w:r>
          </w:p>
        </w:tc>
      </w:tr>
      <w:tr w14:paraId="0B5C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8" w:type="dxa"/>
            <w:tcBorders>
              <w:top w:val="single" w:color="auto" w:sz="4" w:space="0"/>
              <w:left w:val="single" w:color="auto" w:sz="4" w:space="0"/>
              <w:bottom w:val="single" w:color="auto" w:sz="4" w:space="0"/>
              <w:right w:val="single" w:color="auto" w:sz="4" w:space="0"/>
            </w:tcBorders>
            <w:noWrap w:val="0"/>
            <w:vAlign w:val="center"/>
          </w:tcPr>
          <w:p w14:paraId="51E4FF8A">
            <w:pPr>
              <w:keepNext/>
              <w:snapToGrid w:val="0"/>
              <w:spacing w:after="60" w:line="240" w:lineRule="auto"/>
              <w:ind w:left="0" w:leftChars="0" w:right="0" w:rightChars="0" w:firstLine="0" w:firstLineChars="0"/>
              <w:jc w:val="center"/>
              <w:rPr>
                <w:rFonts w:hint="eastAsia" w:ascii="宋体" w:hAnsi="宋体" w:eastAsia="宋体" w:cs="宋体"/>
                <w:b/>
                <w:bCs/>
                <w:color w:val="000000" w:themeColor="text1"/>
                <w:sz w:val="21"/>
                <w:szCs w:val="21"/>
                <w:lang w:val="en-US" w:eastAsia="zh-CN" w:bidi="ar"/>
                <w14:textFill>
                  <w14:solidFill>
                    <w14:schemeClr w14:val="tx1"/>
                  </w14:solidFill>
                </w14:textFill>
              </w:rPr>
            </w:pPr>
            <w:r>
              <w:rPr>
                <w:rFonts w:hint="eastAsia" w:ascii="宋体" w:hAnsi="宋体" w:eastAsia="宋体" w:cs="宋体"/>
                <w:b/>
                <w:bCs/>
                <w:color w:val="000000" w:themeColor="text1"/>
                <w:sz w:val="21"/>
                <w:szCs w:val="21"/>
                <w:lang w:val="en-US" w:eastAsia="zh-CN" w:bidi="ar"/>
                <w14:textFill>
                  <w14:solidFill>
                    <w14:schemeClr w14:val="tx1"/>
                  </w14:solidFill>
                </w14:textFill>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2A007C06">
            <w:pPr>
              <w:spacing w:after="60" w:line="360" w:lineRule="exact"/>
              <w:jc w:val="center"/>
              <w:rPr>
                <w:rFonts w:hint="eastAsia" w:ascii="宋体" w:hAnsi="宋体" w:eastAsia="宋体" w:cs="宋体"/>
                <w:b/>
                <w:bCs/>
                <w:color w:val="auto"/>
                <w:kern w:val="2"/>
                <w:sz w:val="21"/>
                <w:szCs w:val="21"/>
                <w:lang w:val="en-US" w:eastAsia="zh-CN" w:bidi="ar-SA"/>
              </w:rPr>
            </w:pPr>
            <w:r>
              <w:rPr>
                <w:rFonts w:hint="eastAsia" w:ascii="宋体" w:hAnsi="宋体" w:cs="宋体"/>
                <w:b/>
                <w:bCs/>
                <w:color w:val="auto"/>
                <w:szCs w:val="22"/>
                <w:lang w:bidi="ar"/>
              </w:rPr>
              <w:t>包装及运输要求</w:t>
            </w:r>
          </w:p>
        </w:tc>
        <w:tc>
          <w:tcPr>
            <w:tcW w:w="5908" w:type="dxa"/>
            <w:tcBorders>
              <w:top w:val="single" w:color="auto" w:sz="4" w:space="0"/>
              <w:left w:val="nil"/>
              <w:bottom w:val="single" w:color="auto" w:sz="4" w:space="0"/>
              <w:right w:val="single" w:color="auto" w:sz="4" w:space="0"/>
            </w:tcBorders>
            <w:shd w:val="clear" w:color="auto" w:fill="auto"/>
            <w:noWrap w:val="0"/>
            <w:vAlign w:val="top"/>
          </w:tcPr>
          <w:p w14:paraId="0A0BE4CA">
            <w:pPr>
              <w:keepNext w:val="0"/>
              <w:keepLines w:val="0"/>
              <w:pageBreakBefore w:val="0"/>
              <w:kinsoku/>
              <w:wordWrap/>
              <w:overflowPunct/>
              <w:topLinePunct/>
              <w:autoSpaceDE/>
              <w:autoSpaceDN/>
              <w:bidi w:val="0"/>
              <w:adjustRightInd/>
              <w:snapToGrid/>
              <w:spacing w:line="360" w:lineRule="auto"/>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lang w:bidi="ar"/>
              </w:rPr>
              <w:t>1</w:t>
            </w:r>
            <w:r>
              <w:rPr>
                <w:rFonts w:hint="eastAsia" w:ascii="宋体" w:hAnsi="宋体" w:eastAsia="宋体" w:cs="宋体"/>
                <w:bCs/>
                <w:color w:val="auto"/>
                <w:sz w:val="21"/>
                <w:szCs w:val="21"/>
                <w:lang w:eastAsia="zh-CN" w:bidi="ar"/>
              </w:rPr>
              <w:t>、</w:t>
            </w:r>
            <w:r>
              <w:rPr>
                <w:rFonts w:hint="eastAsia" w:ascii="宋体" w:hAnsi="宋体" w:eastAsia="宋体" w:cs="宋体"/>
                <w:bCs/>
                <w:color w:val="auto"/>
                <w:sz w:val="21"/>
                <w:szCs w:val="21"/>
                <w:lang w:bidi="ar"/>
              </w:rPr>
              <w:t>本次采购的设备和材料必须是全新的（要求交货日期距生产日期≤一年），所有设备运输到达施工场地时的包装必须是原厂完整的，外包装到货时应完好无损，包装费用由中标人承担，外包装破损时采购人有权拒绝收货。中标人承担由于其包装或其防护措施不妥而引起的货物锈蚀、损坏和丢失等任何损失，并承担因此而发生的违约责任。</w:t>
            </w:r>
          </w:p>
          <w:p w14:paraId="1773584C">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sz w:val="21"/>
                <w:szCs w:val="21"/>
                <w:lang w:bidi="ar"/>
              </w:rPr>
              <w:t>2</w:t>
            </w:r>
            <w:r>
              <w:rPr>
                <w:rFonts w:hint="eastAsia" w:ascii="宋体" w:hAnsi="宋体" w:eastAsia="宋体" w:cs="宋体"/>
                <w:bCs/>
                <w:color w:val="auto"/>
                <w:sz w:val="21"/>
                <w:szCs w:val="21"/>
                <w:lang w:eastAsia="zh-CN" w:bidi="ar"/>
              </w:rPr>
              <w:t>、</w:t>
            </w:r>
            <w:r>
              <w:rPr>
                <w:rFonts w:hint="eastAsia" w:ascii="宋体" w:hAnsi="宋体" w:eastAsia="宋体" w:cs="宋体"/>
                <w:bCs/>
                <w:color w:val="auto"/>
                <w:sz w:val="21"/>
                <w:szCs w:val="21"/>
                <w:lang w:bidi="ar"/>
              </w:rPr>
              <w:t>中标人负责送货上门，</w:t>
            </w:r>
            <w:r>
              <w:rPr>
                <w:rFonts w:hint="eastAsia" w:ascii="宋体" w:hAnsi="宋体" w:eastAsia="宋体" w:cs="宋体"/>
                <w:bCs/>
                <w:color w:val="auto"/>
                <w:sz w:val="21"/>
                <w:szCs w:val="21"/>
                <w:lang w:eastAsia="zh-CN" w:bidi="ar"/>
              </w:rPr>
              <w:t>中标人</w:t>
            </w:r>
            <w:r>
              <w:rPr>
                <w:rFonts w:hint="eastAsia" w:ascii="宋体" w:hAnsi="宋体" w:eastAsia="宋体" w:cs="宋体"/>
                <w:bCs/>
                <w:color w:val="auto"/>
                <w:sz w:val="21"/>
                <w:szCs w:val="21"/>
                <w:lang w:bidi="ar"/>
              </w:rPr>
              <w:t>应确保产品运输过程的安全性。中标人将货物运至双方约定的交付地点，卸载、摆放至</w:t>
            </w:r>
            <w:r>
              <w:rPr>
                <w:rFonts w:hint="eastAsia" w:ascii="宋体" w:hAnsi="宋体" w:eastAsia="宋体" w:cs="宋体"/>
                <w:bCs/>
                <w:color w:val="auto"/>
                <w:sz w:val="21"/>
                <w:szCs w:val="21"/>
                <w:lang w:eastAsia="zh-CN" w:bidi="ar"/>
              </w:rPr>
              <w:t>采购人</w:t>
            </w:r>
            <w:r>
              <w:rPr>
                <w:rFonts w:hint="eastAsia" w:ascii="宋体" w:hAnsi="宋体" w:eastAsia="宋体" w:cs="宋体"/>
                <w:bCs/>
                <w:color w:val="auto"/>
                <w:sz w:val="21"/>
                <w:szCs w:val="21"/>
                <w:lang w:bidi="ar"/>
              </w:rPr>
              <w:t>指定的位置，并办理相关交货手续，运费及包装清理费由中标人承担。</w:t>
            </w:r>
          </w:p>
        </w:tc>
      </w:tr>
      <w:tr w14:paraId="3CF8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8" w:type="dxa"/>
            <w:tcBorders>
              <w:top w:val="single" w:color="auto" w:sz="4" w:space="0"/>
              <w:left w:val="single" w:color="auto" w:sz="4" w:space="0"/>
              <w:bottom w:val="single" w:color="auto" w:sz="4" w:space="0"/>
              <w:right w:val="single" w:color="auto" w:sz="4" w:space="0"/>
            </w:tcBorders>
            <w:noWrap w:val="0"/>
            <w:vAlign w:val="center"/>
          </w:tcPr>
          <w:p w14:paraId="4636F392">
            <w:pPr>
              <w:keepNext/>
              <w:widowControl/>
              <w:snapToGrid w:val="0"/>
              <w:spacing w:line="240" w:lineRule="auto"/>
              <w:ind w:left="0" w:leftChars="0" w:right="0" w:rightChars="0" w:firstLine="0" w:firstLineChars="0"/>
              <w:jc w:val="center"/>
              <w:rPr>
                <w:rFonts w:hint="eastAsia" w:ascii="宋体" w:hAnsi="宋体" w:eastAsia="宋体" w:cs="宋体"/>
                <w:b/>
                <w:color w:val="000000" w:themeColor="text1"/>
                <w:sz w:val="21"/>
                <w:szCs w:val="21"/>
                <w:lang w:val="en-US" w:eastAsia="zh-CN" w:bidi="ar"/>
                <w14:textFill>
                  <w14:solidFill>
                    <w14:schemeClr w14:val="tx1"/>
                  </w14:solidFill>
                </w14:textFill>
              </w:rPr>
            </w:pPr>
            <w:r>
              <w:rPr>
                <w:rFonts w:hint="eastAsia" w:ascii="宋体" w:hAnsi="宋体" w:eastAsia="宋体" w:cs="宋体"/>
                <w:b/>
                <w:color w:val="000000" w:themeColor="text1"/>
                <w:sz w:val="21"/>
                <w:szCs w:val="21"/>
                <w:lang w:val="en-US" w:eastAsia="zh-CN" w:bidi="ar"/>
                <w14:textFill>
                  <w14:solidFill>
                    <w14:schemeClr w14:val="tx1"/>
                  </w14:solidFill>
                </w14:textFill>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4C017E71">
            <w:pPr>
              <w:widowControl/>
              <w:spacing w:line="360" w:lineRule="exact"/>
              <w:jc w:val="center"/>
              <w:rPr>
                <w:rFonts w:hint="eastAsia" w:ascii="宋体" w:hAnsi="宋体" w:eastAsia="宋体" w:cs="宋体"/>
                <w:bCs/>
                <w:color w:val="auto"/>
                <w:kern w:val="2"/>
                <w:sz w:val="21"/>
                <w:szCs w:val="21"/>
                <w:lang w:val="en-US" w:eastAsia="zh-CN" w:bidi="ar-SA"/>
              </w:rPr>
            </w:pPr>
            <w:r>
              <w:rPr>
                <w:rFonts w:hint="eastAsia" w:ascii="宋体" w:hAnsi="宋体" w:cs="宋体"/>
                <w:b/>
                <w:color w:val="auto"/>
                <w:szCs w:val="22"/>
                <w:lang w:bidi="ar"/>
              </w:rPr>
              <w:t>售后服务要求</w:t>
            </w:r>
          </w:p>
        </w:tc>
        <w:tc>
          <w:tcPr>
            <w:tcW w:w="5908" w:type="dxa"/>
            <w:tcBorders>
              <w:top w:val="single" w:color="auto" w:sz="4" w:space="0"/>
              <w:left w:val="nil"/>
              <w:bottom w:val="single" w:color="auto" w:sz="4" w:space="0"/>
              <w:right w:val="single" w:color="auto" w:sz="4" w:space="0"/>
            </w:tcBorders>
            <w:shd w:val="clear" w:color="auto" w:fill="auto"/>
            <w:noWrap w:val="0"/>
            <w:vAlign w:val="top"/>
          </w:tcPr>
          <w:p w14:paraId="719981E7">
            <w:pPr>
              <w:keepNext w:val="0"/>
              <w:keepLines w:val="0"/>
              <w:pageBreakBefore w:val="0"/>
              <w:widowControl/>
              <w:kinsoku/>
              <w:wordWrap/>
              <w:overflowPunct/>
              <w:autoSpaceDE/>
              <w:autoSpaceDN/>
              <w:bidi w:val="0"/>
              <w:adjustRightInd/>
              <w:snapToGrid/>
              <w:spacing w:line="360" w:lineRule="auto"/>
              <w:jc w:val="left"/>
              <w:textAlignment w:val="auto"/>
              <w:rPr>
                <w:rFonts w:hint="eastAsia" w:ascii="宋体" w:hAnsi="宋体" w:eastAsia="宋体" w:cs="宋体"/>
                <w:bCs/>
                <w:color w:val="auto"/>
                <w:sz w:val="21"/>
                <w:szCs w:val="21"/>
                <w:lang w:bidi="ar"/>
              </w:rPr>
            </w:pPr>
            <w:r>
              <w:rPr>
                <w:rFonts w:hint="eastAsia" w:ascii="宋体" w:hAnsi="宋体" w:eastAsia="宋体" w:cs="宋体"/>
                <w:color w:val="auto"/>
                <w:sz w:val="21"/>
                <w:szCs w:val="21"/>
                <w:lang w:bidi="ar"/>
              </w:rPr>
              <w:t>1、设备安装调试验收合格后，</w:t>
            </w:r>
            <w:r>
              <w:rPr>
                <w:rFonts w:hint="eastAsia" w:ascii="宋体" w:hAnsi="宋体" w:eastAsia="宋体" w:cs="宋体"/>
                <w:color w:val="auto"/>
                <w:szCs w:val="21"/>
                <w:highlight w:val="yellow"/>
                <w:lang w:bidi="ar"/>
              </w:rPr>
              <w:t>原厂整机免费维保期</w:t>
            </w:r>
            <w:r>
              <w:rPr>
                <w:rFonts w:hint="eastAsia" w:ascii="宋体" w:hAnsi="宋体" w:eastAsia="宋体" w:cs="宋体"/>
                <w:color w:val="auto"/>
                <w:szCs w:val="21"/>
                <w:highlight w:val="yellow"/>
                <w:lang w:val="en-US" w:eastAsia="zh-CN" w:bidi="ar"/>
              </w:rPr>
              <w:t>5</w:t>
            </w:r>
            <w:r>
              <w:rPr>
                <w:rFonts w:hint="eastAsia" w:ascii="宋体" w:hAnsi="宋体" w:eastAsia="宋体" w:cs="宋体"/>
                <w:color w:val="auto"/>
                <w:szCs w:val="21"/>
                <w:highlight w:val="yellow"/>
                <w:lang w:bidi="ar"/>
              </w:rPr>
              <w:t>年</w:t>
            </w:r>
            <w:r>
              <w:rPr>
                <w:rFonts w:hint="eastAsia" w:ascii="宋体" w:hAnsi="宋体" w:eastAsia="宋体" w:cs="宋体"/>
                <w:color w:val="auto"/>
                <w:sz w:val="21"/>
                <w:szCs w:val="21"/>
                <w:lang w:bidi="ar"/>
              </w:rPr>
              <w:t>，在维保期内，全部免费提供原装的零配件及其维修，终身负责维修；软件终身免费升级；每年需对设备进行维护，一年四次（每季度一次）；</w:t>
            </w:r>
            <w:r>
              <w:rPr>
                <w:rFonts w:hint="eastAsia" w:ascii="宋体" w:hAnsi="宋体" w:eastAsia="宋体" w:cs="宋体"/>
                <w:color w:val="auto"/>
                <w:sz w:val="21"/>
                <w:szCs w:val="21"/>
              </w:rPr>
              <w:t>需提供设备原厂定期维护服务计划，并附维护清单；全保期内每年免费向科室提供临床或售后培训至少1次。</w:t>
            </w:r>
          </w:p>
          <w:p w14:paraId="3B657FED">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bidi="ar"/>
              </w:rPr>
              <w:t>2、中标后提供技术资料、中文操作手册。</w:t>
            </w:r>
          </w:p>
          <w:p w14:paraId="5A4B130A">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bidi="ar"/>
              </w:rPr>
              <w:t>3、全保期内，中标人应对产品因质量出现的问题免费修复，并且要在2小时内响应，</w:t>
            </w:r>
            <w:r>
              <w:rPr>
                <w:rFonts w:hint="eastAsia" w:ascii="宋体" w:hAnsi="宋体" w:eastAsia="宋体" w:cs="宋体"/>
                <w:color w:val="auto"/>
                <w:sz w:val="21"/>
                <w:szCs w:val="21"/>
                <w:highlight w:val="yellow"/>
                <w:lang w:val="en-US" w:eastAsia="zh-CN" w:bidi="ar"/>
              </w:rPr>
              <w:t>8</w:t>
            </w:r>
            <w:r>
              <w:rPr>
                <w:rFonts w:hint="eastAsia" w:ascii="宋体" w:hAnsi="宋体" w:eastAsia="宋体" w:cs="宋体"/>
                <w:color w:val="auto"/>
                <w:sz w:val="21"/>
                <w:szCs w:val="21"/>
                <w:highlight w:val="yellow"/>
                <w:lang w:bidi="ar"/>
              </w:rPr>
              <w:t>小时内到达现场维修</w:t>
            </w:r>
            <w:r>
              <w:rPr>
                <w:rFonts w:hint="eastAsia" w:ascii="宋体" w:hAnsi="宋体" w:eastAsia="宋体" w:cs="宋体"/>
                <w:color w:val="auto"/>
                <w:sz w:val="21"/>
                <w:szCs w:val="21"/>
                <w:lang w:bidi="ar"/>
              </w:rPr>
              <w:t>，并在48小时内消除故障，若在48小时内不能及时排除故障的，中标人应在10个日历日内向采购人免费提供不低故障设备规格型号档次的备用设备使用，直至故障修复为止，由此产生的包括但不限于运输费、安装费、搬运费、替换产品的损耗费、零部件费、调试费等全部费用由中标人承担；维保期外，中标人负责免费维修及提供原装配件，采购人只负责更换零配件费。</w:t>
            </w:r>
          </w:p>
          <w:p w14:paraId="7DE2144A">
            <w:pPr>
              <w:keepNext w:val="0"/>
              <w:keepLines w:val="0"/>
              <w:pageBreakBefore w:val="0"/>
              <w:kinsoku/>
              <w:wordWrap/>
              <w:overflowPunct/>
              <w:topLinePunct/>
              <w:autoSpaceDE/>
              <w:autoSpaceDN/>
              <w:bidi w:val="0"/>
              <w:adjustRightInd/>
              <w:snapToGrid/>
              <w:spacing w:line="360" w:lineRule="auto"/>
              <w:jc w:val="left"/>
              <w:textAlignment w:val="auto"/>
              <w:rPr>
                <w:rFonts w:hint="eastAsia" w:ascii="宋体" w:hAnsi="宋体" w:eastAsia="宋体" w:cs="宋体"/>
                <w:bCs/>
                <w:color w:val="auto"/>
                <w:sz w:val="21"/>
                <w:szCs w:val="21"/>
              </w:rPr>
            </w:pPr>
            <w:r>
              <w:rPr>
                <w:rFonts w:hint="eastAsia" w:ascii="宋体" w:hAnsi="宋体" w:eastAsia="宋体" w:cs="宋体"/>
                <w:color w:val="auto"/>
                <w:sz w:val="21"/>
                <w:szCs w:val="21"/>
                <w:lang w:bidi="ar"/>
              </w:rPr>
              <w:t>4、</w:t>
            </w:r>
            <w:r>
              <w:rPr>
                <w:rFonts w:hint="eastAsia" w:ascii="宋体" w:hAnsi="宋体" w:eastAsia="宋体" w:cs="宋体"/>
                <w:bCs/>
                <w:color w:val="auto"/>
                <w:sz w:val="21"/>
                <w:szCs w:val="21"/>
                <w:lang w:bidi="ar"/>
              </w:rPr>
              <w:t>维保期内，</w:t>
            </w:r>
            <w:r>
              <w:rPr>
                <w:rFonts w:hint="eastAsia" w:ascii="宋体" w:hAnsi="宋体" w:eastAsia="宋体" w:cs="宋体"/>
                <w:bCs/>
                <w:color w:val="auto"/>
                <w:sz w:val="21"/>
                <w:szCs w:val="21"/>
                <w:lang w:eastAsia="zh-CN" w:bidi="ar"/>
              </w:rPr>
              <w:t>中标人</w:t>
            </w:r>
            <w:r>
              <w:rPr>
                <w:rFonts w:hint="eastAsia" w:ascii="宋体" w:hAnsi="宋体" w:eastAsia="宋体" w:cs="宋体"/>
                <w:bCs/>
                <w:color w:val="auto"/>
                <w:sz w:val="21"/>
                <w:szCs w:val="21"/>
                <w:lang w:bidi="ar"/>
              </w:rPr>
              <w:t>应确保设备年开机率在</w:t>
            </w:r>
            <w:r>
              <w:rPr>
                <w:rFonts w:hint="eastAsia" w:ascii="宋体" w:hAnsi="宋体" w:eastAsia="宋体" w:cs="宋体"/>
                <w:bCs/>
                <w:color w:val="auto"/>
                <w:sz w:val="21"/>
                <w:szCs w:val="21"/>
                <w:u w:val="single"/>
                <w:lang w:bidi="ar"/>
              </w:rPr>
              <w:t xml:space="preserve"> 98% </w:t>
            </w:r>
            <w:r>
              <w:rPr>
                <w:rFonts w:hint="eastAsia" w:ascii="宋体" w:hAnsi="宋体" w:eastAsia="宋体" w:cs="宋体"/>
                <w:bCs/>
                <w:color w:val="auto"/>
                <w:sz w:val="21"/>
                <w:szCs w:val="21"/>
                <w:lang w:bidi="ar"/>
              </w:rPr>
              <w:t>以上（含98），若达不到此开机率，将作以下处理：年开机率在</w:t>
            </w:r>
            <w:r>
              <w:rPr>
                <w:rFonts w:hint="eastAsia" w:ascii="宋体" w:hAnsi="宋体" w:eastAsia="宋体" w:cs="宋体"/>
                <w:bCs/>
                <w:color w:val="auto"/>
                <w:sz w:val="21"/>
                <w:szCs w:val="21"/>
                <w:u w:val="single"/>
                <w:lang w:bidi="ar"/>
              </w:rPr>
              <w:t xml:space="preserve"> 90%-98% </w:t>
            </w:r>
            <w:r>
              <w:rPr>
                <w:rFonts w:hint="eastAsia" w:ascii="宋体" w:hAnsi="宋体" w:eastAsia="宋体" w:cs="宋体"/>
                <w:bCs/>
                <w:color w:val="auto"/>
                <w:sz w:val="21"/>
                <w:szCs w:val="21"/>
                <w:lang w:bidi="ar"/>
              </w:rPr>
              <w:t>之间（含90），赔</w:t>
            </w:r>
            <w:r>
              <w:rPr>
                <w:rFonts w:hint="eastAsia" w:ascii="宋体" w:hAnsi="宋体" w:eastAsia="宋体" w:cs="宋体"/>
                <w:bCs/>
                <w:color w:val="auto"/>
                <w:sz w:val="21"/>
                <w:szCs w:val="21"/>
                <w:u w:val="single"/>
                <w:lang w:bidi="ar"/>
              </w:rPr>
              <w:t xml:space="preserve"> 壹 </w:t>
            </w:r>
            <w:r>
              <w:rPr>
                <w:rFonts w:hint="eastAsia" w:ascii="宋体" w:hAnsi="宋体" w:eastAsia="宋体" w:cs="宋体"/>
                <w:bCs/>
                <w:color w:val="auto"/>
                <w:sz w:val="21"/>
                <w:szCs w:val="21"/>
                <w:lang w:bidi="ar"/>
              </w:rPr>
              <w:t>年延长维保期；年开机率在</w:t>
            </w:r>
            <w:r>
              <w:rPr>
                <w:rFonts w:hint="eastAsia" w:ascii="宋体" w:hAnsi="宋体" w:eastAsia="宋体" w:cs="宋体"/>
                <w:bCs/>
                <w:color w:val="auto"/>
                <w:sz w:val="21"/>
                <w:szCs w:val="21"/>
                <w:u w:val="single"/>
                <w:lang w:bidi="ar"/>
              </w:rPr>
              <w:t xml:space="preserve"> 85%-90% </w:t>
            </w:r>
            <w:r>
              <w:rPr>
                <w:rFonts w:hint="eastAsia" w:ascii="宋体" w:hAnsi="宋体" w:eastAsia="宋体" w:cs="宋体"/>
                <w:bCs/>
                <w:color w:val="auto"/>
                <w:sz w:val="21"/>
                <w:szCs w:val="21"/>
                <w:lang w:bidi="ar"/>
              </w:rPr>
              <w:t>之间（含85），赔</w:t>
            </w:r>
            <w:r>
              <w:rPr>
                <w:rFonts w:hint="eastAsia" w:ascii="宋体" w:hAnsi="宋体" w:eastAsia="宋体" w:cs="宋体"/>
                <w:bCs/>
                <w:color w:val="auto"/>
                <w:sz w:val="21"/>
                <w:szCs w:val="21"/>
                <w:u w:val="single"/>
                <w:lang w:bidi="ar"/>
              </w:rPr>
              <w:t xml:space="preserve"> 贰 </w:t>
            </w:r>
            <w:r>
              <w:rPr>
                <w:rFonts w:hint="eastAsia" w:ascii="宋体" w:hAnsi="宋体" w:eastAsia="宋体" w:cs="宋体"/>
                <w:bCs/>
                <w:color w:val="auto"/>
                <w:sz w:val="21"/>
                <w:szCs w:val="21"/>
                <w:lang w:bidi="ar"/>
              </w:rPr>
              <w:t>年延长维保期；年开机率低于</w:t>
            </w:r>
            <w:r>
              <w:rPr>
                <w:rFonts w:hint="eastAsia" w:ascii="宋体" w:hAnsi="宋体" w:eastAsia="宋体" w:cs="宋体"/>
                <w:bCs/>
                <w:color w:val="auto"/>
                <w:sz w:val="21"/>
                <w:szCs w:val="21"/>
                <w:u w:val="single"/>
                <w:lang w:bidi="ar"/>
              </w:rPr>
              <w:t xml:space="preserve"> 85% </w:t>
            </w:r>
            <w:r>
              <w:rPr>
                <w:rFonts w:hint="eastAsia" w:ascii="宋体" w:hAnsi="宋体" w:eastAsia="宋体" w:cs="宋体"/>
                <w:bCs/>
                <w:color w:val="auto"/>
                <w:sz w:val="21"/>
                <w:szCs w:val="21"/>
                <w:lang w:bidi="ar"/>
              </w:rPr>
              <w:t>，</w:t>
            </w:r>
            <w:r>
              <w:rPr>
                <w:rFonts w:hint="eastAsia" w:ascii="宋体" w:hAnsi="宋体" w:eastAsia="宋体" w:cs="宋体"/>
                <w:bCs/>
                <w:color w:val="auto"/>
                <w:sz w:val="21"/>
                <w:szCs w:val="21"/>
                <w:lang w:eastAsia="zh-CN" w:bidi="ar"/>
              </w:rPr>
              <w:t>中标人</w:t>
            </w:r>
            <w:r>
              <w:rPr>
                <w:rFonts w:hint="eastAsia" w:ascii="宋体" w:hAnsi="宋体" w:eastAsia="宋体" w:cs="宋体"/>
                <w:bCs/>
                <w:color w:val="auto"/>
                <w:sz w:val="21"/>
                <w:szCs w:val="21"/>
                <w:lang w:bidi="ar"/>
              </w:rPr>
              <w:t>必须无条件更换新设备，并重新计算新设备的维保期，以及赔偿</w:t>
            </w:r>
            <w:r>
              <w:rPr>
                <w:rFonts w:hint="eastAsia" w:ascii="宋体" w:hAnsi="宋体" w:eastAsia="宋体" w:cs="宋体"/>
                <w:bCs/>
                <w:color w:val="auto"/>
                <w:sz w:val="21"/>
                <w:szCs w:val="21"/>
                <w:lang w:eastAsia="zh-CN" w:bidi="ar"/>
              </w:rPr>
              <w:t>采购人</w:t>
            </w:r>
            <w:r>
              <w:rPr>
                <w:rFonts w:hint="eastAsia" w:ascii="宋体" w:hAnsi="宋体" w:eastAsia="宋体" w:cs="宋体"/>
                <w:bCs/>
                <w:color w:val="auto"/>
                <w:sz w:val="21"/>
                <w:szCs w:val="21"/>
                <w:lang w:bidi="ar"/>
              </w:rPr>
              <w:t>的直接经济损失和间接经济损失。【注：年开机率=（365-停机天数）/365】</w:t>
            </w:r>
          </w:p>
          <w:p w14:paraId="39AF3F0A">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bidi="ar"/>
              </w:rPr>
              <w:t>5、</w:t>
            </w:r>
            <w:r>
              <w:rPr>
                <w:rFonts w:hint="eastAsia" w:ascii="宋体" w:hAnsi="宋体" w:eastAsia="宋体" w:cs="宋体"/>
                <w:color w:val="auto"/>
                <w:sz w:val="21"/>
                <w:szCs w:val="21"/>
              </w:rPr>
              <w:t>中标后签订合同前</w:t>
            </w:r>
            <w:r>
              <w:rPr>
                <w:rFonts w:hint="eastAsia" w:ascii="宋体" w:hAnsi="宋体" w:eastAsia="宋体" w:cs="宋体"/>
                <w:color w:val="auto"/>
                <w:sz w:val="21"/>
                <w:szCs w:val="21"/>
                <w:lang w:bidi="ar"/>
              </w:rPr>
              <w:t>提供工程师电话和技术维修力量情况和维修的详细地址及联系方式。</w:t>
            </w:r>
          </w:p>
          <w:p w14:paraId="259C0B9E">
            <w:pPr>
              <w:keepNext w:val="0"/>
              <w:keepLines w:val="0"/>
              <w:pageBreakBefore w:val="0"/>
              <w:tabs>
                <w:tab w:val="left" w:pos="425"/>
              </w:tabs>
              <w:kinsoku/>
              <w:wordWrap/>
              <w:overflowPunct/>
              <w:autoSpaceDE/>
              <w:autoSpaceDN/>
              <w:bidi w:val="0"/>
              <w:adjustRightInd/>
              <w:snapToGrid/>
              <w:spacing w:line="360" w:lineRule="auto"/>
              <w:textAlignment w:val="auto"/>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6、中标人免费负责安装、调试、免费提供技术咨询、软件升级及人员培训，以保证买方工作人员掌握设备各种使用操作。人员培训需提供≥2次（每次一周）的免费操作培训。</w:t>
            </w:r>
          </w:p>
          <w:p w14:paraId="7C06D1F5">
            <w:pPr>
              <w:keepNext w:val="0"/>
              <w:keepLines w:val="0"/>
              <w:pageBreakBefore w:val="0"/>
              <w:tabs>
                <w:tab w:val="left" w:pos="425"/>
              </w:tabs>
              <w:kinsoku/>
              <w:wordWrap/>
              <w:overflowPunct/>
              <w:autoSpaceDE/>
              <w:autoSpaceDN/>
              <w:bidi w:val="0"/>
              <w:adjustRightInd/>
              <w:snapToGrid/>
              <w:spacing w:line="360" w:lineRule="auto"/>
              <w:textAlignment w:val="auto"/>
              <w:rPr>
                <w:rFonts w:hint="eastAsia" w:ascii="宋体" w:hAnsi="宋体" w:eastAsia="宋体" w:cs="宋体"/>
                <w:color w:val="auto"/>
                <w:sz w:val="21"/>
                <w:szCs w:val="21"/>
                <w:lang w:bidi="ar"/>
              </w:rPr>
            </w:pPr>
            <w:r>
              <w:rPr>
                <w:rFonts w:hint="eastAsia" w:ascii="宋体" w:hAnsi="宋体" w:eastAsia="宋体" w:cs="宋体"/>
                <w:color w:val="auto"/>
                <w:sz w:val="21"/>
                <w:szCs w:val="21"/>
                <w:lang w:bidi="ar"/>
              </w:rPr>
              <w:t>7、保证设备维修和配件的供应。备件送达期限国内≤2天，国外≤4天，设备停产后的备件供应≥10年。</w:t>
            </w:r>
          </w:p>
          <w:p w14:paraId="708FFAFC">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bidi="ar"/>
              </w:rPr>
              <w:t>8、场地迁移，需要移机时，中标人需免费迁移并提供技术支持，且确保机器的正常使用。</w:t>
            </w:r>
          </w:p>
        </w:tc>
      </w:tr>
      <w:tr w14:paraId="0BAE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8" w:type="dxa"/>
            <w:tcBorders>
              <w:top w:val="single" w:color="auto" w:sz="4" w:space="0"/>
              <w:left w:val="single" w:color="auto" w:sz="4" w:space="0"/>
              <w:bottom w:val="single" w:color="auto" w:sz="4" w:space="0"/>
              <w:right w:val="single" w:color="auto" w:sz="4" w:space="0"/>
            </w:tcBorders>
            <w:noWrap w:val="0"/>
            <w:vAlign w:val="center"/>
          </w:tcPr>
          <w:p w14:paraId="3D0172B8">
            <w:pPr>
              <w:keepNext/>
              <w:widowControl/>
              <w:snapToGrid w:val="0"/>
              <w:spacing w:line="240" w:lineRule="auto"/>
              <w:ind w:left="0" w:leftChars="0" w:right="0" w:rightChars="0" w:firstLine="0" w:firstLineChars="0"/>
              <w:jc w:val="center"/>
              <w:rPr>
                <w:rFonts w:hint="eastAsia"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lang w:val="en-US" w:eastAsia="zh-CN"/>
                <w14:textFill>
                  <w14:solidFill>
                    <w14:schemeClr w14:val="tx1"/>
                  </w14:solidFill>
                </w14:textFill>
              </w:rPr>
              <w:t>8</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17243EB3">
            <w:pPr>
              <w:widowControl/>
              <w:spacing w:line="360" w:lineRule="exact"/>
              <w:jc w:val="center"/>
              <w:rPr>
                <w:rFonts w:hint="eastAsia" w:ascii="宋体" w:hAnsi="宋体" w:eastAsia="宋体" w:cs="宋体"/>
                <w:b/>
                <w:color w:val="auto"/>
                <w:kern w:val="2"/>
                <w:sz w:val="21"/>
                <w:szCs w:val="22"/>
                <w:lang w:val="en-US" w:eastAsia="zh-CN" w:bidi="ar"/>
              </w:rPr>
            </w:pPr>
            <w:r>
              <w:rPr>
                <w:rFonts w:hint="eastAsia" w:ascii="宋体" w:hAnsi="宋体"/>
                <w:b/>
                <w:color w:val="auto"/>
                <w:sz w:val="20"/>
                <w:szCs w:val="20"/>
              </w:rPr>
              <w:t>违约责任</w:t>
            </w:r>
          </w:p>
        </w:tc>
        <w:tc>
          <w:tcPr>
            <w:tcW w:w="5908" w:type="dxa"/>
            <w:tcBorders>
              <w:top w:val="single" w:color="auto" w:sz="4" w:space="0"/>
              <w:left w:val="nil"/>
              <w:bottom w:val="single" w:color="auto" w:sz="4" w:space="0"/>
              <w:right w:val="single" w:color="auto" w:sz="4" w:space="0"/>
            </w:tcBorders>
            <w:shd w:val="clear" w:color="auto" w:fill="auto"/>
            <w:noWrap w:val="0"/>
            <w:vAlign w:val="top"/>
          </w:tcPr>
          <w:p w14:paraId="177BDDAC">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未按照约定时间交付货物的，每逾期一天，采购人有权要求中标人延长两天的维保服务期限；逾期超过90日历日的，采购人有权单方解除合同并要求中标人承担合同总金额</w:t>
            </w:r>
            <w:r>
              <w:rPr>
                <w:rFonts w:hint="eastAsia" w:ascii="宋体" w:hAnsi="宋体" w:eastAsia="宋体" w:cs="宋体"/>
                <w:color w:val="auto"/>
                <w:kern w:val="0"/>
                <w:sz w:val="21"/>
                <w:szCs w:val="21"/>
                <w:lang w:val="en-US" w:eastAsia="zh-CN"/>
              </w:rPr>
              <w:t>20</w:t>
            </w:r>
            <w:r>
              <w:rPr>
                <w:rFonts w:hint="eastAsia" w:ascii="宋体" w:hAnsi="宋体" w:eastAsia="宋体" w:cs="宋体"/>
                <w:color w:val="auto"/>
                <w:kern w:val="0"/>
                <w:sz w:val="21"/>
                <w:szCs w:val="21"/>
              </w:rPr>
              <w:t>%的违约金。如违约金不足以赔偿因交货延迟给</w:t>
            </w:r>
            <w:r>
              <w:rPr>
                <w:rFonts w:hint="eastAsia" w:ascii="宋体" w:hAnsi="宋体" w:eastAsia="宋体" w:cs="宋体"/>
                <w:color w:val="auto"/>
                <w:kern w:val="0"/>
                <w:sz w:val="21"/>
                <w:szCs w:val="21"/>
                <w:lang w:eastAsia="zh-CN"/>
              </w:rPr>
              <w:t>采购人</w:t>
            </w:r>
            <w:r>
              <w:rPr>
                <w:rFonts w:hint="eastAsia" w:ascii="宋体" w:hAnsi="宋体" w:eastAsia="宋体" w:cs="宋体"/>
                <w:color w:val="auto"/>
                <w:kern w:val="0"/>
                <w:sz w:val="21"/>
                <w:szCs w:val="21"/>
              </w:rPr>
              <w:t>造成的损失，</w:t>
            </w:r>
            <w:r>
              <w:rPr>
                <w:rFonts w:hint="eastAsia" w:ascii="宋体" w:hAnsi="宋体" w:eastAsia="宋体" w:cs="宋体"/>
                <w:color w:val="auto"/>
                <w:kern w:val="0"/>
                <w:sz w:val="21"/>
                <w:szCs w:val="21"/>
                <w:lang w:eastAsia="zh-CN"/>
              </w:rPr>
              <w:t>中标人</w:t>
            </w:r>
            <w:r>
              <w:rPr>
                <w:rFonts w:hint="eastAsia" w:ascii="宋体" w:hAnsi="宋体" w:eastAsia="宋体" w:cs="宋体"/>
                <w:color w:val="auto"/>
                <w:kern w:val="0"/>
                <w:sz w:val="21"/>
                <w:szCs w:val="21"/>
              </w:rPr>
              <w:t>还应继续承担相应的赔偿责任。</w:t>
            </w:r>
          </w:p>
          <w:p w14:paraId="640B8E44">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中标人逾期交货的，应当承担继续履行、采取补救措施或者赔偿损失等违约责任</w:t>
            </w:r>
            <w:r>
              <w:rPr>
                <w:rFonts w:hint="eastAsia" w:ascii="宋体" w:hAnsi="宋体" w:eastAsia="宋体" w:cs="宋体"/>
                <w:color w:val="auto"/>
                <w:sz w:val="21"/>
                <w:szCs w:val="21"/>
                <w:lang w:val="en-US" w:eastAsia="zh-CN"/>
              </w:rPr>
              <w:t>.</w:t>
            </w:r>
          </w:p>
          <w:p w14:paraId="6DBD635B">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中标人所交付产品、工程或服务不符合其投标承诺的，或在投标阶段为了中标而盲目虚假承诺、低价恶性竞争，在履约阶段则通过偷工减料、以次充好而获取利润的，</w:t>
            </w:r>
            <w:r>
              <w:rPr>
                <w:rFonts w:hint="eastAsia" w:ascii="宋体" w:hAnsi="宋体" w:eastAsia="宋体" w:cs="宋体"/>
                <w:color w:val="auto"/>
                <w:sz w:val="21"/>
                <w:szCs w:val="21"/>
                <w:lang w:val="en-US" w:eastAsia="zh-CN"/>
              </w:rPr>
              <w:t>采购人</w:t>
            </w:r>
            <w:r>
              <w:rPr>
                <w:rFonts w:hint="eastAsia" w:ascii="宋体" w:hAnsi="宋体" w:eastAsia="宋体" w:cs="宋体"/>
                <w:color w:val="auto"/>
                <w:sz w:val="21"/>
                <w:szCs w:val="21"/>
              </w:rPr>
              <w:t>将根据标的的性质以及损失的大小，可以合理选择要求</w:t>
            </w:r>
            <w:r>
              <w:rPr>
                <w:rFonts w:hint="eastAsia" w:ascii="宋体" w:hAnsi="宋体" w:eastAsia="宋体" w:cs="宋体"/>
                <w:color w:val="auto"/>
                <w:sz w:val="21"/>
                <w:szCs w:val="21"/>
                <w:lang w:val="en-US" w:eastAsia="zh-CN"/>
              </w:rPr>
              <w:t>中标人</w:t>
            </w:r>
            <w:r>
              <w:rPr>
                <w:rFonts w:hint="eastAsia" w:ascii="宋体" w:hAnsi="宋体" w:eastAsia="宋体" w:cs="宋体"/>
                <w:color w:val="auto"/>
                <w:sz w:val="21"/>
                <w:szCs w:val="21"/>
              </w:rPr>
              <w:t>承担修理、更换、重作、退货、减少价款或者报酬等违约责任。</w:t>
            </w:r>
          </w:p>
        </w:tc>
      </w:tr>
      <w:tr w14:paraId="7686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8" w:type="dxa"/>
            <w:tcBorders>
              <w:top w:val="single" w:color="auto" w:sz="4" w:space="0"/>
              <w:left w:val="single" w:color="auto" w:sz="4" w:space="0"/>
              <w:bottom w:val="single" w:color="auto" w:sz="4" w:space="0"/>
              <w:right w:val="single" w:color="auto" w:sz="4" w:space="0"/>
            </w:tcBorders>
            <w:noWrap w:val="0"/>
            <w:vAlign w:val="center"/>
          </w:tcPr>
          <w:p w14:paraId="26DA5801">
            <w:pPr>
              <w:keepNext/>
              <w:widowControl/>
              <w:snapToGrid w:val="0"/>
              <w:spacing w:line="240" w:lineRule="auto"/>
              <w:ind w:left="0" w:leftChars="0" w:right="0" w:rightChars="0" w:firstLine="0" w:firstLineChars="0"/>
              <w:jc w:val="center"/>
              <w:rPr>
                <w:rFonts w:hint="eastAsia" w:ascii="宋体" w:hAnsi="宋体" w:eastAsia="宋体" w:cs="宋体"/>
                <w:b/>
                <w:bCs w:val="0"/>
                <w:color w:val="000000" w:themeColor="text1"/>
                <w:sz w:val="21"/>
                <w:szCs w:val="21"/>
                <w:lang w:val="en-US" w:eastAsia="zh-CN"/>
                <w14:textFill>
                  <w14:solidFill>
                    <w14:schemeClr w14:val="tx1"/>
                  </w14:solidFill>
                </w14:textFill>
              </w:rPr>
            </w:pPr>
            <w:r>
              <w:rPr>
                <w:rFonts w:hint="eastAsia" w:ascii="宋体" w:hAnsi="宋体" w:eastAsia="宋体" w:cs="宋体"/>
                <w:b/>
                <w:bCs w:val="0"/>
                <w:color w:val="000000" w:themeColor="text1"/>
                <w:sz w:val="21"/>
                <w:szCs w:val="21"/>
                <w:lang w:val="en-US" w:eastAsia="zh-CN"/>
                <w14:textFill>
                  <w14:solidFill>
                    <w14:schemeClr w14:val="tx1"/>
                  </w14:solidFill>
                </w14:textFill>
              </w:rPr>
              <w:t>9</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31193DB2">
            <w:pPr>
              <w:widowControl/>
              <w:spacing w:line="360" w:lineRule="exact"/>
              <w:jc w:val="center"/>
              <w:rPr>
                <w:rFonts w:hint="eastAsia" w:ascii="宋体" w:hAnsi="宋体" w:eastAsia="宋体" w:cs="宋体"/>
                <w:b/>
                <w:color w:val="auto"/>
                <w:kern w:val="2"/>
                <w:sz w:val="21"/>
                <w:szCs w:val="22"/>
                <w:lang w:val="en-US" w:eastAsia="zh-CN" w:bidi="ar"/>
              </w:rPr>
            </w:pPr>
            <w:r>
              <w:rPr>
                <w:rFonts w:hint="eastAsia" w:ascii="宋体" w:hAnsi="宋体" w:cs="宋体"/>
                <w:b/>
                <w:bCs w:val="0"/>
                <w:color w:val="auto"/>
                <w:sz w:val="20"/>
                <w:szCs w:val="20"/>
              </w:rPr>
              <w:t>争议解决方法</w:t>
            </w:r>
          </w:p>
        </w:tc>
        <w:tc>
          <w:tcPr>
            <w:tcW w:w="5908" w:type="dxa"/>
            <w:tcBorders>
              <w:top w:val="single" w:color="auto" w:sz="4" w:space="0"/>
              <w:left w:val="nil"/>
              <w:bottom w:val="single" w:color="auto" w:sz="4" w:space="0"/>
              <w:right w:val="single" w:color="auto" w:sz="4" w:space="0"/>
            </w:tcBorders>
            <w:shd w:val="clear" w:color="auto" w:fill="auto"/>
            <w:noWrap w:val="0"/>
            <w:vAlign w:val="top"/>
          </w:tcPr>
          <w:p w14:paraId="0FCCB443">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若</w:t>
            </w:r>
            <w:r>
              <w:rPr>
                <w:rFonts w:hint="eastAsia" w:ascii="宋体" w:hAnsi="宋体" w:eastAsia="宋体" w:cs="宋体"/>
                <w:color w:val="auto"/>
                <w:sz w:val="21"/>
                <w:szCs w:val="21"/>
                <w:lang w:val="en-US" w:eastAsia="zh-CN"/>
              </w:rPr>
              <w:t>项目</w:t>
            </w:r>
            <w:r>
              <w:rPr>
                <w:rFonts w:hint="eastAsia" w:ascii="宋体" w:hAnsi="宋体" w:eastAsia="宋体" w:cs="宋体"/>
                <w:color w:val="auto"/>
                <w:sz w:val="21"/>
                <w:szCs w:val="21"/>
              </w:rPr>
              <w:t>在履行过程中发生争议，由双方协商解决。协商不成，双方均可向深圳市宝安区人民法院提起诉讼。</w:t>
            </w:r>
          </w:p>
        </w:tc>
      </w:tr>
      <w:tr w14:paraId="0B90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8" w:type="dxa"/>
            <w:tcBorders>
              <w:top w:val="single" w:color="auto" w:sz="4" w:space="0"/>
              <w:left w:val="single" w:color="auto" w:sz="4" w:space="0"/>
              <w:bottom w:val="single" w:color="auto" w:sz="4" w:space="0"/>
              <w:right w:val="single" w:color="auto" w:sz="4" w:space="0"/>
            </w:tcBorders>
            <w:noWrap w:val="0"/>
            <w:vAlign w:val="center"/>
          </w:tcPr>
          <w:p w14:paraId="6A22DB26">
            <w:pPr>
              <w:keepNext/>
              <w:widowControl/>
              <w:snapToGrid w:val="0"/>
              <w:spacing w:line="240" w:lineRule="auto"/>
              <w:ind w:left="0" w:leftChars="0" w:right="0" w:rightChars="0" w:firstLine="0" w:firstLineChars="0"/>
              <w:jc w:val="center"/>
              <w:rPr>
                <w:rFonts w:hint="eastAsia"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lang w:val="en-US" w:eastAsia="zh-CN"/>
                <w14:textFill>
                  <w14:solidFill>
                    <w14:schemeClr w14:val="tx1"/>
                  </w14:solidFill>
                </w14:textFill>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74AFEB5D">
            <w:pPr>
              <w:widowControl/>
              <w:spacing w:line="360" w:lineRule="exact"/>
              <w:jc w:val="center"/>
              <w:rPr>
                <w:rFonts w:hint="eastAsia" w:ascii="宋体" w:hAnsi="宋体" w:eastAsia="宋体" w:cs="宋体"/>
                <w:b/>
                <w:bCs w:val="0"/>
                <w:color w:val="auto"/>
                <w:kern w:val="2"/>
                <w:sz w:val="20"/>
                <w:szCs w:val="20"/>
                <w:lang w:val="en-US" w:eastAsia="zh-CN" w:bidi="ar-SA"/>
              </w:rPr>
            </w:pPr>
            <w:r>
              <w:rPr>
                <w:rFonts w:ascii="宋体" w:hAnsi="宋体"/>
                <w:b/>
                <w:color w:val="auto"/>
                <w:sz w:val="20"/>
                <w:szCs w:val="20"/>
              </w:rPr>
              <w:t>知识产权</w:t>
            </w:r>
          </w:p>
        </w:tc>
        <w:tc>
          <w:tcPr>
            <w:tcW w:w="5908" w:type="dxa"/>
            <w:tcBorders>
              <w:top w:val="single" w:color="auto" w:sz="4" w:space="0"/>
              <w:left w:val="nil"/>
              <w:bottom w:val="single" w:color="auto" w:sz="4" w:space="0"/>
              <w:right w:val="single" w:color="auto" w:sz="4" w:space="0"/>
            </w:tcBorders>
            <w:shd w:val="clear" w:color="auto" w:fill="auto"/>
            <w:noWrap w:val="0"/>
            <w:vAlign w:val="top"/>
          </w:tcPr>
          <w:p w14:paraId="38749E79">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涉及采购标的的知识产权归属、处理的，</w:t>
            </w:r>
            <w:r>
              <w:rPr>
                <w:rFonts w:hint="eastAsia" w:ascii="宋体" w:hAnsi="宋体" w:eastAsia="宋体" w:cs="宋体"/>
                <w:color w:val="auto"/>
                <w:sz w:val="21"/>
                <w:szCs w:val="21"/>
                <w:lang w:val="en-US" w:eastAsia="zh-CN"/>
              </w:rPr>
              <w:t>应</w:t>
            </w:r>
            <w:r>
              <w:rPr>
                <w:rFonts w:hint="eastAsia" w:ascii="宋体" w:hAnsi="宋体" w:eastAsia="宋体" w:cs="宋体"/>
                <w:color w:val="auto"/>
                <w:sz w:val="21"/>
                <w:szCs w:val="21"/>
              </w:rPr>
              <w:t>约定知识产权的归属和处理方式。</w:t>
            </w:r>
          </w:p>
          <w:p w14:paraId="1AC00CED">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采购人购买产品后，有权对该产品与其他设备进行配套、整合或适当改进，而免受侵犯专利权的起诉。</w:t>
            </w:r>
          </w:p>
        </w:tc>
      </w:tr>
      <w:tr w14:paraId="1AC6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8" w:type="dxa"/>
            <w:tcBorders>
              <w:top w:val="single" w:color="auto" w:sz="4" w:space="0"/>
              <w:left w:val="single" w:color="auto" w:sz="4" w:space="0"/>
              <w:bottom w:val="single" w:color="auto" w:sz="4" w:space="0"/>
              <w:right w:val="single" w:color="auto" w:sz="4" w:space="0"/>
            </w:tcBorders>
            <w:noWrap w:val="0"/>
            <w:vAlign w:val="center"/>
          </w:tcPr>
          <w:p w14:paraId="0CF82BD4">
            <w:pPr>
              <w:keepNext/>
              <w:widowControl/>
              <w:snapToGrid w:val="0"/>
              <w:spacing w:line="240" w:lineRule="auto"/>
              <w:ind w:left="0" w:leftChars="0" w:right="0" w:rightChars="0" w:firstLine="0" w:firstLineChars="0"/>
              <w:jc w:val="center"/>
              <w:rPr>
                <w:rFonts w:hint="eastAsia" w:ascii="宋体" w:hAnsi="宋体" w:eastAsia="宋体" w:cs="宋体"/>
                <w:b/>
                <w:color w:val="000000" w:themeColor="text1"/>
                <w:sz w:val="21"/>
                <w:szCs w:val="21"/>
                <w:lang w:val="en-US" w:eastAsia="zh-CN" w:bidi="ar"/>
                <w14:textFill>
                  <w14:solidFill>
                    <w14:schemeClr w14:val="tx1"/>
                  </w14:solidFill>
                </w14:textFill>
              </w:rPr>
            </w:pPr>
            <w:r>
              <w:rPr>
                <w:rFonts w:hint="eastAsia" w:ascii="宋体" w:hAnsi="宋体" w:eastAsia="宋体" w:cs="宋体"/>
                <w:b/>
                <w:color w:val="000000" w:themeColor="text1"/>
                <w:sz w:val="21"/>
                <w:szCs w:val="21"/>
                <w:lang w:val="en-US" w:eastAsia="zh-CN" w:bidi="ar"/>
                <w14:textFill>
                  <w14:solidFill>
                    <w14:schemeClr w14:val="tx1"/>
                  </w14:solidFill>
                </w14:textFill>
              </w:rPr>
              <w:t>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3BFE125A">
            <w:pPr>
              <w:widowControl/>
              <w:spacing w:line="360" w:lineRule="exact"/>
              <w:jc w:val="center"/>
              <w:rPr>
                <w:rFonts w:hint="eastAsia" w:ascii="宋体" w:hAnsi="宋体" w:eastAsia="宋体" w:cs="宋体"/>
                <w:b/>
                <w:bCs/>
                <w:color w:val="auto"/>
                <w:kern w:val="2"/>
                <w:sz w:val="21"/>
                <w:szCs w:val="21"/>
                <w:lang w:val="en-US" w:eastAsia="zh-CN" w:bidi="ar-SA"/>
              </w:rPr>
            </w:pPr>
            <w:r>
              <w:rPr>
                <w:rFonts w:hint="eastAsia" w:ascii="宋体" w:hAnsi="宋体" w:cs="宋体"/>
                <w:b/>
                <w:color w:val="auto"/>
                <w:szCs w:val="22"/>
                <w:lang w:bidi="ar"/>
              </w:rPr>
              <w:t>其他要求</w:t>
            </w:r>
          </w:p>
        </w:tc>
        <w:tc>
          <w:tcPr>
            <w:tcW w:w="5908" w:type="dxa"/>
            <w:tcBorders>
              <w:top w:val="single" w:color="auto" w:sz="4" w:space="0"/>
              <w:left w:val="nil"/>
              <w:bottom w:val="single" w:color="auto" w:sz="4" w:space="0"/>
              <w:right w:val="single" w:color="auto" w:sz="4" w:space="0"/>
            </w:tcBorders>
            <w:shd w:val="clear" w:color="auto" w:fill="auto"/>
            <w:noWrap w:val="0"/>
            <w:vAlign w:val="top"/>
          </w:tcPr>
          <w:p w14:paraId="02A46CA6">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bidi="ar"/>
              </w:rPr>
              <w:t>1、本项目中如有涉及水、电、气设备安装及调试、室外高空作业等项目的中标人承诺使用具有国家认可资质的操作人员（资质证书仍在有效期内）实施，否则由此造成的后果由中标人负责。</w:t>
            </w:r>
            <w:r>
              <w:rPr>
                <w:rFonts w:hint="eastAsia" w:ascii="宋体" w:hAnsi="宋体" w:eastAsia="宋体" w:cs="宋体"/>
                <w:bCs/>
                <w:color w:val="auto"/>
                <w:sz w:val="21"/>
                <w:szCs w:val="21"/>
                <w:lang w:eastAsia="zh-CN" w:bidi="ar"/>
              </w:rPr>
              <w:t>（</w:t>
            </w:r>
            <w:r>
              <w:rPr>
                <w:rFonts w:hint="eastAsia" w:ascii="宋体" w:hAnsi="宋体" w:eastAsia="宋体" w:cs="宋体"/>
                <w:bCs/>
                <w:color w:val="auto"/>
                <w:sz w:val="21"/>
                <w:szCs w:val="21"/>
                <w:lang w:val="en-US" w:eastAsia="zh-CN" w:bidi="ar"/>
              </w:rPr>
              <w:t>提供承诺函，格式自拟</w:t>
            </w:r>
            <w:r>
              <w:rPr>
                <w:rFonts w:hint="eastAsia" w:ascii="宋体" w:hAnsi="宋体" w:eastAsia="宋体" w:cs="宋体"/>
                <w:bCs/>
                <w:color w:val="auto"/>
                <w:sz w:val="21"/>
                <w:szCs w:val="21"/>
                <w:lang w:eastAsia="zh-CN" w:bidi="ar"/>
              </w:rPr>
              <w:t>）</w:t>
            </w:r>
          </w:p>
          <w:p w14:paraId="022499D0">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lang w:bidi="ar"/>
              </w:rPr>
              <w:t>2、如所投产品受行业主管部门规定强制认证或检测或许可的（如3C认证或检测报告或工信部进网许可证等），中标人在签订合同前向采购单位提供相关认证证书或检测报告。</w:t>
            </w:r>
          </w:p>
          <w:p w14:paraId="4C0EE7D1">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lang w:bidi="ar"/>
              </w:rPr>
              <w:t>3、本项目所要求的硬件、软件、第三方产品等，中标人按要求配备给采购人，并保证采购人能正常使用，不需要另外增加其他附件和其他费用，否则不予验收。</w:t>
            </w:r>
          </w:p>
          <w:p w14:paraId="6FC70F5E">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b/>
                <w:bCs/>
                <w:color w:val="auto"/>
                <w:kern w:val="2"/>
                <w:sz w:val="21"/>
                <w:szCs w:val="21"/>
                <w:lang w:val="en-US" w:eastAsia="zh-CN" w:bidi="ar-SA"/>
              </w:rPr>
            </w:pPr>
            <w:r>
              <w:rPr>
                <w:rFonts w:hint="eastAsia" w:ascii="宋体" w:hAnsi="宋体" w:eastAsia="宋体" w:cs="宋体"/>
                <w:bCs/>
                <w:color w:val="auto"/>
                <w:sz w:val="21"/>
                <w:szCs w:val="21"/>
                <w:lang w:bidi="ar"/>
              </w:rPr>
              <w:t>4、</w:t>
            </w:r>
            <w:r>
              <w:rPr>
                <w:rFonts w:hint="eastAsia" w:ascii="宋体" w:hAnsi="宋体" w:eastAsia="宋体" w:cs="宋体"/>
                <w:bCs/>
                <w:color w:val="auto"/>
                <w:sz w:val="21"/>
                <w:szCs w:val="21"/>
                <w:lang w:val="en-US" w:eastAsia="zh-CN" w:bidi="ar"/>
              </w:rPr>
              <w:t>本项目如需对接信息系统，</w:t>
            </w:r>
            <w:r>
              <w:rPr>
                <w:rFonts w:hint="eastAsia" w:ascii="宋体" w:hAnsi="宋体" w:eastAsia="宋体" w:cs="宋体"/>
                <w:bCs/>
                <w:color w:val="auto"/>
                <w:sz w:val="21"/>
                <w:szCs w:val="21"/>
                <w:lang w:bidi="ar"/>
              </w:rPr>
              <w:t>中标人免费负责对接医院相关系统，包含但不限</w:t>
            </w:r>
            <w:r>
              <w:rPr>
                <w:rFonts w:hint="eastAsia" w:ascii="宋体" w:hAnsi="宋体" w:eastAsia="宋体" w:cs="宋体"/>
                <w:bCs/>
                <w:color w:val="auto"/>
                <w:sz w:val="21"/>
                <w:szCs w:val="21"/>
                <w:lang w:val="en-US" w:eastAsia="zh-CN" w:bidi="ar"/>
              </w:rPr>
              <w:t>于东华、蓝网、金蝶等系统，并</w:t>
            </w:r>
            <w:r>
              <w:rPr>
                <w:rFonts w:hint="eastAsia" w:ascii="宋体" w:hAnsi="宋体" w:eastAsia="宋体" w:cs="宋体"/>
                <w:color w:val="auto"/>
                <w:sz w:val="21"/>
                <w:szCs w:val="21"/>
              </w:rPr>
              <w:t>保证正常使用。</w:t>
            </w:r>
          </w:p>
        </w:tc>
      </w:tr>
      <w:tr w14:paraId="38F8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8" w:type="dxa"/>
            <w:tcBorders>
              <w:top w:val="single" w:color="auto" w:sz="4" w:space="0"/>
              <w:left w:val="single" w:color="auto" w:sz="4" w:space="0"/>
              <w:bottom w:val="single" w:color="auto" w:sz="4" w:space="0"/>
              <w:right w:val="single" w:color="auto" w:sz="4" w:space="0"/>
            </w:tcBorders>
            <w:noWrap w:val="0"/>
            <w:vAlign w:val="center"/>
          </w:tcPr>
          <w:p w14:paraId="554F645F">
            <w:pPr>
              <w:keepNext/>
              <w:widowControl/>
              <w:snapToGrid w:val="0"/>
              <w:spacing w:line="240" w:lineRule="auto"/>
              <w:ind w:left="0" w:leftChars="0" w:right="0" w:rightChars="0" w:firstLine="0" w:firstLineChars="0"/>
              <w:jc w:val="center"/>
              <w:rPr>
                <w:rFonts w:hint="eastAsia" w:ascii="宋体" w:hAnsi="宋体" w:eastAsia="宋体" w:cs="宋体"/>
                <w:b/>
                <w:color w:val="000000" w:themeColor="text1"/>
                <w:sz w:val="21"/>
                <w:szCs w:val="21"/>
                <w:lang w:val="en-US" w:eastAsia="zh-CN" w:bidi="ar"/>
                <w14:textFill>
                  <w14:solidFill>
                    <w14:schemeClr w14:val="tx1"/>
                  </w14:solidFill>
                </w14:textFill>
              </w:rPr>
            </w:pPr>
            <w:r>
              <w:rPr>
                <w:rFonts w:hint="eastAsia" w:ascii="宋体" w:hAnsi="宋体" w:eastAsia="宋体" w:cs="宋体"/>
                <w:b/>
                <w:color w:val="000000" w:themeColor="text1"/>
                <w:sz w:val="21"/>
                <w:szCs w:val="21"/>
                <w:lang w:val="en-US" w:eastAsia="zh-CN" w:bidi="ar"/>
                <w14:textFill>
                  <w14:solidFill>
                    <w14:schemeClr w14:val="tx1"/>
                  </w14:solidFill>
                </w14:textFill>
              </w:rPr>
              <w:t>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48A3CDF5">
            <w:pPr>
              <w:widowControl/>
              <w:spacing w:line="360" w:lineRule="exact"/>
              <w:jc w:val="center"/>
              <w:rPr>
                <w:rFonts w:hint="eastAsia" w:ascii="宋体" w:hAnsi="宋体" w:eastAsia="宋体" w:cs="宋体"/>
                <w:b/>
                <w:color w:val="auto"/>
                <w:kern w:val="2"/>
                <w:sz w:val="21"/>
                <w:szCs w:val="21"/>
                <w:lang w:val="en-US" w:eastAsia="zh-CN" w:bidi="ar-SA"/>
              </w:rPr>
            </w:pPr>
            <w:r>
              <w:rPr>
                <w:rFonts w:hint="eastAsia" w:ascii="宋体" w:hAnsi="宋体" w:cs="宋体"/>
                <w:b/>
                <w:color w:val="auto"/>
                <w:szCs w:val="22"/>
                <w:lang w:bidi="ar"/>
              </w:rPr>
              <w:t>培训要求</w:t>
            </w:r>
          </w:p>
        </w:tc>
        <w:tc>
          <w:tcPr>
            <w:tcW w:w="5908" w:type="dxa"/>
            <w:tcBorders>
              <w:top w:val="single" w:color="auto" w:sz="4" w:space="0"/>
              <w:left w:val="nil"/>
              <w:bottom w:val="single" w:color="auto" w:sz="4" w:space="0"/>
              <w:right w:val="single" w:color="auto" w:sz="4" w:space="0"/>
            </w:tcBorders>
            <w:shd w:val="clear" w:color="auto" w:fill="auto"/>
            <w:noWrap w:val="0"/>
            <w:vAlign w:val="top"/>
          </w:tcPr>
          <w:p w14:paraId="202BAAEB">
            <w:pPr>
              <w:keepNext w:val="0"/>
              <w:keepLines w:val="0"/>
              <w:pageBreakBefore w:val="0"/>
              <w:kinsoku/>
              <w:wordWrap/>
              <w:overflowPunct/>
              <w:autoSpaceDE/>
              <w:autoSpaceDN/>
              <w:bidi w:val="0"/>
              <w:adjustRightInd/>
              <w:snapToGrid/>
              <w:spacing w:line="360" w:lineRule="auto"/>
              <w:jc w:val="left"/>
              <w:textAlignment w:val="auto"/>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lang w:bidi="ar"/>
              </w:rPr>
              <w:t>1.投标人应派专业技术人员免费对采购单位指定人员进行定期培训及指导，直至其完全掌握设备的基本故障处理技术。</w:t>
            </w:r>
          </w:p>
          <w:p w14:paraId="6ED300CE">
            <w:pPr>
              <w:keepNext w:val="0"/>
              <w:keepLines w:val="0"/>
              <w:pageBreakBefore w:val="0"/>
              <w:kinsoku/>
              <w:wordWrap/>
              <w:overflowPunct/>
              <w:autoSpaceDE/>
              <w:autoSpaceDN/>
              <w:bidi w:val="0"/>
              <w:adjustRightInd/>
              <w:snapToGrid/>
              <w:spacing w:line="360" w:lineRule="auto"/>
              <w:jc w:val="left"/>
              <w:textAlignment w:val="auto"/>
              <w:rPr>
                <w:rFonts w:hint="eastAsia" w:ascii="宋体" w:hAnsi="宋体" w:eastAsia="宋体" w:cs="宋体"/>
                <w:color w:val="auto"/>
                <w:kern w:val="0"/>
                <w:sz w:val="21"/>
                <w:szCs w:val="21"/>
              </w:rPr>
            </w:pPr>
            <w:r>
              <w:rPr>
                <w:rFonts w:hint="eastAsia" w:ascii="宋体" w:hAnsi="宋体" w:eastAsia="宋体" w:cs="宋体"/>
                <w:bCs/>
                <w:color w:val="auto"/>
                <w:kern w:val="0"/>
                <w:sz w:val="21"/>
                <w:szCs w:val="21"/>
                <w:lang w:bidi="ar"/>
              </w:rPr>
              <w:t>2.</w:t>
            </w:r>
            <w:r>
              <w:rPr>
                <w:rFonts w:hint="eastAsia" w:ascii="宋体" w:hAnsi="宋体" w:eastAsia="宋体" w:cs="宋体"/>
                <w:color w:val="auto"/>
                <w:kern w:val="0"/>
                <w:sz w:val="21"/>
                <w:szCs w:val="21"/>
                <w:lang w:bidi="ar"/>
              </w:rPr>
              <w:t>现场培训：投标人应提供现场技术培训，保证使用人员正常操作设备的各种功能。</w:t>
            </w:r>
          </w:p>
          <w:p w14:paraId="0FC62DD6">
            <w:pPr>
              <w:keepNext w:val="0"/>
              <w:keepLines w:val="0"/>
              <w:pageBreakBefore w:val="0"/>
              <w:kinsoku/>
              <w:wordWrap/>
              <w:overflowPunct/>
              <w:autoSpaceDE/>
              <w:autoSpaceDN/>
              <w:bidi w:val="0"/>
              <w:adjustRightInd/>
              <w:snapToGrid/>
              <w:spacing w:line="360" w:lineRule="auto"/>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bidi="ar"/>
              </w:rPr>
              <w:t>3.集中培训：根据设备技术要求，可向投标人提供使用和维修技术人员培训。</w:t>
            </w:r>
          </w:p>
          <w:p w14:paraId="3BC544CB">
            <w:pPr>
              <w:keepNext w:val="0"/>
              <w:keepLines w:val="0"/>
              <w:pageBreakBefore w:val="0"/>
              <w:kinsoku/>
              <w:wordWrap/>
              <w:overflowPunct/>
              <w:autoSpaceDE/>
              <w:autoSpaceDN/>
              <w:bidi w:val="0"/>
              <w:adjustRightInd/>
              <w:snapToGrid/>
              <w:spacing w:line="360" w:lineRule="auto"/>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color w:val="auto"/>
                <w:kern w:val="0"/>
                <w:sz w:val="21"/>
                <w:szCs w:val="21"/>
                <w:lang w:bidi="ar"/>
              </w:rPr>
              <w:t>4. 计算机辅助培训：针对该机型的多媒体互动操作教学软件，方便学习掌握基本操作和各项高级功能</w:t>
            </w:r>
          </w:p>
        </w:tc>
      </w:tr>
      <w:tr w14:paraId="2DF8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8" w:type="dxa"/>
            <w:vMerge w:val="restart"/>
            <w:tcBorders>
              <w:top w:val="single" w:color="auto" w:sz="4" w:space="0"/>
              <w:left w:val="single" w:color="auto" w:sz="4" w:space="0"/>
              <w:right w:val="single" w:color="auto" w:sz="4" w:space="0"/>
            </w:tcBorders>
            <w:noWrap w:val="0"/>
            <w:vAlign w:val="center"/>
          </w:tcPr>
          <w:p w14:paraId="306C6C4F">
            <w:pPr>
              <w:keepNext/>
              <w:widowControl/>
              <w:snapToGrid w:val="0"/>
              <w:spacing w:line="240" w:lineRule="auto"/>
              <w:ind w:left="0" w:leftChars="0" w:right="0" w:rightChars="0" w:firstLine="0" w:firstLineChars="0"/>
              <w:jc w:val="center"/>
              <w:rPr>
                <w:rFonts w:hint="default"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lang w:val="en-US" w:eastAsia="zh-CN"/>
                <w14:textFill>
                  <w14:solidFill>
                    <w14:schemeClr w14:val="tx1"/>
                  </w14:solidFill>
                </w14:textFill>
              </w:rPr>
              <w:t>13</w:t>
            </w:r>
          </w:p>
        </w:tc>
        <w:tc>
          <w:tcPr>
            <w:tcW w:w="0" w:type="auto"/>
            <w:vMerge w:val="restart"/>
            <w:tcBorders>
              <w:top w:val="single" w:color="auto" w:sz="4" w:space="0"/>
              <w:left w:val="single" w:color="auto" w:sz="4" w:space="0"/>
              <w:right w:val="single" w:color="auto" w:sz="4" w:space="0"/>
            </w:tcBorders>
            <w:shd w:val="clear" w:color="auto" w:fill="auto"/>
            <w:noWrap w:val="0"/>
            <w:vAlign w:val="center"/>
          </w:tcPr>
          <w:p w14:paraId="3FEEA87D">
            <w:pPr>
              <w:widowControl/>
              <w:spacing w:line="360" w:lineRule="exact"/>
              <w:jc w:val="center"/>
              <w:rPr>
                <w:rFonts w:hint="eastAsia" w:ascii="宋体" w:hAnsi="宋体" w:eastAsia="宋体" w:cs="宋体"/>
                <w:b/>
                <w:color w:val="auto"/>
                <w:kern w:val="2"/>
                <w:sz w:val="21"/>
                <w:szCs w:val="22"/>
                <w:lang w:val="en-US" w:eastAsia="zh-CN" w:bidi="ar"/>
              </w:rPr>
            </w:pPr>
            <w:r>
              <w:rPr>
                <w:rFonts w:hint="eastAsia" w:ascii="宋体" w:hAnsi="宋体" w:eastAsia="宋体" w:cs="宋体"/>
                <w:b/>
                <w:color w:val="auto"/>
                <w:szCs w:val="21"/>
              </w:rPr>
              <w:t>项目（产品）要求</w:t>
            </w:r>
          </w:p>
          <w:p w14:paraId="6972DC87">
            <w:pPr>
              <w:keepNext/>
              <w:widowControl/>
              <w:snapToGrid w:val="0"/>
              <w:spacing w:line="240" w:lineRule="auto"/>
              <w:ind w:left="0" w:leftChars="0" w:right="0" w:rightChars="0" w:firstLine="0" w:firstLineChars="0"/>
              <w:jc w:val="left"/>
              <w:rPr>
                <w:rFonts w:hint="eastAsia" w:ascii="宋体" w:hAnsi="宋体" w:eastAsia="宋体" w:cs="宋体"/>
                <w:b/>
                <w:color w:val="auto"/>
                <w:sz w:val="21"/>
                <w:szCs w:val="21"/>
                <w:lang w:bidi="ar"/>
              </w:rPr>
            </w:pPr>
          </w:p>
        </w:tc>
        <w:tc>
          <w:tcPr>
            <w:tcW w:w="5908" w:type="dxa"/>
            <w:tcBorders>
              <w:top w:val="single" w:color="auto" w:sz="4" w:space="0"/>
              <w:left w:val="nil"/>
              <w:bottom w:val="single" w:color="auto" w:sz="4" w:space="0"/>
              <w:right w:val="single" w:color="auto" w:sz="4" w:space="0"/>
            </w:tcBorders>
            <w:shd w:val="clear" w:color="auto" w:fill="auto"/>
            <w:noWrap w:val="0"/>
            <w:vAlign w:val="top"/>
          </w:tcPr>
          <w:p w14:paraId="5C43B31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b/>
                <w:color w:val="auto"/>
                <w:sz w:val="21"/>
                <w:szCs w:val="21"/>
                <w:highlight w:val="yellow"/>
                <w:lang w:val="en-US" w:eastAsia="zh-CN"/>
              </w:rPr>
              <w:t>1</w:t>
            </w:r>
            <w:r>
              <w:rPr>
                <w:rFonts w:hint="eastAsia" w:ascii="宋体" w:hAnsi="宋体" w:eastAsia="宋体" w:cs="宋体"/>
                <w:b/>
                <w:color w:val="auto"/>
                <w:sz w:val="21"/>
                <w:szCs w:val="21"/>
                <w:highlight w:val="yellow"/>
              </w:rPr>
              <w:t>投标人所投产品具备相关主管部门要求的认证资料：所投产品为第一类医疗器械的，提供监督管理部门签发的有效的《医疗器械备案凭证》扫描件；所投产品为第二、三类医疗器械的，提供监督管理部门签发的涵盖所投产品的《医疗器械注册证》(有效期内)扫描件。</w:t>
            </w:r>
          </w:p>
        </w:tc>
      </w:tr>
      <w:tr w14:paraId="0DA3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8" w:type="dxa"/>
            <w:vMerge w:val="continue"/>
            <w:tcBorders>
              <w:left w:val="single" w:color="auto" w:sz="4" w:space="0"/>
              <w:right w:val="single" w:color="auto" w:sz="4" w:space="0"/>
            </w:tcBorders>
            <w:noWrap w:val="0"/>
            <w:vAlign w:val="center"/>
          </w:tcPr>
          <w:p w14:paraId="3645AA1C">
            <w:pPr>
              <w:keepNext/>
              <w:widowControl/>
              <w:snapToGrid w:val="0"/>
              <w:spacing w:line="240" w:lineRule="auto"/>
              <w:ind w:left="0" w:leftChars="0" w:right="0" w:rightChars="0" w:firstLine="0" w:firstLineChars="0"/>
              <w:jc w:val="center"/>
              <w:rPr>
                <w:rFonts w:hint="eastAsia" w:ascii="宋体" w:hAnsi="宋体" w:eastAsia="宋体" w:cs="宋体"/>
                <w:b/>
                <w:color w:val="000000" w:themeColor="text1"/>
                <w:sz w:val="21"/>
                <w:szCs w:val="21"/>
                <w:lang w:bidi="ar"/>
                <w14:textFill>
                  <w14:solidFill>
                    <w14:schemeClr w14:val="tx1"/>
                  </w14:solidFill>
                </w14:textFill>
              </w:rPr>
            </w:pPr>
          </w:p>
        </w:tc>
        <w:tc>
          <w:tcPr>
            <w:tcW w:w="1720" w:type="dxa"/>
            <w:vMerge w:val="continue"/>
            <w:tcBorders>
              <w:left w:val="single" w:color="auto" w:sz="4" w:space="0"/>
              <w:right w:val="single" w:color="auto" w:sz="4" w:space="0"/>
            </w:tcBorders>
            <w:noWrap w:val="0"/>
            <w:vAlign w:val="center"/>
          </w:tcPr>
          <w:p w14:paraId="24CA9F5F">
            <w:pPr>
              <w:keepNext/>
              <w:widowControl/>
              <w:snapToGrid w:val="0"/>
              <w:spacing w:line="240" w:lineRule="auto"/>
              <w:ind w:left="0" w:leftChars="0" w:right="0" w:rightChars="0" w:firstLine="0" w:firstLineChars="0"/>
              <w:jc w:val="left"/>
              <w:rPr>
                <w:rFonts w:hint="eastAsia" w:ascii="宋体" w:hAnsi="宋体" w:eastAsia="宋体" w:cs="宋体"/>
                <w:b/>
                <w:color w:val="auto"/>
                <w:sz w:val="21"/>
                <w:szCs w:val="21"/>
                <w:lang w:bidi="ar"/>
              </w:rPr>
            </w:pPr>
          </w:p>
        </w:tc>
        <w:tc>
          <w:tcPr>
            <w:tcW w:w="5908" w:type="dxa"/>
            <w:tcBorders>
              <w:top w:val="single" w:color="auto" w:sz="4" w:space="0"/>
              <w:left w:val="nil"/>
              <w:bottom w:val="single" w:color="auto" w:sz="4" w:space="0"/>
              <w:right w:val="single" w:color="auto" w:sz="4" w:space="0"/>
            </w:tcBorders>
            <w:shd w:val="clear" w:color="auto" w:fill="auto"/>
            <w:noWrap w:val="0"/>
            <w:vAlign w:val="top"/>
          </w:tcPr>
          <w:p w14:paraId="640786F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如供应商提供的相关货物（标的），属于按整套（成套）设备进行申请医疗器械注册证情形的，则投标人针对前述相关货物（标的）在投标时可提供整套（成套）设备的医疗器械注册证。</w:t>
            </w:r>
          </w:p>
        </w:tc>
      </w:tr>
    </w:tbl>
    <w:p w14:paraId="03AA9B7B">
      <w:pPr>
        <w:spacing w:after="60" w:line="360" w:lineRule="auto"/>
        <w:jc w:val="center"/>
        <w:rPr>
          <w:b/>
          <w:color w:val="FF0000"/>
          <w:sz w:val="28"/>
          <w:szCs w:val="28"/>
        </w:rPr>
      </w:pPr>
      <w:r>
        <w:rPr>
          <w:rFonts w:hint="eastAsia"/>
          <w:b/>
          <w:color w:val="FF0000"/>
          <w:sz w:val="28"/>
          <w:szCs w:val="28"/>
        </w:rPr>
        <w:t>（技术要求部分）</w:t>
      </w:r>
    </w:p>
    <w:p w14:paraId="20679FC7">
      <w:pPr>
        <w:pStyle w:val="9"/>
        <w:numPr>
          <w:ilvl w:val="0"/>
          <w:numId w:val="1"/>
        </w:numPr>
        <w:autoSpaceDE w:val="0"/>
        <w:autoSpaceDN w:val="0"/>
        <w:adjustRightInd w:val="0"/>
        <w:spacing w:after="60" w:line="360" w:lineRule="auto"/>
        <w:ind w:firstLineChars="0"/>
        <w:jc w:val="left"/>
        <w:rPr>
          <w:rFonts w:hint="eastAsia" w:ascii="宋体" w:hAnsi="宋体" w:eastAsia="宋体" w:cs="Times New Roman"/>
          <w:b/>
          <w:szCs w:val="21"/>
        </w:rPr>
      </w:pPr>
      <w:r>
        <w:rPr>
          <w:rFonts w:hint="eastAsia" w:ascii="宋体" w:cs="宋体" w:hAnsiTheme="minorHAnsi"/>
          <w:b/>
          <w:color w:val="000000"/>
          <w:kern w:val="0"/>
          <w:szCs w:val="21"/>
          <w:lang w:val="en-US" w:eastAsia="zh-CN"/>
        </w:rPr>
        <w:t>基本情况</w:t>
      </w:r>
      <w:r>
        <w:rPr>
          <w:rFonts w:hint="eastAsia" w:ascii="宋体" w:cs="宋体" w:hAnsiTheme="minorHAnsi"/>
          <w:b/>
          <w:color w:val="000000"/>
          <w:kern w:val="0"/>
          <w:szCs w:val="21"/>
        </w:rPr>
        <w:t>：</w:t>
      </w:r>
    </w:p>
    <w:tbl>
      <w:tblPr>
        <w:tblStyle w:val="4"/>
        <w:tblW w:w="8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7298"/>
      </w:tblGrid>
      <w:tr w14:paraId="57FC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1265" w:type="dxa"/>
            <w:tcBorders>
              <w:top w:val="single" w:color="auto" w:sz="4" w:space="0"/>
              <w:left w:val="single" w:color="auto" w:sz="4" w:space="0"/>
              <w:bottom w:val="single" w:color="auto" w:sz="4" w:space="0"/>
              <w:right w:val="single" w:color="auto" w:sz="4" w:space="0"/>
            </w:tcBorders>
            <w:noWrap w:val="0"/>
            <w:vAlign w:val="center"/>
          </w:tcPr>
          <w:p w14:paraId="11D10558">
            <w:pPr>
              <w:jc w:val="center"/>
              <w:rPr>
                <w:rFonts w:hint="eastAsia" w:ascii="宋体" w:hAnsi="宋体" w:eastAsia="宋体" w:cs="宋体"/>
                <w:b/>
                <w:kern w:val="0"/>
                <w:sz w:val="21"/>
                <w:szCs w:val="21"/>
              </w:rPr>
            </w:pPr>
            <w:r>
              <w:rPr>
                <w:rFonts w:hint="eastAsia" w:ascii="宋体" w:hAnsi="宋体" w:eastAsia="宋体" w:cs="宋体"/>
                <w:b/>
                <w:kern w:val="0"/>
                <w:sz w:val="21"/>
                <w:szCs w:val="21"/>
              </w:rPr>
              <w:t>用途</w:t>
            </w:r>
          </w:p>
        </w:tc>
        <w:tc>
          <w:tcPr>
            <w:tcW w:w="7298" w:type="dxa"/>
            <w:tcBorders>
              <w:top w:val="single" w:color="auto" w:sz="4" w:space="0"/>
              <w:left w:val="single" w:color="auto" w:sz="4" w:space="0"/>
              <w:bottom w:val="single" w:color="auto" w:sz="4" w:space="0"/>
              <w:right w:val="single" w:color="auto" w:sz="4" w:space="0"/>
            </w:tcBorders>
            <w:noWrap w:val="0"/>
            <w:vAlign w:val="center"/>
          </w:tcPr>
          <w:p w14:paraId="0ADD981A">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用于肝、胆、胰系统疾病的诊断与治疗(ERCP)。诊断方面，如胆管结石、胆管狭窄和畸形、胆囊和胆囊管病变，以及疑难性腹痛的鉴别诊断。治疗方面，可进行胆胰管逆行造影(ERCP)，治疗胆胰疾病。</w:t>
            </w:r>
          </w:p>
        </w:tc>
      </w:tr>
      <w:tr w14:paraId="50DA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265" w:type="dxa"/>
            <w:tcBorders>
              <w:top w:val="single" w:color="auto" w:sz="4" w:space="0"/>
              <w:left w:val="single" w:color="auto" w:sz="4" w:space="0"/>
              <w:bottom w:val="single" w:color="auto" w:sz="4" w:space="0"/>
              <w:right w:val="single" w:color="auto" w:sz="4" w:space="0"/>
            </w:tcBorders>
            <w:noWrap w:val="0"/>
            <w:vAlign w:val="center"/>
          </w:tcPr>
          <w:p w14:paraId="496FAF7E">
            <w:pPr>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耗材</w:t>
            </w:r>
          </w:p>
        </w:tc>
        <w:tc>
          <w:tcPr>
            <w:tcW w:w="7298" w:type="dxa"/>
            <w:tcBorders>
              <w:top w:val="single" w:color="auto" w:sz="4" w:space="0"/>
              <w:left w:val="single" w:color="auto" w:sz="4" w:space="0"/>
              <w:bottom w:val="single" w:color="auto" w:sz="4" w:space="0"/>
              <w:right w:val="single" w:color="auto" w:sz="4" w:space="0"/>
            </w:tcBorders>
            <w:noWrap w:val="0"/>
            <w:vAlign w:val="center"/>
          </w:tcPr>
          <w:p w14:paraId="1EC7A902">
            <w:pPr>
              <w:spacing w:line="360" w:lineRule="auto"/>
              <w:jc w:val="left"/>
              <w:rPr>
                <w:rFonts w:hint="eastAsia" w:ascii="宋体" w:hAnsi="宋体" w:eastAsia="宋体" w:cs="宋体"/>
                <w:b/>
                <w:color w:val="auto"/>
                <w:sz w:val="21"/>
                <w:szCs w:val="21"/>
              </w:rPr>
            </w:pPr>
            <w:r>
              <w:rPr>
                <w:rFonts w:hint="eastAsia" w:ascii="宋体" w:hAnsi="宋体" w:eastAsia="宋体" w:cs="宋体"/>
                <w:b/>
                <w:color w:val="auto"/>
                <w:sz w:val="21"/>
                <w:szCs w:val="21"/>
              </w:rPr>
              <w:t>是否有</w:t>
            </w:r>
            <w:r>
              <w:rPr>
                <w:rFonts w:hint="eastAsia" w:ascii="宋体" w:hAnsi="宋体" w:eastAsia="宋体" w:cs="宋体"/>
                <w:b/>
                <w:color w:val="auto"/>
                <w:kern w:val="0"/>
                <w:sz w:val="21"/>
                <w:szCs w:val="21"/>
              </w:rPr>
              <w:t xml:space="preserve">耗材：无配套耗材； </w:t>
            </w:r>
          </w:p>
        </w:tc>
      </w:tr>
    </w:tbl>
    <w:p w14:paraId="31F3B759">
      <w:pPr>
        <w:pStyle w:val="9"/>
        <w:numPr>
          <w:ilvl w:val="0"/>
          <w:numId w:val="1"/>
        </w:numPr>
        <w:autoSpaceDE w:val="0"/>
        <w:autoSpaceDN w:val="0"/>
        <w:adjustRightInd w:val="0"/>
        <w:spacing w:after="60" w:line="360" w:lineRule="auto"/>
        <w:ind w:firstLineChars="0"/>
        <w:jc w:val="left"/>
        <w:rPr>
          <w:rFonts w:hint="eastAsia" w:ascii="宋体" w:hAnsi="宋体" w:eastAsia="宋体" w:cs="Times New Roman"/>
          <w:b/>
          <w:szCs w:val="21"/>
        </w:rPr>
      </w:pPr>
      <w:r>
        <w:rPr>
          <w:rFonts w:hint="eastAsia" w:ascii="宋体" w:cs="宋体" w:hAnsiTheme="minorHAnsi"/>
          <w:b/>
          <w:color w:val="000000"/>
          <w:kern w:val="0"/>
          <w:szCs w:val="21"/>
        </w:rPr>
        <w:t>技术及质量参数要求：</w:t>
      </w:r>
    </w:p>
    <w:tbl>
      <w:tblPr>
        <w:tblStyle w:val="4"/>
        <w:tblW w:w="8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1383"/>
        <w:gridCol w:w="5915"/>
      </w:tblGrid>
      <w:tr w14:paraId="1FAB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265" w:type="dxa"/>
            <w:vMerge w:val="restart"/>
            <w:tcBorders>
              <w:top w:val="single" w:color="auto" w:sz="4" w:space="0"/>
              <w:left w:val="single" w:color="auto" w:sz="4" w:space="0"/>
              <w:right w:val="single" w:color="auto" w:sz="4" w:space="0"/>
            </w:tcBorders>
            <w:noWrap w:val="0"/>
            <w:vAlign w:val="center"/>
          </w:tcPr>
          <w:p w14:paraId="2B670A85">
            <w:pPr>
              <w:jc w:val="center"/>
              <w:rPr>
                <w:rFonts w:hint="eastAsia" w:ascii="宋体" w:hAnsi="宋体" w:eastAsia="宋体" w:cs="宋体"/>
                <w:b/>
                <w:kern w:val="0"/>
                <w:sz w:val="21"/>
                <w:szCs w:val="21"/>
              </w:rPr>
            </w:pPr>
            <w:r>
              <w:rPr>
                <w:rFonts w:hint="eastAsia" w:ascii="宋体" w:hAnsi="宋体" w:eastAsia="宋体" w:cs="宋体"/>
                <w:b/>
                <w:kern w:val="0"/>
                <w:sz w:val="21"/>
                <w:szCs w:val="21"/>
              </w:rPr>
              <w:t>技术及</w:t>
            </w:r>
          </w:p>
          <w:p w14:paraId="122AE0F9">
            <w:pPr>
              <w:jc w:val="center"/>
              <w:rPr>
                <w:rFonts w:hint="eastAsia" w:ascii="宋体" w:hAnsi="宋体" w:eastAsia="宋体" w:cs="宋体"/>
                <w:b/>
                <w:kern w:val="0"/>
                <w:sz w:val="21"/>
                <w:szCs w:val="21"/>
              </w:rPr>
            </w:pPr>
            <w:r>
              <w:rPr>
                <w:rFonts w:hint="eastAsia" w:ascii="宋体" w:hAnsi="宋体" w:eastAsia="宋体" w:cs="宋体"/>
                <w:b/>
                <w:kern w:val="0"/>
                <w:sz w:val="21"/>
                <w:szCs w:val="21"/>
              </w:rPr>
              <w:t>质量参</w:t>
            </w:r>
          </w:p>
          <w:p w14:paraId="4FF9B46D">
            <w:pPr>
              <w:jc w:val="center"/>
              <w:rPr>
                <w:rFonts w:hint="eastAsia" w:ascii="宋体" w:hAnsi="宋体" w:eastAsia="宋体" w:cs="宋体"/>
                <w:b/>
                <w:kern w:val="0"/>
                <w:sz w:val="21"/>
                <w:szCs w:val="21"/>
              </w:rPr>
            </w:pPr>
            <w:r>
              <w:rPr>
                <w:rFonts w:hint="eastAsia" w:ascii="宋体" w:hAnsi="宋体" w:eastAsia="宋体" w:cs="宋体"/>
                <w:b/>
                <w:kern w:val="0"/>
                <w:sz w:val="21"/>
                <w:szCs w:val="21"/>
              </w:rPr>
              <w:t>数要求</w:t>
            </w:r>
          </w:p>
        </w:tc>
        <w:tc>
          <w:tcPr>
            <w:tcW w:w="1383" w:type="dxa"/>
            <w:tcBorders>
              <w:top w:val="single" w:color="auto" w:sz="4" w:space="0"/>
              <w:left w:val="single" w:color="auto" w:sz="4" w:space="0"/>
              <w:right w:val="single" w:color="auto" w:sz="4" w:space="0"/>
            </w:tcBorders>
            <w:noWrap w:val="0"/>
            <w:vAlign w:val="center"/>
          </w:tcPr>
          <w:p w14:paraId="1EFCB62B">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功能要求</w:t>
            </w:r>
          </w:p>
        </w:tc>
        <w:tc>
          <w:tcPr>
            <w:tcW w:w="5915" w:type="dxa"/>
            <w:tcBorders>
              <w:top w:val="single" w:color="auto" w:sz="4" w:space="0"/>
              <w:left w:val="single" w:color="auto" w:sz="4" w:space="0"/>
              <w:right w:val="single" w:color="auto" w:sz="4" w:space="0"/>
            </w:tcBorders>
            <w:noWrap w:val="0"/>
            <w:vAlign w:val="top"/>
          </w:tcPr>
          <w:p w14:paraId="37D6A9EA">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电子十二指肠内窥镜，用于ERCP手术中十二指肠部位的检查、诊断和治疗。与</w:t>
            </w:r>
            <w:r>
              <w:rPr>
                <w:rFonts w:hint="eastAsia" w:ascii="宋体" w:hAnsi="宋体" w:eastAsia="宋体" w:cs="宋体"/>
                <w:sz w:val="21"/>
                <w:szCs w:val="21"/>
                <w:highlight w:val="none"/>
                <w:lang w:val="en-US" w:eastAsia="zh-CN"/>
              </w:rPr>
              <w:t>富士</w:t>
            </w:r>
            <w:r>
              <w:rPr>
                <w:rFonts w:hint="eastAsia" w:ascii="宋体" w:hAnsi="宋体" w:eastAsia="宋体" w:cs="宋体"/>
                <w:sz w:val="21"/>
                <w:szCs w:val="21"/>
                <w:highlight w:val="none"/>
              </w:rPr>
              <w:t>VP-7000型电子图像处理器配合使用，通过视频监视器提供图像。采用New Super CCD技术，结合FICE电子分光技术，更容易发现识别粘膜病变。</w:t>
            </w:r>
          </w:p>
        </w:tc>
      </w:tr>
      <w:tr w14:paraId="56A3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265" w:type="dxa"/>
            <w:vMerge w:val="continue"/>
            <w:tcBorders>
              <w:left w:val="single" w:color="auto" w:sz="4" w:space="0"/>
              <w:right w:val="single" w:color="auto" w:sz="4" w:space="0"/>
            </w:tcBorders>
            <w:noWrap w:val="0"/>
            <w:vAlign w:val="top"/>
          </w:tcPr>
          <w:p w14:paraId="501CC790">
            <w:pPr>
              <w:rPr>
                <w:rFonts w:hint="eastAsia" w:ascii="宋体" w:hAnsi="宋体" w:eastAsia="宋体" w:cs="宋体"/>
                <w:b/>
                <w:kern w:val="0"/>
                <w:sz w:val="21"/>
                <w:szCs w:val="21"/>
              </w:rPr>
            </w:pPr>
          </w:p>
        </w:tc>
        <w:tc>
          <w:tcPr>
            <w:tcW w:w="1383" w:type="dxa"/>
            <w:tcBorders>
              <w:top w:val="single" w:color="auto" w:sz="4" w:space="0"/>
              <w:left w:val="single" w:color="auto" w:sz="4" w:space="0"/>
              <w:right w:val="single" w:color="auto" w:sz="4" w:space="0"/>
            </w:tcBorders>
            <w:noWrap w:val="0"/>
            <w:vAlign w:val="center"/>
          </w:tcPr>
          <w:p w14:paraId="74BC07FF">
            <w:pPr>
              <w:spacing w:line="360" w:lineRule="auto"/>
              <w:jc w:val="center"/>
              <w:rPr>
                <w:rFonts w:hint="eastAsia" w:ascii="宋体" w:hAnsi="宋体" w:eastAsia="宋体" w:cs="宋体"/>
                <w:sz w:val="21"/>
                <w:szCs w:val="21"/>
                <w:highlight w:val="none"/>
              </w:rPr>
            </w:pPr>
          </w:p>
          <w:p w14:paraId="06E9F7D4">
            <w:pPr>
              <w:spacing w:line="360" w:lineRule="auto"/>
              <w:jc w:val="center"/>
              <w:rPr>
                <w:rFonts w:hint="eastAsia" w:ascii="宋体" w:hAnsi="宋体" w:eastAsia="宋体" w:cs="宋体"/>
                <w:sz w:val="21"/>
                <w:szCs w:val="21"/>
                <w:highlight w:val="none"/>
              </w:rPr>
            </w:pPr>
          </w:p>
          <w:p w14:paraId="1E67D800">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技术参数</w:t>
            </w:r>
          </w:p>
        </w:tc>
        <w:tc>
          <w:tcPr>
            <w:tcW w:w="5915" w:type="dxa"/>
            <w:tcBorders>
              <w:top w:val="single" w:color="auto" w:sz="4" w:space="0"/>
              <w:left w:val="single" w:color="auto" w:sz="4" w:space="0"/>
              <w:right w:val="single" w:color="auto" w:sz="4" w:space="0"/>
            </w:tcBorders>
            <w:noWrap w:val="0"/>
            <w:vAlign w:val="top"/>
          </w:tcPr>
          <w:p w14:paraId="1173D5CA">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1）视野方向：后方斜视。</w:t>
            </w:r>
          </w:p>
          <w:p w14:paraId="2BB92CD1">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2）视野角：≥100°。</w:t>
            </w:r>
          </w:p>
          <w:p w14:paraId="6AAF4C69">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3）观察景深：4~60mm。</w:t>
            </w:r>
          </w:p>
          <w:p w14:paraId="411536A4">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5）▲先端部直径（插入部）：≤13.1mm，软性部直径（插入部）：≤11.6mm。</w:t>
            </w:r>
          </w:p>
          <w:p w14:paraId="7FA7A4F5">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5）弯曲角度：上≥120°，下≥90°，左≥90°，右≥110°。</w:t>
            </w:r>
          </w:p>
          <w:p w14:paraId="2AB42E71">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6）▲最小钳道内径：≥4.2mm。</w:t>
            </w:r>
          </w:p>
          <w:p w14:paraId="27089AE4">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7）有效长度：≥1200mm，全长：≥1500mm。</w:t>
            </w:r>
          </w:p>
          <w:p w14:paraId="6F968FE2">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8）具有抬钳器固定装置。</w:t>
            </w:r>
          </w:p>
          <w:p w14:paraId="215A91F1">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9）★兼容科室现有富士VP-7000主机</w:t>
            </w:r>
          </w:p>
        </w:tc>
      </w:tr>
    </w:tbl>
    <w:p w14:paraId="02E0CBA6">
      <w:pPr>
        <w:spacing w:afterLines="0" w:line="360" w:lineRule="auto"/>
        <w:ind w:firstLine="422" w:firstLineChars="200"/>
        <w:rPr>
          <w:rFonts w:hint="eastAsia" w:ascii="宋体" w:hAnsi="宋体"/>
          <w:b/>
          <w:color w:val="FF0000"/>
          <w:szCs w:val="21"/>
        </w:rPr>
      </w:pPr>
      <w:r>
        <w:rPr>
          <w:rFonts w:ascii="宋体" w:hAnsi="宋体"/>
          <w:b/>
          <w:color w:val="FF0000"/>
          <w:szCs w:val="21"/>
        </w:rPr>
        <w:t>说明：</w:t>
      </w:r>
    </w:p>
    <w:p w14:paraId="02C2C02A">
      <w:pPr>
        <w:spacing w:afterLines="0" w:line="360" w:lineRule="auto"/>
        <w:ind w:firstLine="422" w:firstLineChars="200"/>
        <w:rPr>
          <w:rFonts w:hint="eastAsia" w:ascii="宋体" w:hAnsi="宋体"/>
          <w:b/>
          <w:color w:val="FF0000"/>
          <w:szCs w:val="21"/>
        </w:rPr>
      </w:pPr>
      <w:r>
        <w:rPr>
          <w:rFonts w:ascii="宋体" w:hAnsi="宋体"/>
          <w:b/>
          <w:color w:val="FF0000"/>
          <w:szCs w:val="21"/>
        </w:rPr>
        <w:t>1、带</w:t>
      </w:r>
      <w:r>
        <w:rPr>
          <w:rFonts w:ascii="宋体" w:hAnsi="宋体"/>
          <w:b/>
          <w:bCs/>
          <w:color w:val="FF0000"/>
          <w:szCs w:val="21"/>
        </w:rPr>
        <w:t>★</w:t>
      </w:r>
      <w:r>
        <w:rPr>
          <w:rFonts w:ascii="宋体" w:hAnsi="宋体"/>
          <w:b/>
          <w:color w:val="FF0000"/>
          <w:szCs w:val="21"/>
        </w:rPr>
        <w:t>号要求为不可偏离要求，如出现负偏离，将导致投标无效。带▲号参数为重要参数，其他参数（非▲号参数）为普通参数，如出现负偏离，将按照评分准则做扣分处理。如注明要求提供相关佐证材料的（投标时需提供产品技术白皮书或说明书扫描件或产品彩页，注：对应参数在技术白皮书或说明书或彩页中进行标注，原件备查。），需以佐证材料作为是否偏离的依据。其余指标项未要求提供证明资料，无需提供相关证明资料。</w:t>
      </w:r>
    </w:p>
    <w:p w14:paraId="310D46EB">
      <w:pPr>
        <w:spacing w:afterLines="0" w:line="360" w:lineRule="auto"/>
        <w:ind w:firstLine="420" w:firstLineChars="200"/>
        <w:jc w:val="left"/>
        <w:rPr>
          <w:rFonts w:hint="eastAsia" w:ascii="宋体" w:hAnsi="宋体"/>
          <w:color w:val="FF0000"/>
          <w:szCs w:val="21"/>
        </w:rPr>
      </w:pPr>
      <w:r>
        <w:rPr>
          <w:rFonts w:ascii="宋体" w:hAnsi="宋体"/>
          <w:color w:val="FF0000"/>
          <w:szCs w:val="21"/>
        </w:rPr>
        <w:t>2、所列的技术参数需求中如出现品牌信息仅供参考，不作为参数要求，目的只为投标人更清楚地了解采购需求，投标人可提供其他品牌设备投标。</w:t>
      </w:r>
    </w:p>
    <w:p w14:paraId="7CDADE82">
      <w:pPr>
        <w:spacing w:afterLines="0" w:line="360" w:lineRule="auto"/>
        <w:ind w:firstLine="420" w:firstLineChars="200"/>
        <w:jc w:val="left"/>
        <w:rPr>
          <w:rFonts w:hint="eastAsia" w:ascii="宋体" w:hAnsi="宋体"/>
          <w:color w:val="FF0000"/>
          <w:szCs w:val="21"/>
        </w:rPr>
      </w:pPr>
      <w:r>
        <w:rPr>
          <w:rFonts w:ascii="宋体" w:hAnsi="宋体"/>
          <w:color w:val="FF0000"/>
          <w:szCs w:val="21"/>
        </w:rPr>
        <w:t>3、如有方案表述中有出现类似可实现、实现、可支持、支持等描述的，均表示方案需要实现的功能或应满足的要求，即项目在验收时无须增加其他额外设备或系统，使用本项目中的设备或系统即能实现相应功能或满足相关要求。</w:t>
      </w:r>
    </w:p>
    <w:p w14:paraId="50E5172E">
      <w:pPr>
        <w:spacing w:afterLines="0" w:line="360" w:lineRule="auto"/>
        <w:ind w:firstLine="420" w:firstLineChars="200"/>
        <w:jc w:val="left"/>
        <w:rPr>
          <w:rFonts w:hint="eastAsia" w:ascii="宋体" w:hAnsi="宋体"/>
          <w:color w:val="FF0000"/>
          <w:szCs w:val="21"/>
        </w:rPr>
      </w:pPr>
      <w:r>
        <w:rPr>
          <w:rFonts w:ascii="宋体" w:hAnsi="宋体"/>
          <w:color w:val="FF0000"/>
          <w:szCs w:val="21"/>
          <w:shd w:val="clear" w:color="auto" w:fill="FFFF00"/>
        </w:rPr>
        <w:t>4、评分时，如对一项招标技术要求（以划分框为准）中的内容存在两处（或以上）负偏离的，在评分时只作一项负偏离扣分。</w:t>
      </w:r>
    </w:p>
    <w:p w14:paraId="2D022C23">
      <w:pPr>
        <w:spacing w:afterLines="0" w:line="360" w:lineRule="auto"/>
        <w:ind w:firstLine="420" w:firstLineChars="200"/>
        <w:jc w:val="left"/>
        <w:rPr>
          <w:rFonts w:hint="eastAsia" w:ascii="宋体" w:hAnsi="宋体"/>
          <w:color w:val="FF0000"/>
          <w:szCs w:val="21"/>
        </w:rPr>
      </w:pPr>
      <w:r>
        <w:rPr>
          <w:rFonts w:ascii="宋体" w:hAnsi="宋体"/>
          <w:color w:val="FF0000"/>
          <w:szCs w:val="21"/>
        </w:rPr>
        <w:t>5、针对招标文件产品技术参数如涉及相关既定值、单向范围值、区间范围值的，投标技术参数响应方式举例说明如下：</w:t>
      </w:r>
    </w:p>
    <w:p w14:paraId="2E8507BE">
      <w:pPr>
        <w:spacing w:afterLines="0" w:line="360" w:lineRule="auto"/>
        <w:ind w:firstLine="420" w:firstLineChars="200"/>
        <w:jc w:val="left"/>
        <w:rPr>
          <w:rFonts w:hint="eastAsia" w:ascii="宋体" w:hAnsi="宋体"/>
          <w:color w:val="FF0000"/>
          <w:szCs w:val="21"/>
        </w:rPr>
      </w:pPr>
      <w:r>
        <w:rPr>
          <w:rFonts w:ascii="宋体" w:hAnsi="宋体"/>
          <w:color w:val="FF0000"/>
          <w:szCs w:val="21"/>
        </w:rPr>
        <w:t>（1）涉及相关既定值的，例：招标技术参数要求值为“20L”，投标技术参数响应值与“20L”不一致的，均视为负偏离；</w:t>
      </w:r>
    </w:p>
    <w:p w14:paraId="0EB9C3C9">
      <w:pPr>
        <w:spacing w:afterLines="0" w:line="360" w:lineRule="auto"/>
        <w:ind w:firstLine="420" w:firstLineChars="200"/>
        <w:jc w:val="left"/>
        <w:rPr>
          <w:rFonts w:hint="eastAsia" w:ascii="宋体" w:hAnsi="宋体"/>
          <w:color w:val="FF0000"/>
          <w:szCs w:val="21"/>
        </w:rPr>
      </w:pPr>
      <w:r>
        <w:rPr>
          <w:rFonts w:ascii="宋体" w:hAnsi="宋体"/>
          <w:color w:val="FF0000"/>
          <w:szCs w:val="21"/>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14:paraId="5F42A250">
      <w:pPr>
        <w:spacing w:afterLines="0" w:line="360" w:lineRule="auto"/>
        <w:ind w:firstLine="420" w:firstLineChars="200"/>
        <w:jc w:val="left"/>
        <w:rPr>
          <w:rFonts w:ascii="宋体" w:hAnsi="宋体"/>
          <w:color w:val="FF0000"/>
          <w:szCs w:val="21"/>
        </w:rPr>
      </w:pPr>
      <w:r>
        <w:rPr>
          <w:rFonts w:ascii="宋体" w:hAnsi="宋体"/>
          <w:color w:val="FF0000"/>
          <w:szCs w:val="21"/>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14:paraId="4B3CA50F">
      <w:pPr>
        <w:pStyle w:val="8"/>
        <w:rPr>
          <w:rFonts w:ascii="宋体" w:hAnsi="宋体"/>
          <w:color w:val="FF0000"/>
          <w:szCs w:val="21"/>
        </w:rPr>
      </w:pPr>
    </w:p>
    <w:p w14:paraId="10B1CC79">
      <w:pPr>
        <w:pStyle w:val="8"/>
        <w:rPr>
          <w:rFonts w:ascii="宋体" w:hAnsi="宋体"/>
          <w:color w:val="FF0000"/>
          <w:szCs w:val="21"/>
        </w:rPr>
      </w:pPr>
    </w:p>
    <w:p w14:paraId="778D4E6E">
      <w:pPr>
        <w:pStyle w:val="8"/>
        <w:rPr>
          <w:rFonts w:ascii="宋体" w:hAnsi="宋体"/>
          <w:color w:val="FF0000"/>
          <w:szCs w:val="21"/>
        </w:rPr>
      </w:pPr>
    </w:p>
    <w:p w14:paraId="795B2C78">
      <w:pPr>
        <w:pStyle w:val="8"/>
        <w:rPr>
          <w:rFonts w:ascii="宋体" w:hAnsi="宋体"/>
          <w:color w:val="FF0000"/>
          <w:szCs w:val="21"/>
        </w:rPr>
      </w:pPr>
    </w:p>
    <w:p w14:paraId="7426CBDC">
      <w:pPr>
        <w:pStyle w:val="8"/>
        <w:rPr>
          <w:rFonts w:ascii="宋体" w:hAnsi="宋体"/>
          <w:color w:val="FF0000"/>
          <w:szCs w:val="21"/>
        </w:rPr>
      </w:pPr>
    </w:p>
    <w:p w14:paraId="3CB293CB">
      <w:pPr>
        <w:pStyle w:val="8"/>
        <w:rPr>
          <w:rFonts w:ascii="宋体" w:hAnsi="宋体"/>
          <w:color w:val="FF0000"/>
          <w:szCs w:val="21"/>
        </w:rPr>
      </w:pPr>
    </w:p>
    <w:p w14:paraId="118C356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F00898"/>
    <w:multiLevelType w:val="multilevel"/>
    <w:tmpl w:val="40F00898"/>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5A7F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7"/>
    <w:qFormat/>
    <w:uiPriority w:val="9"/>
    <w:pPr>
      <w:keepNext/>
      <w:keepLines/>
      <w:spacing w:before="340" w:line="578" w:lineRule="auto"/>
      <w:outlineLvl w:val="0"/>
    </w:pPr>
    <w:rPr>
      <w:b/>
      <w:bCs/>
      <w:kern w:val="44"/>
      <w:sz w:val="44"/>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文档正文"/>
    <w:basedOn w:val="1"/>
    <w:qFormat/>
    <w:uiPriority w:val="0"/>
    <w:pPr>
      <w:spacing w:afterLines="0" w:line="360" w:lineRule="auto"/>
    </w:pPr>
    <w:rPr>
      <w:rFonts w:cs="Arial"/>
      <w:bCs/>
    </w:rPr>
  </w:style>
  <w:style w:type="paragraph" w:customStyle="1" w:styleId="6">
    <w:name w:val="1册标题1"/>
    <w:basedOn w:val="1"/>
    <w:next w:val="1"/>
    <w:qFormat/>
    <w:uiPriority w:val="0"/>
    <w:pPr>
      <w:spacing w:beforeLines="50" w:afterLines="50"/>
      <w:jc w:val="center"/>
      <w:outlineLvl w:val="0"/>
    </w:pPr>
    <w:rPr>
      <w:rFonts w:eastAsia="黑体"/>
      <w:b/>
      <w:bCs/>
      <w:sz w:val="48"/>
      <w:szCs w:val="20"/>
    </w:rPr>
  </w:style>
  <w:style w:type="character" w:customStyle="1" w:styleId="7">
    <w:name w:val="标题 1 字符"/>
    <w:basedOn w:val="5"/>
    <w:link w:val="3"/>
    <w:qFormat/>
    <w:uiPriority w:val="0"/>
    <w:rPr>
      <w:b/>
      <w:bCs/>
      <w:kern w:val="44"/>
      <w:sz w:val="44"/>
      <w:szCs w:val="44"/>
    </w:rPr>
  </w:style>
  <w:style w:type="paragraph" w:styleId="8">
    <w:name w:val="No Spacing"/>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9">
    <w:name w:val="List Paragraph"/>
    <w:basedOn w:val="1"/>
    <w:qFormat/>
    <w:uiPriority w:val="34"/>
    <w:pPr>
      <w:spacing w:afterLines="0" w:line="240" w:lineRule="auto"/>
      <w:ind w:firstLine="420" w:firstLineChars="200"/>
    </w:pPr>
    <w:rPr>
      <w:rFonts w:ascii="Calibri" w:hAnsi="Calibri" w:eastAsiaTheme="minorEastAsia" w:cstheme="minorBid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2026-09-11T09:15:44Z</dcterms:created>
  <dc:creator>37535</dc:creator>
  <cp:lastModifiedBy>阿忠</cp:lastModifiedBy>
  <dcterms:modified xsi:type="dcterms:W3CDTF">2026-09-11T09:15:58Z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eyJoZGlkIjoiNDU5MWU5NWNjMjQ1OTNiODk1YWIyNGY1NDJiOTQ4NGIiLCJ1c2VySWQiOiI0NTA3NTgzNzUifQ==</vt:lpwstr>
  </property>
  <property fmtid="{D5CDD505-2E9C-101B-9397-08002B2CF9AE}" pid="4" name="ICV">
    <vt:lpwstr>7B7AFC0111964E49855413B9FC7698B7_13</vt:lpwstr>
  </property>
</Properties>
</file>