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11D60">
      <w:pPr>
        <w:pStyle w:val="2"/>
        <w:spacing w:before="0" w:after="0" w:line="360" w:lineRule="auto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fldChar w:fldCharType="begin"/>
      </w:r>
      <w:r>
        <w:rPr>
          <w:rFonts w:hint="eastAsia" w:ascii="宋体" w:hAnsi="宋体" w:cs="宋体"/>
        </w:rPr>
        <w:instrText xml:space="preserve"> HYPERLINK \l "_Toc488762883" </w:instrText>
      </w:r>
      <w:r>
        <w:rPr>
          <w:rFonts w:hint="eastAsia" w:ascii="宋体" w:hAnsi="宋体" w:cs="宋体"/>
        </w:rPr>
        <w:fldChar w:fldCharType="separate"/>
      </w:r>
      <w:r>
        <w:rPr>
          <w:rFonts w:hint="eastAsia" w:ascii="宋体" w:hAnsi="宋体" w:cs="宋体"/>
          <w:szCs w:val="21"/>
        </w:rPr>
        <w:t>征集</w:t>
      </w:r>
      <w:r>
        <w:rPr>
          <w:rFonts w:hint="eastAsia" w:ascii="宋体" w:hAnsi="宋体" w:cs="宋体"/>
        </w:rPr>
        <w:t>项目需求</w:t>
      </w:r>
      <w:r>
        <w:rPr>
          <w:rFonts w:hint="eastAsia" w:ascii="宋体" w:hAnsi="宋体" w:cs="宋体"/>
        </w:rPr>
        <w:fldChar w:fldCharType="end"/>
      </w:r>
    </w:p>
    <w:p w14:paraId="3C62B4A9">
      <w:pPr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一、项目概况</w:t>
      </w:r>
    </w:p>
    <w:p w14:paraId="0459FF3D">
      <w:pPr>
        <w:pStyle w:val="3"/>
        <w:tabs>
          <w:tab w:val="left" w:pos="540"/>
        </w:tabs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/>
          <w:bCs/>
          <w:szCs w:val="21"/>
          <w:lang w:val="en-US" w:eastAsia="zh-CN"/>
        </w:rPr>
      </w:pPr>
      <w:bookmarkStart w:id="0" w:name="_Toc279597459"/>
      <w:r>
        <w:rPr>
          <w:rFonts w:hint="eastAsia" w:ascii="宋体" w:hAnsi="宋体" w:eastAsia="宋体"/>
          <w:bCs/>
          <w:szCs w:val="21"/>
          <w:lang w:val="en-US" w:eastAsia="zh-CN"/>
        </w:rPr>
        <w:t>负责福保街道智慧福保全域治理平台、福田区福保街道AI智能巡航系统运维保障，分别为福保街道智慧福保全域治理平台、福田区福保街道AI智能巡航系统、后台管理、数据治理、块数据建设及第三方系统对接。</w:t>
      </w:r>
    </w:p>
    <w:p w14:paraId="5DCA10F2">
      <w:pPr>
        <w:spacing w:line="360" w:lineRule="auto"/>
        <w:rPr>
          <w:rFonts w:hint="eastAsia" w:ascii="宋体" w:hAnsi="宋体" w:cs="宋体"/>
          <w:b/>
          <w:szCs w:val="21"/>
        </w:rPr>
      </w:pPr>
    </w:p>
    <w:p w14:paraId="6208FE14">
      <w:pPr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二、技术要求</w:t>
      </w:r>
      <w:bookmarkEnd w:id="0"/>
    </w:p>
    <w:p w14:paraId="2EC683D8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2" w:firstLineChars="200"/>
        <w:jc w:val="left"/>
        <w:textAlignment w:val="baseline"/>
        <w:rPr>
          <w:rFonts w:hint="default" w:ascii="宋体" w:hAnsi="宋体" w:eastAsia="宋体" w:cs="宋体"/>
          <w:b/>
          <w:snapToGrid w:val="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napToGrid w:val="0"/>
          <w:kern w:val="0"/>
          <w:sz w:val="21"/>
          <w:szCs w:val="21"/>
          <w:highlight w:val="none"/>
        </w:rPr>
        <w:t>（一）</w:t>
      </w:r>
      <w:r>
        <w:rPr>
          <w:rFonts w:hint="eastAsia" w:ascii="宋体" w:hAnsi="宋体" w:cs="宋体"/>
          <w:b/>
          <w:snapToGrid w:val="0"/>
          <w:kern w:val="0"/>
          <w:sz w:val="21"/>
          <w:szCs w:val="21"/>
          <w:highlight w:val="none"/>
          <w:lang w:val="en-US" w:eastAsia="zh-CN"/>
        </w:rPr>
        <w:t>服务要求</w:t>
      </w:r>
    </w:p>
    <w:p w14:paraId="4EFC0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1.日常运行保障服务</w:t>
      </w:r>
    </w:p>
    <w:p w14:paraId="3FF48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维护福保街道智慧福保全域治理平台、福田区福保街道AI智能巡航系统，定期对软件等进行巡检，确保日常正常运行，保障系统运行效率，覆盖项目业务系统、后台支撑软件、网络配套服务的全周期常态化运维工作，杜绝系统无故卡顿、宕机、服务中断等基础运行问题，保障福保街道智慧福保全域治理业务流程顺畅。</w:t>
      </w:r>
    </w:p>
    <w:p w14:paraId="3095D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2.系统安全保障服务</w:t>
      </w:r>
    </w:p>
    <w:p w14:paraId="4E48F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协助做好安全审计支撑攻防演练，防止恶意攻击，保障平台数据及网络安全，并协助配合相关要求开展系统安全排查及安全测试。</w:t>
      </w:r>
    </w:p>
    <w:p w14:paraId="6E1B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3.故障及漏洞修复服务</w:t>
      </w:r>
    </w:p>
    <w:p w14:paraId="14EA9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负责对福保街道智慧福保全域治理平台、福田区福保街道AI智能巡航系统的故障及漏洞修复，确保系统没有安全漏洞，同时对BUG及故障进行处理。</w:t>
      </w:r>
    </w:p>
    <w:p w14:paraId="38591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4.专业技术支撑服务</w:t>
      </w:r>
    </w:p>
    <w:p w14:paraId="5837F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提供专业的技术支持团队，快速响应用户的需求和问题，确保福保街道智慧福保全域治理平台、福田区福保街道AI智能巡航系统使用正常，同时协助保障平台演示、接待等各类活动。</w:t>
      </w:r>
    </w:p>
    <w:p w14:paraId="603F2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5.总结分析报告服务</w:t>
      </w:r>
    </w:p>
    <w:p w14:paraId="44C5A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制定运维实施方案，建立机制对问题的跟踪，记录、分析、解决、反馈形成闭环，按月度、年度提供运维报告，同时提出存在问题及建议。</w:t>
      </w:r>
    </w:p>
    <w:p w14:paraId="03422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6.重大任务保障服务</w:t>
      </w:r>
    </w:p>
    <w:p w14:paraId="11164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（1）重大节日如国庆、春节等或特殊事件保障情况，要求提供必要保障。保证系统正常稳定运行。应急保障期间备勤人员随时提供远程技术支持服务，必要时可提供现场支持服务。</w:t>
      </w:r>
    </w:p>
    <w:p w14:paraId="3A368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（2）大型现场支持。确保举行大型活动时人员全程现场维护技术支持保障平台正常运行。</w:t>
      </w:r>
    </w:p>
    <w:p w14:paraId="54FCC9AF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2" w:firstLineChars="200"/>
        <w:jc w:val="left"/>
        <w:textAlignment w:val="baseline"/>
        <w:rPr>
          <w:rFonts w:hint="default" w:ascii="宋体" w:hAnsi="宋体" w:eastAsia="宋体" w:cs="宋体"/>
          <w:b/>
          <w:snapToGrid w:val="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napToGrid w:val="0"/>
          <w:kern w:val="0"/>
          <w:sz w:val="21"/>
          <w:szCs w:val="21"/>
          <w:highlight w:val="none"/>
        </w:rPr>
        <w:t>（二）</w:t>
      </w:r>
      <w:r>
        <w:rPr>
          <w:rFonts w:hint="eastAsia" w:ascii="宋体" w:hAnsi="宋体" w:cs="宋体"/>
          <w:b/>
          <w:snapToGrid w:val="0"/>
          <w:kern w:val="0"/>
          <w:sz w:val="21"/>
          <w:szCs w:val="21"/>
          <w:highlight w:val="none"/>
          <w:lang w:val="en-US" w:eastAsia="zh-CN"/>
        </w:rPr>
        <w:t>人员要求</w:t>
      </w:r>
    </w:p>
    <w:p w14:paraId="3CDB9AFD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1.人数：项目团队总人数不少于3人，其中包含项目负责人1人，技术支撑工程师1人，驻场工程师1人。</w:t>
      </w:r>
    </w:p>
    <w:p w14:paraId="1D846A3B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highlight w:val="none"/>
        </w:rPr>
        <w:t>2.人员素质：项目人员需具有专科或以上学历。</w:t>
      </w:r>
    </w:p>
    <w:p w14:paraId="04D59AD4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2" w:firstLineChars="200"/>
        <w:jc w:val="left"/>
        <w:textAlignment w:val="baseline"/>
        <w:rPr>
          <w:rFonts w:hint="eastAsia" w:ascii="宋体" w:hAnsi="宋体" w:eastAsia="宋体" w:cs="宋体"/>
          <w:b/>
          <w:snapToGrid w:val="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snapToGrid w:val="0"/>
          <w:kern w:val="0"/>
          <w:sz w:val="21"/>
          <w:szCs w:val="21"/>
          <w:highlight w:val="none"/>
        </w:rPr>
        <w:t>（三）</w:t>
      </w:r>
      <w:r>
        <w:rPr>
          <w:rFonts w:hint="eastAsia" w:ascii="宋体" w:hAnsi="宋体" w:cs="宋体"/>
          <w:b/>
          <w:snapToGrid w:val="0"/>
          <w:kern w:val="0"/>
          <w:sz w:val="21"/>
          <w:szCs w:val="21"/>
          <w:highlight w:val="none"/>
          <w:lang w:val="en-US" w:eastAsia="zh-CN"/>
        </w:rPr>
        <w:t>其他</w:t>
      </w:r>
      <w:r>
        <w:rPr>
          <w:rFonts w:hint="eastAsia" w:ascii="宋体" w:hAnsi="宋体" w:eastAsia="宋体" w:cs="宋体"/>
          <w:b/>
          <w:snapToGrid w:val="0"/>
          <w:kern w:val="0"/>
          <w:sz w:val="21"/>
          <w:szCs w:val="21"/>
          <w:highlight w:val="none"/>
        </w:rPr>
        <w:t>要求</w:t>
      </w:r>
    </w:p>
    <w:p w14:paraId="1621D56C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420" w:firstLineChars="200"/>
        <w:rPr>
          <w:rFonts w:hint="default" w:ascii="宋体" w:hAnsi="宋体" w:eastAsia="宋体"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为确保本项目服务过程的核心竞争力和技术优势，投标人可基于自主知识产权的技术方案或创新设计（包括但不限于专利、软件著作权等）予以实现，以体现其技术先进性和设计独创性，并确保所有权属清晰无争议。</w:t>
      </w:r>
    </w:p>
    <w:p w14:paraId="19646258">
      <w:pPr>
        <w:pStyle w:val="3"/>
        <w:tabs>
          <w:tab w:val="left" w:pos="540"/>
        </w:tabs>
        <w:adjustRightInd w:val="0"/>
        <w:snapToGrid w:val="0"/>
        <w:spacing w:line="360" w:lineRule="auto"/>
        <w:ind w:firstLine="420" w:firstLineChars="200"/>
        <w:rPr>
          <w:rFonts w:hint="default" w:ascii="宋体" w:hAnsi="宋体" w:eastAsia="宋体"/>
          <w:bCs/>
          <w:szCs w:val="21"/>
          <w:lang w:val="en-US" w:eastAsia="zh-CN"/>
        </w:rPr>
      </w:pPr>
    </w:p>
    <w:p w14:paraId="2B10D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三、商务要求（注：以下商务条款均为实质性条款，供应商投标时均不得负偏离，否则按投标无效处理）</w:t>
      </w:r>
    </w:p>
    <w:p w14:paraId="17FA5AD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1.服务期：系指合同签订之日起至服务结束的时间期限，具体是指合同生效之日起1年。</w:t>
      </w:r>
    </w:p>
    <w:p w14:paraId="36F16F2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2.服务地点：深圳市福田区福保街道办事处。</w:t>
      </w:r>
    </w:p>
    <w:p w14:paraId="547366C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3.报价要求：</w:t>
      </w:r>
    </w:p>
    <w:p w14:paraId="30DDD70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Cs/>
          <w:szCs w:val="21"/>
          <w:lang w:eastAsia="zh-CN"/>
        </w:rPr>
      </w:pPr>
      <w:r>
        <w:rPr>
          <w:rFonts w:hint="eastAsia" w:ascii="宋体" w:hAnsi="宋体" w:cs="宋体"/>
          <w:bCs/>
          <w:szCs w:val="21"/>
        </w:rPr>
        <w:t>本项目投标按总价报价，服务费用采用包干制，包括但不限于项目服务成本、法定税费和企业利润等一切费用</w:t>
      </w:r>
      <w:r>
        <w:rPr>
          <w:rFonts w:hint="eastAsia" w:ascii="宋体" w:hAnsi="宋体" w:cs="宋体"/>
          <w:bCs/>
          <w:szCs w:val="21"/>
          <w:lang w:eastAsia="zh-CN"/>
        </w:rPr>
        <w:t>。</w:t>
      </w:r>
    </w:p>
    <w:p w14:paraId="107C437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4.付款方式：合同签订后支付合同金额的70%，验收通过后支付合同金额的30%，具体以合同签订为准。（最终合同签订价格以采购人聘请的第三方审核价格为准，有取费标准的除外）。</w:t>
      </w:r>
    </w:p>
    <w:p w14:paraId="06FD219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5.验收方式：</w:t>
      </w:r>
    </w:p>
    <w:p w14:paraId="7C7EDA4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1）服务经过双方检验认可后，签署验收报告。</w:t>
      </w:r>
    </w:p>
    <w:p w14:paraId="4CCA502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2）当满足以下条件时，采购人才向中标人签发验收报告：</w:t>
      </w:r>
    </w:p>
    <w:p w14:paraId="34B5680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a、中标人已按照合同规定提供了全部技术资料。</w:t>
      </w:r>
    </w:p>
    <w:p w14:paraId="3D7B165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b、服务项目符合招标文件的服务要求。</w:t>
      </w:r>
    </w:p>
    <w:p w14:paraId="0B9E248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07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kern w:val="44"/>
      <w:sz w:val="44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Courier New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2026-10-27T10:13:00Z</dcterms:created>
  <dc:creator>谢奕纯</dc:creator>
  <cp:lastModifiedBy>谢奕纯</cp:lastModifiedBy>
  <dcterms:modified xsi:type="dcterms:W3CDTF">2026-10-27T10:13:04Z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eyJoZGlkIjoiY2FkZmQ0NGM3YjRiYWMwYWU1YzgxNDg4N2I3ZTcwMmUiLCJ1c2VySWQiOiIzMTQ2ODI0MjgifQ==</vt:lpwstr>
  </property>
  <property fmtid="{D5CDD505-2E9C-101B-9397-08002B2CF9AE}" pid="4" name="ICV">
    <vt:lpwstr>AB99E885E3964B90B0C66065FB08BB4B_12</vt:lpwstr>
  </property>
</Properties>
</file>